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A18C7" w14:textId="77777777" w:rsidR="00F57BD2" w:rsidRPr="00606E51" w:rsidRDefault="005867B3" w:rsidP="009558D7">
      <w:pPr>
        <w:pBdr>
          <w:bottom w:val="single" w:sz="4" w:space="1" w:color="auto"/>
        </w:pBdr>
        <w:jc w:val="both"/>
        <w:rPr>
          <w:rFonts w:cs="Times New Roman"/>
          <w:b/>
          <w:u w:val="single"/>
          <w:lang w:val="es-CO"/>
        </w:rPr>
      </w:pPr>
      <w:r w:rsidRPr="00606E51">
        <w:rPr>
          <w:rFonts w:cs="Times New Roman"/>
          <w:noProof/>
          <w:lang w:val="en-US"/>
        </w:rPr>
        <mc:AlternateContent>
          <mc:Choice Requires="wps">
            <w:drawing>
              <wp:anchor distT="0" distB="0" distL="114300" distR="114300" simplePos="0" relativeHeight="251666432" behindDoc="0" locked="0" layoutInCell="1" allowOverlap="1" wp14:anchorId="08823A43" wp14:editId="0701C016">
                <wp:simplePos x="0" y="0"/>
                <wp:positionH relativeFrom="column">
                  <wp:posOffset>-515620</wp:posOffset>
                </wp:positionH>
                <wp:positionV relativeFrom="paragraph">
                  <wp:posOffset>6500495</wp:posOffset>
                </wp:positionV>
                <wp:extent cx="7195185" cy="54864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7195185" cy="548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C6C390" w14:textId="77777777" w:rsidR="00F16AAB" w:rsidRPr="005867B3" w:rsidRDefault="00F16AAB" w:rsidP="005867B3">
                            <w:pPr>
                              <w:jc w:val="center"/>
                              <w:rPr>
                                <w:rFonts w:eastAsia="Times New Roman" w:cs="Times New Roman"/>
                                <w:sz w:val="40"/>
                                <w:szCs w:val="24"/>
                              </w:rPr>
                            </w:pPr>
                            <w:r w:rsidRPr="005867B3">
                              <w:rPr>
                                <w:rFonts w:ascii="Arial" w:eastAsia="Times New Roman" w:hAnsi="Arial" w:cs="Arial"/>
                                <w:caps/>
                                <w:color w:val="959595"/>
                                <w:szCs w:val="15"/>
                                <w:shd w:val="clear" w:color="auto" w:fill="FFFFFF"/>
                              </w:rPr>
                              <w:t>Evaluación comisionada</w:t>
                            </w:r>
                            <w:r>
                              <w:rPr>
                                <w:rFonts w:ascii="Arial" w:eastAsia="Times New Roman" w:hAnsi="Arial" w:cs="Arial"/>
                                <w:caps/>
                                <w:color w:val="959595"/>
                                <w:szCs w:val="15"/>
                                <w:shd w:val="clear" w:color="auto" w:fill="FFFFFF"/>
                              </w:rPr>
                              <w:t xml:space="preserve"> </w:t>
                            </w:r>
                            <w:r w:rsidRPr="005867B3">
                              <w:rPr>
                                <w:rFonts w:ascii="Arial" w:eastAsia="Times New Roman" w:hAnsi="Arial" w:cs="Arial"/>
                                <w:caps/>
                                <w:color w:val="959595"/>
                                <w:szCs w:val="15"/>
                                <w:shd w:val="clear" w:color="auto" w:fill="FFFFFF"/>
                              </w:rPr>
                              <w:t xml:space="preserve">por la oficina en Colombia del FOndo de las naciones unidas para la infancia –UNICEF– </w:t>
                            </w:r>
                            <w:r>
                              <w:rPr>
                                <w:rFonts w:ascii="Arial" w:eastAsia="Times New Roman" w:hAnsi="Arial" w:cs="Arial"/>
                                <w:caps/>
                                <w:color w:val="959595"/>
                                <w:szCs w:val="15"/>
                                <w:shd w:val="clear" w:color="auto" w:fill="FFFFFF"/>
                              </w:rPr>
                              <w:t xml:space="preserve">EN ACUERDO CON </w:t>
                            </w:r>
                            <w:r w:rsidRPr="005867B3">
                              <w:rPr>
                                <w:rFonts w:ascii="Arial" w:eastAsia="Times New Roman" w:hAnsi="Arial" w:cs="Arial"/>
                                <w:caps/>
                                <w:color w:val="959595"/>
                                <w:szCs w:val="15"/>
                                <w:shd w:val="clear" w:color="auto" w:fill="FFFFFF"/>
                              </w:rPr>
                              <w:t>el ministerio de salud y protección social</w:t>
                            </w:r>
                            <w:r>
                              <w:rPr>
                                <w:rFonts w:ascii="Arial" w:eastAsia="Times New Roman" w:hAnsi="Arial" w:cs="Arial"/>
                                <w:caps/>
                                <w:color w:val="959595"/>
                                <w:szCs w:val="15"/>
                                <w:shd w:val="clear" w:color="auto" w:fill="FFFFFF"/>
                              </w:rPr>
                              <w:t>. COLOMBIA, 2017.</w:t>
                            </w:r>
                          </w:p>
                          <w:p w14:paraId="39495DF4" w14:textId="77777777" w:rsidR="00F16AAB" w:rsidRPr="005867B3" w:rsidRDefault="00F16AAB" w:rsidP="005867B3">
                            <w:pPr>
                              <w:jc w:val="center"/>
                              <w:rPr>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823A43" id="_x0000_t202" coordsize="21600,21600" o:spt="202" path="m,l,21600r21600,l21600,xe">
                <v:stroke joinstyle="miter"/>
                <v:path gradientshapeok="t" o:connecttype="rect"/>
              </v:shapetype>
              <v:shape id="Text Box 1" o:spid="_x0000_s1026" type="#_x0000_t202" style="position:absolute;left:0;text-align:left;margin-left:-40.6pt;margin-top:511.85pt;width:566.55pt;height:4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" filled="f" stroked="f">
                <v:textbox>
                  <w:txbxContent>
                    <w:p w14:paraId="59C6C390" w14:textId="77777777" w:rsidR="00F16AAB" w:rsidRPr="005867B3" w:rsidRDefault="00F16AAB" w:rsidP="005867B3">
                      <w:pPr>
                        <w:jc w:val="center"/>
                        <w:rPr>
                          <w:rFonts w:eastAsia="Times New Roman" w:cs="Times New Roman"/>
                          <w:sz w:val="40"/>
                          <w:szCs w:val="24"/>
                        </w:rPr>
                      </w:pPr>
                      <w:r w:rsidRPr="005867B3">
                        <w:rPr>
                          <w:rFonts w:ascii="Arial" w:eastAsia="Times New Roman" w:hAnsi="Arial" w:cs="Arial"/>
                          <w:caps/>
                          <w:color w:val="959595"/>
                          <w:szCs w:val="15"/>
                          <w:shd w:val="clear" w:color="auto" w:fill="FFFFFF"/>
                        </w:rPr>
                        <w:t>Evaluación comisionada</w:t>
                      </w:r>
                      <w:r>
                        <w:rPr>
                          <w:rFonts w:ascii="Arial" w:eastAsia="Times New Roman" w:hAnsi="Arial" w:cs="Arial"/>
                          <w:caps/>
                          <w:color w:val="959595"/>
                          <w:szCs w:val="15"/>
                          <w:shd w:val="clear" w:color="auto" w:fill="FFFFFF"/>
                        </w:rPr>
                        <w:t xml:space="preserve"> </w:t>
                      </w:r>
                      <w:r w:rsidRPr="005867B3">
                        <w:rPr>
                          <w:rFonts w:ascii="Arial" w:eastAsia="Times New Roman" w:hAnsi="Arial" w:cs="Arial"/>
                          <w:caps/>
                          <w:color w:val="959595"/>
                          <w:szCs w:val="15"/>
                          <w:shd w:val="clear" w:color="auto" w:fill="FFFFFF"/>
                        </w:rPr>
                        <w:t xml:space="preserve">por la oficina en Colombia del FOndo de las naciones unidas para la infancia –UNICEF– </w:t>
                      </w:r>
                      <w:r>
                        <w:rPr>
                          <w:rFonts w:ascii="Arial" w:eastAsia="Times New Roman" w:hAnsi="Arial" w:cs="Arial"/>
                          <w:caps/>
                          <w:color w:val="959595"/>
                          <w:szCs w:val="15"/>
                          <w:shd w:val="clear" w:color="auto" w:fill="FFFFFF"/>
                        </w:rPr>
                        <w:t xml:space="preserve">EN ACUERDO CON </w:t>
                      </w:r>
                      <w:r w:rsidRPr="005867B3">
                        <w:rPr>
                          <w:rFonts w:ascii="Arial" w:eastAsia="Times New Roman" w:hAnsi="Arial" w:cs="Arial"/>
                          <w:caps/>
                          <w:color w:val="959595"/>
                          <w:szCs w:val="15"/>
                          <w:shd w:val="clear" w:color="auto" w:fill="FFFFFF"/>
                        </w:rPr>
                        <w:t>el ministerio de salud y protección social</w:t>
                      </w:r>
                      <w:r>
                        <w:rPr>
                          <w:rFonts w:ascii="Arial" w:eastAsia="Times New Roman" w:hAnsi="Arial" w:cs="Arial"/>
                          <w:caps/>
                          <w:color w:val="959595"/>
                          <w:szCs w:val="15"/>
                          <w:shd w:val="clear" w:color="auto" w:fill="FFFFFF"/>
                        </w:rPr>
                        <w:t>. COLOMBIA, 2017.</w:t>
                      </w:r>
                    </w:p>
                    <w:p w14:paraId="39495DF4" w14:textId="77777777" w:rsidR="00F16AAB" w:rsidRPr="005867B3" w:rsidRDefault="00F16AAB" w:rsidP="005867B3">
                      <w:pPr>
                        <w:jc w:val="center"/>
                        <w:rPr>
                          <w:sz w:val="36"/>
                        </w:rPr>
                      </w:pPr>
                    </w:p>
                  </w:txbxContent>
                </v:textbox>
                <w10:wrap type="square"/>
              </v:shape>
            </w:pict>
          </mc:Fallback>
        </mc:AlternateContent>
      </w:r>
      <w:r w:rsidR="002D791C" w:rsidRPr="00606E51">
        <w:rPr>
          <w:rFonts w:cs="Times New Roman"/>
          <w:noProof/>
          <w:lang w:val="en-US"/>
        </w:rPr>
        <mc:AlternateContent>
          <mc:Choice Requires="wps">
            <w:drawing>
              <wp:anchor distT="0" distB="0" distL="114300" distR="114300" simplePos="0" relativeHeight="251659264" behindDoc="0" locked="0" layoutInCell="1" allowOverlap="1" wp14:anchorId="6932B1C1" wp14:editId="58DA27EE">
                <wp:simplePos x="0" y="0"/>
                <wp:positionH relativeFrom="page">
                  <wp:posOffset>241968</wp:posOffset>
                </wp:positionH>
                <wp:positionV relativeFrom="page">
                  <wp:posOffset>1142799</wp:posOffset>
                </wp:positionV>
                <wp:extent cx="6924856" cy="3840480"/>
                <wp:effectExtent l="0" t="0" r="9525" b="0"/>
                <wp:wrapNone/>
                <wp:docPr id="138" name="Text Box 138"/>
                <wp:cNvGraphicFramePr/>
                <a:graphic xmlns:a="http://schemas.openxmlformats.org/drawingml/2006/main">
                  <a:graphicData uri="http://schemas.microsoft.com/office/word/2010/wordprocessingShape">
                    <wps:wsp>
                      <wps:cNvSpPr txBox="1"/>
                      <wps:spPr>
                        <a:xfrm>
                          <a:off x="0" y="0"/>
                          <a:ext cx="6924856"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894" w:type="pct"/>
                              <w:jc w:val="center"/>
                              <w:tblBorders>
                                <w:insideV w:val="single" w:sz="12" w:space="0" w:color="629DD1" w:themeColor="accent2"/>
                              </w:tblBorders>
                              <w:tblCellMar>
                                <w:top w:w="1296" w:type="dxa"/>
                                <w:left w:w="360" w:type="dxa"/>
                                <w:bottom w:w="1296" w:type="dxa"/>
                                <w:right w:w="360" w:type="dxa"/>
                              </w:tblCellMar>
                              <w:tblLook w:val="04A0" w:firstRow="1" w:lastRow="0" w:firstColumn="1" w:lastColumn="0" w:noHBand="0" w:noVBand="1"/>
                            </w:tblPr>
                            <w:tblGrid>
                              <w:gridCol w:w="4434"/>
                              <w:gridCol w:w="6230"/>
                            </w:tblGrid>
                            <w:tr w:rsidR="00F16AAB" w:rsidRPr="00EA15E0" w14:paraId="76272BC1" w14:textId="77777777" w:rsidTr="00586D55">
                              <w:trPr>
                                <w:jc w:val="center"/>
                              </w:trPr>
                              <w:tc>
                                <w:tcPr>
                                  <w:tcW w:w="2079" w:type="pct"/>
                                  <w:vAlign w:val="center"/>
                                </w:tcPr>
                                <w:p w14:paraId="588D8D4E" w14:textId="77777777" w:rsidR="00F16AAB" w:rsidRDefault="00F16AAB" w:rsidP="00DC4B5A">
                                  <w:pPr>
                                    <w:jc w:val="right"/>
                                  </w:pPr>
                                </w:p>
                                <w:sdt>
                                  <w:sdtPr>
                                    <w:rPr>
                                      <w:caps/>
                                      <w:color w:val="191919" w:themeColor="text1" w:themeTint="E6"/>
                                      <w:sz w:val="56"/>
                                      <w:szCs w:val="56"/>
                                    </w:rPr>
                                    <w:alias w:val="Title"/>
                                    <w:tag w:val=""/>
                                    <w:id w:val="-1218502716"/>
                                    <w:dataBinding w:prefixMappings="xmlns:ns0='http://purl.org/dc/elements/1.1/' xmlns:ns1='http://schemas.openxmlformats.org/package/2006/metadata/core-properties' " w:xpath="/ns1:coreProperties[1]/ns0:title[1]" w:storeItemID="{6C3C8BC8-F283-45AE-878A-BAB7291924A1}"/>
                                    <w:text/>
                                  </w:sdtPr>
                                  <w:sdtContent>
                                    <w:p w14:paraId="4972C07A" w14:textId="77777777" w:rsidR="00F16AAB" w:rsidRPr="00F053ED" w:rsidRDefault="00F16AAB" w:rsidP="00DC4B5A">
                                      <w:pPr>
                                        <w:pStyle w:val="NoSpacing"/>
                                        <w:spacing w:line="312" w:lineRule="auto"/>
                                        <w:jc w:val="right"/>
                                        <w:rPr>
                                          <w:caps/>
                                          <w:color w:val="191919" w:themeColor="text1" w:themeTint="E6"/>
                                          <w:sz w:val="56"/>
                                          <w:szCs w:val="56"/>
                                        </w:rPr>
                                      </w:pPr>
                                      <w:r>
                                        <w:rPr>
                                          <w:caps/>
                                          <w:color w:val="191919" w:themeColor="text1" w:themeTint="E6"/>
                                          <w:sz w:val="56"/>
                                          <w:szCs w:val="56"/>
                                        </w:rPr>
                                        <w:t>Informe FINAL</w:t>
                                      </w:r>
                                    </w:p>
                                  </w:sdtContent>
                                </w:sdt>
                                <w:sdt>
                                  <w:sdtPr>
                                    <w:rPr>
                                      <w:rFonts w:cs="Times New Roman"/>
                                      <w:color w:val="000000" w:themeColor="text1"/>
                                      <w:sz w:val="24"/>
                                      <w:szCs w:val="24"/>
                                      <w:lang w:val="es-CO"/>
                                    </w:rPr>
                                    <w:alias w:val="Subtitle"/>
                                    <w:tag w:val=""/>
                                    <w:id w:val="-150687117"/>
                                    <w:dataBinding w:prefixMappings="xmlns:ns0='http://purl.org/dc/elements/1.1/' xmlns:ns1='http://schemas.openxmlformats.org/package/2006/metadata/core-properties' " w:xpath="/ns1:coreProperties[1]/ns0:subject[1]" w:storeItemID="{6C3C8BC8-F283-45AE-878A-BAB7291924A1}"/>
                                    <w:text/>
                                  </w:sdtPr>
                                  <w:sdtContent>
                                    <w:p w14:paraId="524EEBAD" w14:textId="77777777" w:rsidR="00F16AAB" w:rsidRPr="0058418F" w:rsidRDefault="00F16AAB" w:rsidP="00BB6A04">
                                      <w:pPr>
                                        <w:jc w:val="both"/>
                                        <w:rPr>
                                          <w:rFonts w:cs="Times New Roman"/>
                                          <w:sz w:val="24"/>
                                          <w:szCs w:val="24"/>
                                        </w:rPr>
                                      </w:pPr>
                                      <w:r w:rsidRPr="001F67F9">
                                        <w:rPr>
                                          <w:rFonts w:cs="Times New Roman"/>
                                          <w:color w:val="000000" w:themeColor="text1"/>
                                          <w:sz w:val="24"/>
                                          <w:szCs w:val="24"/>
                                          <w:lang w:val="es-CO"/>
                                        </w:rPr>
                                        <w:t>Evaluación de adherencia</w:t>
                                      </w:r>
                                      <w:r>
                                        <w:rPr>
                                          <w:rFonts w:cs="Times New Roman"/>
                                          <w:color w:val="000000" w:themeColor="text1"/>
                                          <w:sz w:val="24"/>
                                          <w:szCs w:val="24"/>
                                          <w:lang w:val="es-CO"/>
                                        </w:rPr>
                                        <w:t xml:space="preserve"> </w:t>
                                      </w:r>
                                      <w:r w:rsidRPr="001F67F9">
                                        <w:rPr>
                                          <w:rFonts w:cs="Times New Roman"/>
                                          <w:color w:val="000000" w:themeColor="text1"/>
                                          <w:sz w:val="24"/>
                                          <w:szCs w:val="24"/>
                                          <w:lang w:val="es-CO"/>
                                        </w:rPr>
                                        <w:t>y costo-efectividad del lineamiento para el manejo integrado de la desnutrición aguda en niños y niñas de 0 a 59 meses de edad, en los municipios de Maicao, Manaure, Riohacha y Uribia del Departamento de La Guajira (2016</w:t>
                                      </w:r>
                                      <w:r>
                                        <w:rPr>
                                          <w:rFonts w:cs="Times New Roman"/>
                                          <w:color w:val="000000" w:themeColor="text1"/>
                                          <w:sz w:val="24"/>
                                          <w:szCs w:val="24"/>
                                          <w:lang w:val="es-CO"/>
                                        </w:rPr>
                                        <w:t>-2017</w:t>
                                      </w:r>
                                      <w:r w:rsidRPr="001F67F9">
                                        <w:rPr>
                                          <w:rFonts w:cs="Times New Roman"/>
                                          <w:color w:val="000000" w:themeColor="text1"/>
                                          <w:sz w:val="24"/>
                                          <w:szCs w:val="24"/>
                                          <w:lang w:val="es-CO"/>
                                        </w:rPr>
                                        <w:t>).</w:t>
                                      </w:r>
                                    </w:p>
                                  </w:sdtContent>
                                </w:sdt>
                              </w:tc>
                              <w:tc>
                                <w:tcPr>
                                  <w:tcW w:w="2921" w:type="pct"/>
                                  <w:vAlign w:val="center"/>
                                </w:tcPr>
                                <w:p w14:paraId="38B42025" w14:textId="77777777" w:rsidR="00F16AAB" w:rsidRPr="001426DB" w:rsidRDefault="00F16AAB">
                                  <w:pPr>
                                    <w:pStyle w:val="NoSpacing"/>
                                    <w:rPr>
                                      <w:caps/>
                                      <w:color w:val="629DD1" w:themeColor="accent2"/>
                                      <w:sz w:val="26"/>
                                      <w:szCs w:val="26"/>
                                      <w:lang w:eastAsia="ko-KR"/>
                                    </w:rPr>
                                  </w:pPr>
                                  <w:r>
                                    <w:rPr>
                                      <w:caps/>
                                      <w:color w:val="629DD1" w:themeColor="accent2"/>
                                      <w:sz w:val="26"/>
                                      <w:szCs w:val="26"/>
                                      <w:lang w:eastAsia="ko-KR"/>
                                    </w:rPr>
                                    <w:t>Evaluadores EXTERNOS:</w:t>
                                  </w:r>
                                </w:p>
                                <w:p w14:paraId="7141EC2D" w14:textId="77777777" w:rsidR="00F16AAB" w:rsidRPr="00F80780" w:rsidRDefault="00F16AAB" w:rsidP="00F053ED">
                                  <w:pPr>
                                    <w:jc w:val="both"/>
                                    <w:rPr>
                                      <w:color w:val="000000" w:themeColor="text1"/>
                                    </w:rPr>
                                  </w:pPr>
                                </w:p>
                                <w:sdt>
                                  <w:sdtPr>
                                    <w:rPr>
                                      <w:b/>
                                      <w:color w:val="629DD1" w:themeColor="accent2"/>
                                      <w:sz w:val="32"/>
                                      <w:szCs w:val="26"/>
                                    </w:rPr>
                                    <w:alias w:val="Author"/>
                                    <w:tag w:val=""/>
                                    <w:id w:val="414453417"/>
                                    <w:dataBinding w:prefixMappings="xmlns:ns0='http://purl.org/dc/elements/1.1/' xmlns:ns1='http://schemas.openxmlformats.org/package/2006/metadata/core-properties' " w:xpath="/ns1:coreProperties[1]/ns0:creator[1]" w:storeItemID="{6C3C8BC8-F283-45AE-878A-BAB7291924A1}"/>
                                    <w:text/>
                                  </w:sdtPr>
                                  <w:sdtContent>
                                    <w:p w14:paraId="090E7828" w14:textId="77777777" w:rsidR="00F16AAB" w:rsidRPr="0058418F" w:rsidRDefault="00F16AAB">
                                      <w:pPr>
                                        <w:pStyle w:val="NoSpacing"/>
                                        <w:rPr>
                                          <w:b/>
                                          <w:color w:val="629DD1" w:themeColor="accent2"/>
                                          <w:sz w:val="32"/>
                                          <w:szCs w:val="26"/>
                                        </w:rPr>
                                      </w:pPr>
                                      <w:r w:rsidRPr="0058418F">
                                        <w:rPr>
                                          <w:b/>
                                          <w:color w:val="629DD1" w:themeColor="accent2"/>
                                          <w:sz w:val="32"/>
                                          <w:szCs w:val="26"/>
                                        </w:rPr>
                                        <w:t>Orlando Gracia Fajardo</w:t>
                                      </w:r>
                                    </w:p>
                                  </w:sdtContent>
                                </w:sdt>
                                <w:p w14:paraId="0B24491D" w14:textId="77777777" w:rsidR="00F16AAB" w:rsidRPr="0058418F" w:rsidRDefault="00F16AAB">
                                  <w:pPr>
                                    <w:pStyle w:val="NoSpacing"/>
                                    <w:rPr>
                                      <w:b/>
                                      <w:color w:val="629DD1" w:themeColor="accent2"/>
                                      <w:sz w:val="32"/>
                                      <w:szCs w:val="26"/>
                                    </w:rPr>
                                  </w:pPr>
                                  <w:r w:rsidRPr="0058418F">
                                    <w:rPr>
                                      <w:b/>
                                      <w:color w:val="629DD1" w:themeColor="accent2"/>
                                      <w:sz w:val="32"/>
                                      <w:szCs w:val="26"/>
                                    </w:rPr>
                                    <w:t>Raúl Castro Rodríguez</w:t>
                                  </w:r>
                                </w:p>
                                <w:p w14:paraId="0A1581F4" w14:textId="77777777" w:rsidR="00F16AAB" w:rsidRPr="00F80780" w:rsidRDefault="00F16AAB" w:rsidP="00E348F0">
                                  <w:pPr>
                                    <w:pStyle w:val="NoSpacing"/>
                                  </w:pPr>
                                  <w:r>
                                    <w:t>Colombia, Septiembre de 2017</w:t>
                                  </w:r>
                                </w:p>
                              </w:tc>
                            </w:tr>
                          </w:tbl>
                          <w:p w14:paraId="57C67B34" w14:textId="77777777" w:rsidR="00F16AAB" w:rsidRPr="00F80780" w:rsidRDefault="00F16AA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 w14:anchorId="6932B1C1" id="Text Box 138" o:spid="_x0000_s1027" type="#_x0000_t202" style="position:absolute;left:0;text-align:left;margin-left:19.05pt;margin-top:90pt;width:545.25pt;height:302.4pt;z-index:25165926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" fillcolor="white [3201]" stroked="f" strokeweight=".5pt">
                <v:textbox inset="0,0,0,0">
                  <w:txbxContent>
                    <w:tbl>
                      <w:tblPr>
                        <w:tblW w:w="4894" w:type="pct"/>
                        <w:jc w:val="center"/>
                        <w:tblBorders>
                          <w:insideV w:val="single" w:sz="12" w:space="0" w:color="629DD1" w:themeColor="accent2"/>
                        </w:tblBorders>
                        <w:tblCellMar>
                          <w:top w:w="1296" w:type="dxa"/>
                          <w:left w:w="360" w:type="dxa"/>
                          <w:bottom w:w="1296" w:type="dxa"/>
                          <w:right w:w="360" w:type="dxa"/>
                        </w:tblCellMar>
                        <w:tblLook w:val="04A0" w:firstRow="1" w:lastRow="0" w:firstColumn="1" w:lastColumn="0" w:noHBand="0" w:noVBand="1"/>
                      </w:tblPr>
                      <w:tblGrid>
                        <w:gridCol w:w="4434"/>
                        <w:gridCol w:w="6230"/>
                      </w:tblGrid>
                      <w:tr w:rsidR="00F16AAB" w:rsidRPr="00EA15E0" w14:paraId="76272BC1" w14:textId="77777777" w:rsidTr="00586D55">
                        <w:trPr>
                          <w:jc w:val="center"/>
                        </w:trPr>
                        <w:tc>
                          <w:tcPr>
                            <w:tcW w:w="2079" w:type="pct"/>
                            <w:vAlign w:val="center"/>
                          </w:tcPr>
                          <w:p w14:paraId="588D8D4E" w14:textId="77777777" w:rsidR="00F16AAB" w:rsidRDefault="00F16AAB" w:rsidP="00DC4B5A">
                            <w:pPr>
                              <w:jc w:val="right"/>
                            </w:pPr>
                          </w:p>
                          <w:sdt>
                            <w:sdtPr>
                              <w:rPr>
                                <w:caps/>
                                <w:color w:val="191919" w:themeColor="text1" w:themeTint="E6"/>
                                <w:sz w:val="56"/>
                                <w:szCs w:val="56"/>
                              </w:rPr>
                              <w:alias w:val="Title"/>
                              <w:tag w:val=""/>
                              <w:id w:val="-1218502716"/>
                              <w:dataBinding w:prefixMappings="xmlns:ns0='http://purl.org/dc/elements/1.1/' xmlns:ns1='http://schemas.openxmlformats.org/package/2006/metadata/core-properties' " w:xpath="/ns1:coreProperties[1]/ns0:title[1]" w:storeItemID="{6C3C8BC8-F283-45AE-878A-BAB7291924A1}"/>
                              <w:text/>
                            </w:sdtPr>
                            <w:sdtContent>
                              <w:p w14:paraId="4972C07A" w14:textId="77777777" w:rsidR="00F16AAB" w:rsidRPr="00F053ED" w:rsidRDefault="00F16AAB" w:rsidP="00DC4B5A">
                                <w:pPr>
                                  <w:pStyle w:val="NoSpacing"/>
                                  <w:spacing w:line="312" w:lineRule="auto"/>
                                  <w:jc w:val="right"/>
                                  <w:rPr>
                                    <w:caps/>
                                    <w:color w:val="191919" w:themeColor="text1" w:themeTint="E6"/>
                                    <w:sz w:val="56"/>
                                    <w:szCs w:val="56"/>
                                  </w:rPr>
                                </w:pPr>
                                <w:r>
                                  <w:rPr>
                                    <w:caps/>
                                    <w:color w:val="191919" w:themeColor="text1" w:themeTint="E6"/>
                                    <w:sz w:val="56"/>
                                    <w:szCs w:val="56"/>
                                  </w:rPr>
                                  <w:t>Informe FINAL</w:t>
                                </w:r>
                              </w:p>
                            </w:sdtContent>
                          </w:sdt>
                          <w:sdt>
                            <w:sdtPr>
                              <w:rPr>
                                <w:rFonts w:cs="Times New Roman"/>
                                <w:color w:val="000000" w:themeColor="text1"/>
                                <w:sz w:val="24"/>
                                <w:szCs w:val="24"/>
                                <w:lang w:val="es-CO"/>
                              </w:rPr>
                              <w:alias w:val="Subtitle"/>
                              <w:tag w:val=""/>
                              <w:id w:val="-150687117"/>
                              <w:dataBinding w:prefixMappings="xmlns:ns0='http://purl.org/dc/elements/1.1/' xmlns:ns1='http://schemas.openxmlformats.org/package/2006/metadata/core-properties' " w:xpath="/ns1:coreProperties[1]/ns0:subject[1]" w:storeItemID="{6C3C8BC8-F283-45AE-878A-BAB7291924A1}"/>
                              <w:text/>
                            </w:sdtPr>
                            <w:sdtContent>
                              <w:p w14:paraId="524EEBAD" w14:textId="77777777" w:rsidR="00F16AAB" w:rsidRPr="0058418F" w:rsidRDefault="00F16AAB" w:rsidP="00BB6A04">
                                <w:pPr>
                                  <w:jc w:val="both"/>
                                  <w:rPr>
                                    <w:rFonts w:cs="Times New Roman"/>
                                    <w:sz w:val="24"/>
                                    <w:szCs w:val="24"/>
                                  </w:rPr>
                                </w:pPr>
                                <w:r w:rsidRPr="001F67F9">
                                  <w:rPr>
                                    <w:rFonts w:cs="Times New Roman"/>
                                    <w:color w:val="000000" w:themeColor="text1"/>
                                    <w:sz w:val="24"/>
                                    <w:szCs w:val="24"/>
                                    <w:lang w:val="es-CO"/>
                                  </w:rPr>
                                  <w:t>Evaluación de adherencia</w:t>
                                </w:r>
                                <w:r>
                                  <w:rPr>
                                    <w:rFonts w:cs="Times New Roman"/>
                                    <w:color w:val="000000" w:themeColor="text1"/>
                                    <w:sz w:val="24"/>
                                    <w:szCs w:val="24"/>
                                    <w:lang w:val="es-CO"/>
                                  </w:rPr>
                                  <w:t xml:space="preserve"> </w:t>
                                </w:r>
                                <w:r w:rsidRPr="001F67F9">
                                  <w:rPr>
                                    <w:rFonts w:cs="Times New Roman"/>
                                    <w:color w:val="000000" w:themeColor="text1"/>
                                    <w:sz w:val="24"/>
                                    <w:szCs w:val="24"/>
                                    <w:lang w:val="es-CO"/>
                                  </w:rPr>
                                  <w:t>y costo-efectividad del lineamiento para el manejo integrado de la desnutrición aguda en niños y niñas de 0 a 59 meses de edad, en los municipios de Maicao, Manaure, Riohacha y Uribia del Departamento de La Guajira (2016</w:t>
                                </w:r>
                                <w:r>
                                  <w:rPr>
                                    <w:rFonts w:cs="Times New Roman"/>
                                    <w:color w:val="000000" w:themeColor="text1"/>
                                    <w:sz w:val="24"/>
                                    <w:szCs w:val="24"/>
                                    <w:lang w:val="es-CO"/>
                                  </w:rPr>
                                  <w:t>-2017</w:t>
                                </w:r>
                                <w:r w:rsidRPr="001F67F9">
                                  <w:rPr>
                                    <w:rFonts w:cs="Times New Roman"/>
                                    <w:color w:val="000000" w:themeColor="text1"/>
                                    <w:sz w:val="24"/>
                                    <w:szCs w:val="24"/>
                                    <w:lang w:val="es-CO"/>
                                  </w:rPr>
                                  <w:t>).</w:t>
                                </w:r>
                              </w:p>
                            </w:sdtContent>
                          </w:sdt>
                        </w:tc>
                        <w:tc>
                          <w:tcPr>
                            <w:tcW w:w="2921" w:type="pct"/>
                            <w:vAlign w:val="center"/>
                          </w:tcPr>
                          <w:p w14:paraId="38B42025" w14:textId="77777777" w:rsidR="00F16AAB" w:rsidRPr="001426DB" w:rsidRDefault="00F16AAB">
                            <w:pPr>
                              <w:pStyle w:val="NoSpacing"/>
                              <w:rPr>
                                <w:caps/>
                                <w:color w:val="629DD1" w:themeColor="accent2"/>
                                <w:sz w:val="26"/>
                                <w:szCs w:val="26"/>
                                <w:lang w:eastAsia="ko-KR"/>
                              </w:rPr>
                            </w:pPr>
                            <w:r>
                              <w:rPr>
                                <w:caps/>
                                <w:color w:val="629DD1" w:themeColor="accent2"/>
                                <w:sz w:val="26"/>
                                <w:szCs w:val="26"/>
                                <w:lang w:eastAsia="ko-KR"/>
                              </w:rPr>
                              <w:t>Evaluadores EXTERNOS:</w:t>
                            </w:r>
                          </w:p>
                          <w:p w14:paraId="7141EC2D" w14:textId="77777777" w:rsidR="00F16AAB" w:rsidRPr="00F80780" w:rsidRDefault="00F16AAB" w:rsidP="00F053ED">
                            <w:pPr>
                              <w:jc w:val="both"/>
                              <w:rPr>
                                <w:color w:val="000000" w:themeColor="text1"/>
                              </w:rPr>
                            </w:pPr>
                          </w:p>
                          <w:sdt>
                            <w:sdtPr>
                              <w:rPr>
                                <w:b/>
                                <w:color w:val="629DD1" w:themeColor="accent2"/>
                                <w:sz w:val="32"/>
                                <w:szCs w:val="26"/>
                              </w:rPr>
                              <w:alias w:val="Author"/>
                              <w:tag w:val=""/>
                              <w:id w:val="414453417"/>
                              <w:dataBinding w:prefixMappings="xmlns:ns0='http://purl.org/dc/elements/1.1/' xmlns:ns1='http://schemas.openxmlformats.org/package/2006/metadata/core-properties' " w:xpath="/ns1:coreProperties[1]/ns0:creator[1]" w:storeItemID="{6C3C8BC8-F283-45AE-878A-BAB7291924A1}"/>
                              <w:text/>
                            </w:sdtPr>
                            <w:sdtContent>
                              <w:p w14:paraId="090E7828" w14:textId="77777777" w:rsidR="00F16AAB" w:rsidRPr="0058418F" w:rsidRDefault="00F16AAB">
                                <w:pPr>
                                  <w:pStyle w:val="NoSpacing"/>
                                  <w:rPr>
                                    <w:b/>
                                    <w:color w:val="629DD1" w:themeColor="accent2"/>
                                    <w:sz w:val="32"/>
                                    <w:szCs w:val="26"/>
                                  </w:rPr>
                                </w:pPr>
                                <w:r w:rsidRPr="0058418F">
                                  <w:rPr>
                                    <w:b/>
                                    <w:color w:val="629DD1" w:themeColor="accent2"/>
                                    <w:sz w:val="32"/>
                                    <w:szCs w:val="26"/>
                                  </w:rPr>
                                  <w:t>Orlando Gracia Fajardo</w:t>
                                </w:r>
                              </w:p>
                            </w:sdtContent>
                          </w:sdt>
                          <w:p w14:paraId="0B24491D" w14:textId="77777777" w:rsidR="00F16AAB" w:rsidRPr="0058418F" w:rsidRDefault="00F16AAB">
                            <w:pPr>
                              <w:pStyle w:val="NoSpacing"/>
                              <w:rPr>
                                <w:b/>
                                <w:color w:val="629DD1" w:themeColor="accent2"/>
                                <w:sz w:val="32"/>
                                <w:szCs w:val="26"/>
                              </w:rPr>
                            </w:pPr>
                            <w:r w:rsidRPr="0058418F">
                              <w:rPr>
                                <w:b/>
                                <w:color w:val="629DD1" w:themeColor="accent2"/>
                                <w:sz w:val="32"/>
                                <w:szCs w:val="26"/>
                              </w:rPr>
                              <w:t>Raúl Castro Rodríguez</w:t>
                            </w:r>
                          </w:p>
                          <w:p w14:paraId="0A1581F4" w14:textId="77777777" w:rsidR="00F16AAB" w:rsidRPr="00F80780" w:rsidRDefault="00F16AAB" w:rsidP="00E348F0">
                            <w:pPr>
                              <w:pStyle w:val="NoSpacing"/>
                            </w:pPr>
                            <w:r>
                              <w:t>Colombia, Septiembre de 2017</w:t>
                            </w:r>
                          </w:p>
                        </w:tc>
                      </w:tr>
                    </w:tbl>
                    <w:p w14:paraId="57C67B34" w14:textId="77777777" w:rsidR="00F16AAB" w:rsidRPr="00F80780" w:rsidRDefault="00F16AAB"/>
                  </w:txbxContent>
                </v:textbox>
                <w10:wrap anchorx="page" anchory="page"/>
              </v:shape>
            </w:pict>
          </mc:Fallback>
        </mc:AlternateContent>
      </w:r>
      <w:r w:rsidR="00615F28" w:rsidRPr="00606E51">
        <w:rPr>
          <w:rFonts w:cs="Times New Roman"/>
          <w:b/>
          <w:u w:val="single"/>
          <w:lang w:val="es-CO"/>
        </w:rPr>
        <w:t xml:space="preserve"> </w:t>
      </w:r>
      <w:r w:rsidR="00037533" w:rsidRPr="00606E51">
        <w:rPr>
          <w:rFonts w:cs="Times New Roman"/>
          <w:b/>
          <w:u w:val="single"/>
          <w:lang w:val="es-CO"/>
        </w:rPr>
        <w:br w:type="page"/>
      </w:r>
    </w:p>
    <w:p w14:paraId="26A55C31" w14:textId="77777777" w:rsidR="00037533" w:rsidRPr="00606E51" w:rsidRDefault="00270985" w:rsidP="00285C40">
      <w:pPr>
        <w:jc w:val="both"/>
        <w:rPr>
          <w:rFonts w:cs="Times New Roman"/>
          <w:b/>
          <w:sz w:val="24"/>
          <w:szCs w:val="24"/>
          <w:lang w:val="es-CO"/>
        </w:rPr>
      </w:pPr>
      <w:r w:rsidRPr="00606E51">
        <w:rPr>
          <w:rFonts w:cs="Times New Roman"/>
          <w:b/>
          <w:sz w:val="24"/>
          <w:szCs w:val="24"/>
          <w:lang w:val="es-CO"/>
        </w:rPr>
        <w:lastRenderedPageBreak/>
        <w:t>Evaluador principal</w:t>
      </w:r>
      <w:r w:rsidR="00897A1C" w:rsidRPr="00606E51">
        <w:rPr>
          <w:rFonts w:cs="Times New Roman"/>
          <w:b/>
          <w:sz w:val="24"/>
          <w:szCs w:val="24"/>
          <w:lang w:val="es-CO"/>
        </w:rPr>
        <w:t xml:space="preserve"> (externo)</w:t>
      </w:r>
      <w:r w:rsidR="004D4883" w:rsidRPr="00606E51">
        <w:rPr>
          <w:rStyle w:val="FootnoteReference"/>
          <w:rFonts w:cs="Times New Roman"/>
          <w:b/>
          <w:sz w:val="24"/>
          <w:szCs w:val="24"/>
          <w:lang w:val="es-CO"/>
        </w:rPr>
        <w:footnoteReference w:id="1"/>
      </w:r>
      <w:r w:rsidR="00037533" w:rsidRPr="00606E51">
        <w:rPr>
          <w:rFonts w:cs="Times New Roman"/>
          <w:b/>
          <w:sz w:val="24"/>
          <w:szCs w:val="24"/>
          <w:lang w:val="es-CO"/>
        </w:rPr>
        <w:t xml:space="preserve">: </w:t>
      </w:r>
    </w:p>
    <w:p w14:paraId="30CE8BBC" w14:textId="77777777" w:rsidR="00037533" w:rsidRPr="00606E51" w:rsidRDefault="00037533" w:rsidP="00285C40">
      <w:pPr>
        <w:jc w:val="both"/>
        <w:rPr>
          <w:rFonts w:cs="Times New Roman"/>
          <w:lang w:val="es-CO"/>
        </w:rPr>
      </w:pPr>
      <w:r w:rsidRPr="00606E51">
        <w:rPr>
          <w:rFonts w:cs="Times New Roman"/>
          <w:lang w:val="es-CO"/>
        </w:rPr>
        <w:t>Orlando Gracia Fajardo</w:t>
      </w:r>
    </w:p>
    <w:p w14:paraId="7ED36D28" w14:textId="77777777" w:rsidR="00037533" w:rsidRPr="00606E51" w:rsidRDefault="00037533" w:rsidP="00285C40">
      <w:pPr>
        <w:jc w:val="both"/>
        <w:rPr>
          <w:rFonts w:cs="Times New Roman"/>
          <w:lang w:val="es-CO"/>
        </w:rPr>
      </w:pPr>
      <w:r w:rsidRPr="00606E51">
        <w:rPr>
          <w:rFonts w:cs="Times New Roman"/>
          <w:lang w:val="es-CO"/>
        </w:rPr>
        <w:t>Consultor independiente</w:t>
      </w:r>
    </w:p>
    <w:p w14:paraId="100F8AC6" w14:textId="77777777" w:rsidR="00037533" w:rsidRPr="00606E51" w:rsidRDefault="00037533" w:rsidP="00285C40">
      <w:pPr>
        <w:jc w:val="both"/>
        <w:rPr>
          <w:rFonts w:cs="Times New Roman"/>
          <w:lang w:val="es-CO"/>
        </w:rPr>
      </w:pPr>
    </w:p>
    <w:p w14:paraId="3F4B8F7E" w14:textId="77777777" w:rsidR="00037533" w:rsidRPr="00606E51" w:rsidRDefault="00037533" w:rsidP="00285C40">
      <w:pPr>
        <w:jc w:val="both"/>
        <w:rPr>
          <w:rFonts w:cs="Times New Roman"/>
          <w:b/>
          <w:sz w:val="24"/>
          <w:szCs w:val="24"/>
          <w:lang w:val="es-CO"/>
        </w:rPr>
      </w:pPr>
      <w:r w:rsidRPr="00606E51">
        <w:rPr>
          <w:rFonts w:cs="Times New Roman"/>
          <w:b/>
          <w:sz w:val="24"/>
          <w:szCs w:val="24"/>
          <w:lang w:val="es-CO"/>
        </w:rPr>
        <w:t>Equipo Evaluador:</w:t>
      </w:r>
    </w:p>
    <w:p w14:paraId="50CCAC24" w14:textId="77777777" w:rsidR="00037533" w:rsidRPr="00606E51" w:rsidRDefault="00037533" w:rsidP="00BB1D7B">
      <w:pPr>
        <w:pStyle w:val="ListParagraph"/>
        <w:numPr>
          <w:ilvl w:val="0"/>
          <w:numId w:val="25"/>
        </w:numPr>
        <w:jc w:val="both"/>
        <w:rPr>
          <w:rFonts w:cs="Times New Roman"/>
          <w:lang w:val="es-CO"/>
        </w:rPr>
      </w:pPr>
      <w:r w:rsidRPr="00606E51">
        <w:rPr>
          <w:rFonts w:cs="Times New Roman"/>
          <w:lang w:val="es-CO"/>
        </w:rPr>
        <w:t xml:space="preserve">Componente de </w:t>
      </w:r>
      <w:r w:rsidR="006376B7" w:rsidRPr="00606E51">
        <w:rPr>
          <w:rFonts w:cs="Times New Roman"/>
          <w:lang w:val="es-CO"/>
        </w:rPr>
        <w:t>adherencia</w:t>
      </w:r>
      <w:r w:rsidRPr="00606E51">
        <w:rPr>
          <w:rFonts w:cs="Times New Roman"/>
          <w:lang w:val="es-CO"/>
        </w:rPr>
        <w:t>:</w:t>
      </w:r>
    </w:p>
    <w:p w14:paraId="56F4B2F9" w14:textId="77777777" w:rsidR="009A1F55" w:rsidRPr="00606E51" w:rsidRDefault="009A1F55" w:rsidP="00897A1C">
      <w:pPr>
        <w:ind w:firstLine="720"/>
        <w:jc w:val="both"/>
        <w:rPr>
          <w:rFonts w:cs="Times New Roman"/>
          <w:lang w:val="es-CO"/>
        </w:rPr>
      </w:pPr>
      <w:r w:rsidRPr="00606E51">
        <w:rPr>
          <w:rFonts w:cs="Times New Roman"/>
          <w:lang w:val="es-CO"/>
        </w:rPr>
        <w:t>Orlando Gracia</w:t>
      </w:r>
    </w:p>
    <w:p w14:paraId="0482E8C1" w14:textId="77777777" w:rsidR="00037533" w:rsidRPr="00606E51" w:rsidRDefault="00037533" w:rsidP="00897A1C">
      <w:pPr>
        <w:ind w:left="720"/>
        <w:jc w:val="both"/>
        <w:rPr>
          <w:rFonts w:cs="Times New Roman"/>
          <w:lang w:val="es-CO"/>
        </w:rPr>
      </w:pPr>
      <w:r w:rsidRPr="00606E51">
        <w:rPr>
          <w:rFonts w:cs="Times New Roman"/>
          <w:lang w:val="es-CO"/>
        </w:rPr>
        <w:t>Elizabeth Prado</w:t>
      </w:r>
    </w:p>
    <w:p w14:paraId="2D27F5FA" w14:textId="77777777" w:rsidR="00037533" w:rsidRPr="00606E51" w:rsidRDefault="00037533" w:rsidP="00285C40">
      <w:pPr>
        <w:jc w:val="both"/>
        <w:rPr>
          <w:rFonts w:cs="Times New Roman"/>
          <w:lang w:val="es-CO"/>
        </w:rPr>
      </w:pPr>
    </w:p>
    <w:p w14:paraId="711444B2" w14:textId="77777777" w:rsidR="00037533" w:rsidRPr="00606E51" w:rsidRDefault="00037533" w:rsidP="00BB1D7B">
      <w:pPr>
        <w:pStyle w:val="ListParagraph"/>
        <w:numPr>
          <w:ilvl w:val="0"/>
          <w:numId w:val="25"/>
        </w:numPr>
        <w:jc w:val="both"/>
        <w:rPr>
          <w:rFonts w:cs="Times New Roman"/>
          <w:lang w:val="es-CO"/>
        </w:rPr>
      </w:pPr>
      <w:r w:rsidRPr="00606E51">
        <w:rPr>
          <w:rFonts w:cs="Times New Roman"/>
          <w:lang w:val="es-CO"/>
        </w:rPr>
        <w:t>Componente de Costo-Efectividad</w:t>
      </w:r>
      <w:r w:rsidR="009A1F55" w:rsidRPr="00606E51">
        <w:rPr>
          <w:rFonts w:cs="Times New Roman"/>
          <w:lang w:val="es-CO"/>
        </w:rPr>
        <w:t xml:space="preserve">: </w:t>
      </w:r>
    </w:p>
    <w:p w14:paraId="319C4871" w14:textId="77777777" w:rsidR="006726B0" w:rsidRPr="00606E51" w:rsidRDefault="00B5508A" w:rsidP="00897A1C">
      <w:pPr>
        <w:ind w:firstLine="720"/>
        <w:jc w:val="both"/>
        <w:rPr>
          <w:rFonts w:cs="Times New Roman"/>
          <w:lang w:val="es-CO"/>
        </w:rPr>
      </w:pPr>
      <w:r w:rsidRPr="00606E51">
        <w:rPr>
          <w:rFonts w:cs="Times New Roman"/>
          <w:lang w:val="es-CO"/>
        </w:rPr>
        <w:t>Raúl</w:t>
      </w:r>
      <w:r w:rsidR="006726B0" w:rsidRPr="00606E51">
        <w:rPr>
          <w:rFonts w:cs="Times New Roman"/>
          <w:lang w:val="es-CO"/>
        </w:rPr>
        <w:t xml:space="preserve"> Castro </w:t>
      </w:r>
      <w:r w:rsidRPr="00606E51">
        <w:rPr>
          <w:rFonts w:cs="Times New Roman"/>
          <w:lang w:val="es-CO"/>
        </w:rPr>
        <w:t>Rodríguez</w:t>
      </w:r>
    </w:p>
    <w:p w14:paraId="5393E08E" w14:textId="77777777" w:rsidR="006726B0" w:rsidRPr="00606E51" w:rsidRDefault="006726B0" w:rsidP="00897A1C">
      <w:pPr>
        <w:ind w:firstLine="720"/>
        <w:jc w:val="both"/>
        <w:rPr>
          <w:rFonts w:cs="Times New Roman"/>
          <w:lang w:val="es-CO"/>
        </w:rPr>
      </w:pPr>
      <w:r w:rsidRPr="00606E51">
        <w:rPr>
          <w:rFonts w:cs="Times New Roman"/>
          <w:lang w:val="es-CO"/>
        </w:rPr>
        <w:t>Manuel Felipe Avella</w:t>
      </w:r>
    </w:p>
    <w:p w14:paraId="6B1A88B1" w14:textId="77777777" w:rsidR="00584B06" w:rsidRPr="00606E51" w:rsidRDefault="00584B06" w:rsidP="00285C40">
      <w:pPr>
        <w:jc w:val="both"/>
        <w:rPr>
          <w:rFonts w:cs="Times New Roman"/>
          <w:lang w:val="es-CO"/>
        </w:rPr>
      </w:pPr>
    </w:p>
    <w:p w14:paraId="73FAD7B9" w14:textId="77777777" w:rsidR="00037533" w:rsidRPr="00606E51" w:rsidRDefault="003D52B5" w:rsidP="00285C40">
      <w:pPr>
        <w:jc w:val="both"/>
        <w:rPr>
          <w:rFonts w:cs="Times New Roman"/>
          <w:b/>
          <w:lang w:val="es-CO"/>
        </w:rPr>
      </w:pPr>
      <w:r w:rsidRPr="00606E51">
        <w:rPr>
          <w:rFonts w:cs="Times New Roman"/>
          <w:b/>
          <w:lang w:val="es-CO"/>
        </w:rPr>
        <w:t>Supervisión</w:t>
      </w:r>
      <w:r w:rsidR="00037533" w:rsidRPr="00606E51">
        <w:rPr>
          <w:rFonts w:cs="Times New Roman"/>
          <w:b/>
          <w:lang w:val="es-CO"/>
        </w:rPr>
        <w:t xml:space="preserve"> de la Evaluación en UNICEF:</w:t>
      </w:r>
    </w:p>
    <w:p w14:paraId="7932C3EC" w14:textId="77777777" w:rsidR="00037533" w:rsidRPr="00606E51" w:rsidRDefault="000A7137" w:rsidP="00285C40">
      <w:pPr>
        <w:jc w:val="both"/>
        <w:rPr>
          <w:rFonts w:cs="Times New Roman"/>
          <w:highlight w:val="yellow"/>
          <w:lang w:val="es-CO"/>
        </w:rPr>
      </w:pPr>
      <w:r w:rsidRPr="00606E51">
        <w:rPr>
          <w:rFonts w:cs="Times New Roman"/>
          <w:lang w:val="es-CO"/>
        </w:rPr>
        <w:t>Sergio Riaga</w:t>
      </w:r>
      <w:r w:rsidR="00897A1C" w:rsidRPr="00606E51">
        <w:rPr>
          <w:rFonts w:cs="Times New Roman"/>
          <w:lang w:val="es-CO"/>
        </w:rPr>
        <w:t>, Oficial de Monitoreo y Evaluación</w:t>
      </w:r>
    </w:p>
    <w:p w14:paraId="2B932E58" w14:textId="77777777" w:rsidR="00037533" w:rsidRPr="00606E51" w:rsidRDefault="00037533" w:rsidP="00285C40">
      <w:pPr>
        <w:jc w:val="both"/>
        <w:rPr>
          <w:rFonts w:cs="Times New Roman"/>
          <w:lang w:val="es-CO"/>
        </w:rPr>
      </w:pPr>
    </w:p>
    <w:p w14:paraId="4865B851" w14:textId="77777777" w:rsidR="004C75A5" w:rsidRPr="00606E51" w:rsidRDefault="004C75A5" w:rsidP="00285C40">
      <w:pPr>
        <w:jc w:val="both"/>
        <w:rPr>
          <w:rFonts w:cs="Times New Roman"/>
          <w:b/>
          <w:lang w:val="es-CO"/>
        </w:rPr>
      </w:pPr>
      <w:r w:rsidRPr="00606E51">
        <w:rPr>
          <w:rFonts w:cs="Times New Roman"/>
          <w:b/>
          <w:lang w:val="es-CO"/>
        </w:rPr>
        <w:t xml:space="preserve">Equipo técnico de UNICEF </w:t>
      </w:r>
      <w:r w:rsidR="00D9635E" w:rsidRPr="00606E51">
        <w:rPr>
          <w:rFonts w:cs="Times New Roman"/>
          <w:b/>
          <w:lang w:val="es-CO"/>
        </w:rPr>
        <w:t>que acompañó la evaluación</w:t>
      </w:r>
    </w:p>
    <w:p w14:paraId="015CC6CF" w14:textId="77777777" w:rsidR="00D9635E" w:rsidRPr="00606E51" w:rsidRDefault="00D9635E" w:rsidP="00285C40">
      <w:pPr>
        <w:jc w:val="both"/>
        <w:rPr>
          <w:rFonts w:cs="Times New Roman"/>
          <w:lang w:val="es-CO"/>
        </w:rPr>
      </w:pPr>
      <w:r w:rsidRPr="00606E51">
        <w:rPr>
          <w:rFonts w:cs="Times New Roman"/>
          <w:lang w:val="es-CO"/>
        </w:rPr>
        <w:t>María del Pilar Rodríguez</w:t>
      </w:r>
      <w:r w:rsidR="00897A1C" w:rsidRPr="00606E51">
        <w:rPr>
          <w:rFonts w:cs="Times New Roman"/>
          <w:lang w:val="es-CO"/>
        </w:rPr>
        <w:t>, Oficial de Salud y Nutrición</w:t>
      </w:r>
    </w:p>
    <w:p w14:paraId="5F439C55" w14:textId="77777777" w:rsidR="00D9635E" w:rsidRPr="00606E51" w:rsidRDefault="00D9635E" w:rsidP="00285C40">
      <w:pPr>
        <w:jc w:val="both"/>
        <w:rPr>
          <w:rFonts w:cs="Times New Roman"/>
          <w:lang w:val="es-CO"/>
        </w:rPr>
      </w:pPr>
      <w:r w:rsidRPr="00606E51">
        <w:rPr>
          <w:rFonts w:cs="Times New Roman"/>
          <w:lang w:val="es-CO"/>
        </w:rPr>
        <w:t>Zandra Consuelo Estupiñan</w:t>
      </w:r>
      <w:r w:rsidR="00897A1C" w:rsidRPr="00606E51">
        <w:rPr>
          <w:rFonts w:cs="Times New Roman"/>
          <w:lang w:val="es-CO"/>
        </w:rPr>
        <w:t>, Consultora de UNICEF en Salud y Nutrición</w:t>
      </w:r>
    </w:p>
    <w:p w14:paraId="3FD15E5E" w14:textId="77777777" w:rsidR="004C75A5" w:rsidRPr="00606E51" w:rsidRDefault="004C75A5" w:rsidP="00285C40">
      <w:pPr>
        <w:jc w:val="both"/>
        <w:rPr>
          <w:rFonts w:cs="Times New Roman"/>
          <w:lang w:val="es-CO"/>
        </w:rPr>
      </w:pPr>
    </w:p>
    <w:p w14:paraId="5E1E1A42" w14:textId="77777777" w:rsidR="00037533" w:rsidRPr="00606E51" w:rsidRDefault="00037533" w:rsidP="00285C40">
      <w:pPr>
        <w:jc w:val="both"/>
        <w:rPr>
          <w:rFonts w:cs="Times New Roman"/>
          <w:b/>
          <w:u w:val="single"/>
          <w:lang w:val="es-CO"/>
        </w:rPr>
      </w:pPr>
    </w:p>
    <w:p w14:paraId="43E23536" w14:textId="77777777" w:rsidR="00D57977" w:rsidRPr="00606E51" w:rsidRDefault="00D57977" w:rsidP="00285C40">
      <w:pPr>
        <w:jc w:val="both"/>
        <w:rPr>
          <w:rFonts w:cs="Times New Roman"/>
          <w:b/>
          <w:lang w:val="es-CO"/>
        </w:rPr>
      </w:pPr>
      <w:r w:rsidRPr="00606E51">
        <w:rPr>
          <w:rFonts w:cs="Times New Roman"/>
          <w:b/>
          <w:lang w:val="es-CO"/>
        </w:rPr>
        <w:t xml:space="preserve">Entidades que contribuyeron al desarrollo de </w:t>
      </w:r>
      <w:r w:rsidR="0096413A" w:rsidRPr="00606E51">
        <w:rPr>
          <w:rFonts w:cs="Times New Roman"/>
          <w:b/>
          <w:lang w:val="es-CO"/>
        </w:rPr>
        <w:t>la evaluación</w:t>
      </w:r>
    </w:p>
    <w:p w14:paraId="58202D49" w14:textId="77777777" w:rsidR="00D57977" w:rsidRPr="00606E51" w:rsidRDefault="00E4214E" w:rsidP="00BB1D7B">
      <w:pPr>
        <w:pStyle w:val="ListParagraph"/>
        <w:numPr>
          <w:ilvl w:val="0"/>
          <w:numId w:val="25"/>
        </w:numPr>
        <w:jc w:val="both"/>
        <w:rPr>
          <w:rFonts w:cs="Times New Roman"/>
          <w:lang w:val="es-CO"/>
        </w:rPr>
      </w:pPr>
      <w:r w:rsidRPr="00606E51">
        <w:rPr>
          <w:rFonts w:cs="Times New Roman"/>
          <w:lang w:val="es-CO"/>
        </w:rPr>
        <w:t>Oficina en Colombia del Fondo de las Naciones Unidas para la Infancia</w:t>
      </w:r>
      <w:r w:rsidR="0067395F" w:rsidRPr="00606E51">
        <w:rPr>
          <w:rFonts w:cs="Times New Roman"/>
          <w:lang w:val="es-CO"/>
        </w:rPr>
        <w:t xml:space="preserve"> (UNICEF)</w:t>
      </w:r>
    </w:p>
    <w:p w14:paraId="65762D19" w14:textId="77777777" w:rsidR="00897A1C" w:rsidRPr="00606E51" w:rsidRDefault="00897A1C" w:rsidP="00BB1D7B">
      <w:pPr>
        <w:pStyle w:val="ListParagraph"/>
        <w:numPr>
          <w:ilvl w:val="0"/>
          <w:numId w:val="25"/>
        </w:numPr>
        <w:jc w:val="both"/>
        <w:rPr>
          <w:rFonts w:cs="Times New Roman"/>
          <w:lang w:val="es-CO"/>
        </w:rPr>
      </w:pPr>
      <w:r w:rsidRPr="00606E51">
        <w:rPr>
          <w:rFonts w:cs="Times New Roman"/>
          <w:lang w:val="es-CO"/>
        </w:rPr>
        <w:t xml:space="preserve">Ministerio de Salud y Protección Social </w:t>
      </w:r>
    </w:p>
    <w:p w14:paraId="01AD0149" w14:textId="77777777" w:rsidR="00897A1C" w:rsidRPr="00606E51" w:rsidRDefault="0096413A" w:rsidP="00BB1D7B">
      <w:pPr>
        <w:pStyle w:val="ListParagraph"/>
        <w:numPr>
          <w:ilvl w:val="1"/>
          <w:numId w:val="25"/>
        </w:numPr>
        <w:jc w:val="both"/>
        <w:rPr>
          <w:rFonts w:cs="Times New Roman"/>
          <w:lang w:val="es-CO"/>
        </w:rPr>
      </w:pPr>
      <w:r w:rsidRPr="00606E51">
        <w:rPr>
          <w:rFonts w:cs="Times New Roman"/>
          <w:lang w:val="es-CO"/>
        </w:rPr>
        <w:t>Subdirecció</w:t>
      </w:r>
      <w:r w:rsidR="00F76CAF" w:rsidRPr="00606E51">
        <w:rPr>
          <w:rFonts w:cs="Times New Roman"/>
          <w:lang w:val="es-CO"/>
        </w:rPr>
        <w:t>n de s</w:t>
      </w:r>
      <w:r w:rsidR="00131AA3" w:rsidRPr="00606E51">
        <w:rPr>
          <w:rFonts w:cs="Times New Roman"/>
          <w:lang w:val="es-CO"/>
        </w:rPr>
        <w:t>alud</w:t>
      </w:r>
      <w:r w:rsidR="00F76CAF" w:rsidRPr="00606E51">
        <w:rPr>
          <w:rFonts w:cs="Times New Roman"/>
          <w:lang w:val="es-CO"/>
        </w:rPr>
        <w:t xml:space="preserve"> n</w:t>
      </w:r>
      <w:r w:rsidRPr="00606E51">
        <w:rPr>
          <w:rFonts w:cs="Times New Roman"/>
          <w:lang w:val="es-CO"/>
        </w:rPr>
        <w:t>utrici</w:t>
      </w:r>
      <w:r w:rsidR="00131AA3" w:rsidRPr="00606E51">
        <w:rPr>
          <w:rFonts w:cs="Times New Roman"/>
          <w:lang w:val="es-CO"/>
        </w:rPr>
        <w:t>onal, alimentos y bebidas</w:t>
      </w:r>
      <w:r w:rsidRPr="00606E51">
        <w:rPr>
          <w:rFonts w:cs="Times New Roman"/>
          <w:lang w:val="es-CO"/>
        </w:rPr>
        <w:t xml:space="preserve"> </w:t>
      </w:r>
    </w:p>
    <w:p w14:paraId="651701E4" w14:textId="77777777" w:rsidR="00D57977" w:rsidRPr="00606E51" w:rsidRDefault="00897A1C" w:rsidP="00BB1D7B">
      <w:pPr>
        <w:pStyle w:val="ListParagraph"/>
        <w:numPr>
          <w:ilvl w:val="1"/>
          <w:numId w:val="25"/>
        </w:numPr>
        <w:jc w:val="both"/>
        <w:rPr>
          <w:rFonts w:cs="Times New Roman"/>
          <w:lang w:val="es-CO"/>
        </w:rPr>
      </w:pPr>
      <w:r w:rsidRPr="00606E51">
        <w:rPr>
          <w:rFonts w:cs="Times New Roman"/>
          <w:lang w:val="es-CO"/>
        </w:rPr>
        <w:t>G</w:t>
      </w:r>
      <w:r w:rsidR="00F76CAF" w:rsidRPr="00606E51">
        <w:rPr>
          <w:rFonts w:cs="Times New Roman"/>
          <w:lang w:val="es-CO"/>
        </w:rPr>
        <w:t>rupo de estudios sectoriales y</w:t>
      </w:r>
      <w:r w:rsidRPr="00606E51">
        <w:rPr>
          <w:rFonts w:cs="Times New Roman"/>
          <w:lang w:val="es-CO"/>
        </w:rPr>
        <w:t xml:space="preserve"> evaluación de política pública</w:t>
      </w:r>
    </w:p>
    <w:p w14:paraId="3EB086C2" w14:textId="77777777" w:rsidR="00897A1C" w:rsidRPr="00606E51" w:rsidRDefault="006E0CA1" w:rsidP="00BB1D7B">
      <w:pPr>
        <w:pStyle w:val="ListParagraph"/>
        <w:numPr>
          <w:ilvl w:val="0"/>
          <w:numId w:val="25"/>
        </w:numPr>
        <w:jc w:val="both"/>
        <w:rPr>
          <w:rFonts w:cs="Times New Roman"/>
          <w:lang w:val="es-CO"/>
        </w:rPr>
      </w:pPr>
      <w:r w:rsidRPr="00606E51">
        <w:rPr>
          <w:rFonts w:cs="Times New Roman"/>
          <w:lang w:val="es-CO"/>
        </w:rPr>
        <w:t xml:space="preserve">Secretarías de salud de los municipios de Manaure, Maicao, Riohacha y Uribia </w:t>
      </w:r>
    </w:p>
    <w:p w14:paraId="152EA5C8" w14:textId="77777777" w:rsidR="00897A1C" w:rsidRPr="00606E51" w:rsidRDefault="00897A1C" w:rsidP="00BB1D7B">
      <w:pPr>
        <w:pStyle w:val="ListParagraph"/>
        <w:numPr>
          <w:ilvl w:val="0"/>
          <w:numId w:val="25"/>
        </w:numPr>
        <w:jc w:val="both"/>
        <w:rPr>
          <w:rFonts w:cs="Times New Roman"/>
          <w:lang w:val="es-CO"/>
        </w:rPr>
      </w:pPr>
      <w:r w:rsidRPr="00606E51">
        <w:rPr>
          <w:rFonts w:cs="Times New Roman"/>
          <w:lang w:val="es-CO"/>
        </w:rPr>
        <w:t>S</w:t>
      </w:r>
      <w:r w:rsidR="006E0CA1" w:rsidRPr="00606E51">
        <w:rPr>
          <w:rFonts w:cs="Times New Roman"/>
          <w:lang w:val="es-CO"/>
        </w:rPr>
        <w:t>ecretaría de salud del departamento de La Guajira</w:t>
      </w:r>
    </w:p>
    <w:p w14:paraId="399AB350" w14:textId="77777777" w:rsidR="006E0CA1" w:rsidRPr="00606E51" w:rsidRDefault="00630C12" w:rsidP="00BB1D7B">
      <w:pPr>
        <w:pStyle w:val="ListParagraph"/>
        <w:numPr>
          <w:ilvl w:val="0"/>
          <w:numId w:val="25"/>
        </w:numPr>
        <w:jc w:val="both"/>
        <w:rPr>
          <w:rFonts w:cs="Times New Roman"/>
          <w:lang w:val="es-CO"/>
        </w:rPr>
      </w:pPr>
      <w:r w:rsidRPr="00606E51">
        <w:rPr>
          <w:rFonts w:cs="Times New Roman"/>
          <w:lang w:val="es-CO"/>
        </w:rPr>
        <w:t>A</w:t>
      </w:r>
      <w:r w:rsidR="00E72B33" w:rsidRPr="00606E51">
        <w:rPr>
          <w:rFonts w:cs="Times New Roman"/>
          <w:lang w:val="es-CO"/>
        </w:rPr>
        <w:t>seguradores y p</w:t>
      </w:r>
      <w:r w:rsidRPr="00606E51">
        <w:rPr>
          <w:rFonts w:cs="Times New Roman"/>
          <w:lang w:val="es-CO"/>
        </w:rPr>
        <w:t xml:space="preserve">restadores </w:t>
      </w:r>
      <w:r w:rsidR="008A3D94" w:rsidRPr="00606E51">
        <w:rPr>
          <w:rFonts w:cs="Times New Roman"/>
          <w:lang w:val="es-CO"/>
        </w:rPr>
        <w:t xml:space="preserve">en salud </w:t>
      </w:r>
      <w:r w:rsidRPr="00606E51">
        <w:rPr>
          <w:rFonts w:cs="Times New Roman"/>
          <w:lang w:val="es-CO"/>
        </w:rPr>
        <w:t>del departamento de La Guajira</w:t>
      </w:r>
    </w:p>
    <w:p w14:paraId="7EDDCCBD" w14:textId="77777777" w:rsidR="00D57977" w:rsidRPr="00606E51" w:rsidRDefault="00D57977" w:rsidP="00285C40">
      <w:pPr>
        <w:jc w:val="both"/>
        <w:rPr>
          <w:rFonts w:cs="Times New Roman"/>
          <w:lang w:val="es-CO"/>
        </w:rPr>
      </w:pPr>
    </w:p>
    <w:p w14:paraId="1E047635" w14:textId="77777777" w:rsidR="00D57977" w:rsidRPr="00606E51" w:rsidRDefault="00D57977" w:rsidP="00285C40">
      <w:pPr>
        <w:jc w:val="both"/>
        <w:rPr>
          <w:rFonts w:cs="Times New Roman"/>
          <w:b/>
          <w:lang w:val="es-CO"/>
        </w:rPr>
      </w:pPr>
      <w:r w:rsidRPr="00606E51">
        <w:rPr>
          <w:rFonts w:cs="Times New Roman"/>
          <w:b/>
          <w:lang w:val="es-CO"/>
        </w:rPr>
        <w:t>Fecha de presentaci</w:t>
      </w:r>
      <w:r w:rsidR="00F76CAF" w:rsidRPr="00606E51">
        <w:rPr>
          <w:rFonts w:cs="Times New Roman"/>
          <w:b/>
          <w:lang w:val="es-CO"/>
        </w:rPr>
        <w:t xml:space="preserve">ón </w:t>
      </w:r>
      <w:r w:rsidRPr="00606E51">
        <w:rPr>
          <w:rFonts w:cs="Times New Roman"/>
          <w:b/>
          <w:lang w:val="es-CO"/>
        </w:rPr>
        <w:t>del informe final:</w:t>
      </w:r>
    </w:p>
    <w:p w14:paraId="2C37995C" w14:textId="77777777" w:rsidR="00D57977" w:rsidRPr="00606E51" w:rsidRDefault="00E348F0" w:rsidP="00285C40">
      <w:pPr>
        <w:jc w:val="both"/>
        <w:rPr>
          <w:rFonts w:cs="Times New Roman"/>
          <w:lang w:val="es-CO"/>
        </w:rPr>
      </w:pPr>
      <w:r w:rsidRPr="00606E51">
        <w:rPr>
          <w:rFonts w:cs="Times New Roman"/>
          <w:lang w:val="es-CO"/>
        </w:rPr>
        <w:t>Septiembre</w:t>
      </w:r>
      <w:r w:rsidR="00897A1C" w:rsidRPr="00606E51">
        <w:rPr>
          <w:rFonts w:cs="Times New Roman"/>
          <w:lang w:val="es-CO"/>
        </w:rPr>
        <w:t xml:space="preserve"> </w:t>
      </w:r>
      <w:r w:rsidR="00D57977" w:rsidRPr="00606E51">
        <w:rPr>
          <w:rFonts w:cs="Times New Roman"/>
          <w:lang w:val="es-CO"/>
        </w:rPr>
        <w:t>de 2017</w:t>
      </w:r>
    </w:p>
    <w:p w14:paraId="6C032A8C" w14:textId="77777777" w:rsidR="00694BAB" w:rsidRPr="00606E51" w:rsidRDefault="00694BAB" w:rsidP="00285C40">
      <w:pPr>
        <w:jc w:val="both"/>
        <w:rPr>
          <w:rFonts w:cs="Times New Roman"/>
          <w:lang w:val="es-CO"/>
        </w:rPr>
      </w:pPr>
    </w:p>
    <w:p w14:paraId="50842BAD" w14:textId="77777777" w:rsidR="00037533" w:rsidRPr="00606E51" w:rsidRDefault="009B4F8C" w:rsidP="00843C37">
      <w:pPr>
        <w:rPr>
          <w:rFonts w:cs="Times New Roman"/>
          <w:sz w:val="16"/>
          <w:szCs w:val="16"/>
          <w:lang w:val="es-CO"/>
        </w:rPr>
      </w:pPr>
      <w:r w:rsidRPr="00606E51">
        <w:rPr>
          <w:rFonts w:cs="Times New Roman"/>
          <w:sz w:val="16"/>
          <w:szCs w:val="16"/>
          <w:lang w:val="es-CO"/>
        </w:rPr>
        <w:br w:type="page"/>
      </w:r>
    </w:p>
    <w:p w14:paraId="798C7E8F" w14:textId="77777777" w:rsidR="008E5285" w:rsidRPr="00606E51" w:rsidRDefault="006C3C4D" w:rsidP="000B1FB0">
      <w:pPr>
        <w:rPr>
          <w:rFonts w:cs="Times New Roman"/>
          <w:lang w:val="es-CO"/>
        </w:rPr>
      </w:pPr>
      <w:r w:rsidRPr="00606E51">
        <w:rPr>
          <w:color w:val="234F77" w:themeColor="accent2" w:themeShade="80"/>
          <w:sz w:val="26"/>
          <w:szCs w:val="26"/>
          <w:lang w:val="es-CO"/>
        </w:rPr>
        <w:lastRenderedPageBreak/>
        <w:t>Tabla de Contenido</w:t>
      </w:r>
    </w:p>
    <w:p w14:paraId="0ABB5393" w14:textId="27476EB2" w:rsidR="00F23D4C" w:rsidRPr="00F23D4C" w:rsidRDefault="0085148E">
      <w:pPr>
        <w:pStyle w:val="TOC1"/>
        <w:tabs>
          <w:tab w:val="left" w:pos="440"/>
          <w:tab w:val="right" w:leader="dot" w:pos="8828"/>
        </w:tabs>
        <w:rPr>
          <w:rFonts w:eastAsiaTheme="minorEastAsia" w:cstheme="minorBidi"/>
          <w:b w:val="0"/>
          <w:bCs w:val="0"/>
          <w:noProof/>
          <w:sz w:val="22"/>
          <w:szCs w:val="22"/>
          <w:lang w:val="es-CO"/>
        </w:rPr>
      </w:pPr>
      <w:r w:rsidRPr="00606E51">
        <w:rPr>
          <w:rFonts w:ascii="Times New Roman" w:hAnsi="Times New Roman" w:cs="Times New Roman"/>
          <w:b w:val="0"/>
          <w:sz w:val="22"/>
          <w:szCs w:val="22"/>
          <w:lang w:val="es-CO"/>
        </w:rPr>
        <w:fldChar w:fldCharType="begin"/>
      </w:r>
      <w:r w:rsidRPr="00606E51">
        <w:rPr>
          <w:rFonts w:ascii="Times New Roman" w:hAnsi="Times New Roman" w:cs="Times New Roman"/>
          <w:b w:val="0"/>
          <w:sz w:val="22"/>
          <w:szCs w:val="22"/>
          <w:lang w:val="es-CO"/>
        </w:rPr>
        <w:instrText xml:space="preserve"> TOC \o "1-3" </w:instrText>
      </w:r>
      <w:r w:rsidRPr="00606E51">
        <w:rPr>
          <w:rFonts w:ascii="Times New Roman" w:hAnsi="Times New Roman" w:cs="Times New Roman"/>
          <w:b w:val="0"/>
          <w:sz w:val="22"/>
          <w:szCs w:val="22"/>
          <w:lang w:val="es-CO"/>
        </w:rPr>
        <w:fldChar w:fldCharType="separate"/>
      </w:r>
      <w:r w:rsidR="00F23D4C" w:rsidRPr="003B68FE">
        <w:rPr>
          <w:noProof/>
          <w:lang w:val="es-CO"/>
        </w:rPr>
        <w:t>1.</w:t>
      </w:r>
      <w:r w:rsidR="00F23D4C" w:rsidRPr="00F23D4C">
        <w:rPr>
          <w:rFonts w:eastAsiaTheme="minorEastAsia" w:cstheme="minorBidi"/>
          <w:b w:val="0"/>
          <w:bCs w:val="0"/>
          <w:noProof/>
          <w:sz w:val="22"/>
          <w:szCs w:val="22"/>
          <w:lang w:val="es-CO"/>
        </w:rPr>
        <w:tab/>
      </w:r>
      <w:r w:rsidR="00F23D4C" w:rsidRPr="003B68FE">
        <w:rPr>
          <w:noProof/>
          <w:lang w:val="es-CO"/>
        </w:rPr>
        <w:t>Contexto</w:t>
      </w:r>
      <w:r w:rsidR="00F23D4C">
        <w:rPr>
          <w:noProof/>
        </w:rPr>
        <w:tab/>
      </w:r>
      <w:r w:rsidR="00F23D4C">
        <w:rPr>
          <w:noProof/>
        </w:rPr>
        <w:fldChar w:fldCharType="begin"/>
      </w:r>
      <w:r w:rsidR="00F23D4C">
        <w:rPr>
          <w:noProof/>
        </w:rPr>
        <w:instrText xml:space="preserve"> PAGEREF _Toc505090931 \h </w:instrText>
      </w:r>
      <w:r w:rsidR="00F23D4C">
        <w:rPr>
          <w:noProof/>
        </w:rPr>
      </w:r>
      <w:r w:rsidR="00F23D4C">
        <w:rPr>
          <w:noProof/>
        </w:rPr>
        <w:fldChar w:fldCharType="separate"/>
      </w:r>
      <w:r w:rsidR="00F23D4C">
        <w:rPr>
          <w:noProof/>
        </w:rPr>
        <w:t>10</w:t>
      </w:r>
      <w:r w:rsidR="00F23D4C">
        <w:rPr>
          <w:noProof/>
        </w:rPr>
        <w:fldChar w:fldCharType="end"/>
      </w:r>
    </w:p>
    <w:p w14:paraId="4F81D37E" w14:textId="083ED254"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1.1.</w:t>
      </w:r>
      <w:r w:rsidRPr="00F23D4C">
        <w:rPr>
          <w:rFonts w:eastAsiaTheme="minorEastAsia" w:cstheme="minorBidi"/>
          <w:b w:val="0"/>
          <w:bCs w:val="0"/>
          <w:noProof/>
          <w:lang w:val="es-CO"/>
        </w:rPr>
        <w:tab/>
      </w:r>
      <w:r w:rsidRPr="003B68FE">
        <w:rPr>
          <w:noProof/>
          <w:lang w:val="es-CO"/>
        </w:rPr>
        <w:t>Contexto de política pública</w:t>
      </w:r>
      <w:r>
        <w:rPr>
          <w:noProof/>
        </w:rPr>
        <w:tab/>
      </w:r>
      <w:r>
        <w:rPr>
          <w:noProof/>
        </w:rPr>
        <w:fldChar w:fldCharType="begin"/>
      </w:r>
      <w:r>
        <w:rPr>
          <w:noProof/>
        </w:rPr>
        <w:instrText xml:space="preserve"> PAGEREF _Toc505090932 \h </w:instrText>
      </w:r>
      <w:r>
        <w:rPr>
          <w:noProof/>
        </w:rPr>
      </w:r>
      <w:r>
        <w:rPr>
          <w:noProof/>
        </w:rPr>
        <w:fldChar w:fldCharType="separate"/>
      </w:r>
      <w:r>
        <w:rPr>
          <w:noProof/>
        </w:rPr>
        <w:t>11</w:t>
      </w:r>
      <w:r>
        <w:rPr>
          <w:noProof/>
        </w:rPr>
        <w:fldChar w:fldCharType="end"/>
      </w:r>
    </w:p>
    <w:p w14:paraId="429B5F3E" w14:textId="2FF95589"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1.2.</w:t>
      </w:r>
      <w:r w:rsidRPr="00F23D4C">
        <w:rPr>
          <w:rFonts w:eastAsiaTheme="minorEastAsia" w:cstheme="minorBidi"/>
          <w:b w:val="0"/>
          <w:bCs w:val="0"/>
          <w:noProof/>
          <w:lang w:val="es-CO"/>
        </w:rPr>
        <w:tab/>
      </w:r>
      <w:r w:rsidRPr="003B68FE">
        <w:rPr>
          <w:noProof/>
          <w:lang w:val="es-CO"/>
        </w:rPr>
        <w:t>Contexto de los municipios evaluados</w:t>
      </w:r>
      <w:r>
        <w:rPr>
          <w:noProof/>
        </w:rPr>
        <w:tab/>
      </w:r>
      <w:r>
        <w:rPr>
          <w:noProof/>
        </w:rPr>
        <w:fldChar w:fldCharType="begin"/>
      </w:r>
      <w:r>
        <w:rPr>
          <w:noProof/>
        </w:rPr>
        <w:instrText xml:space="preserve"> PAGEREF _Toc505090933 \h </w:instrText>
      </w:r>
      <w:r>
        <w:rPr>
          <w:noProof/>
        </w:rPr>
      </w:r>
      <w:r>
        <w:rPr>
          <w:noProof/>
        </w:rPr>
        <w:fldChar w:fldCharType="separate"/>
      </w:r>
      <w:r>
        <w:rPr>
          <w:noProof/>
        </w:rPr>
        <w:t>12</w:t>
      </w:r>
      <w:r>
        <w:rPr>
          <w:noProof/>
        </w:rPr>
        <w:fldChar w:fldCharType="end"/>
      </w:r>
    </w:p>
    <w:p w14:paraId="5DA19886" w14:textId="16F8E164"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1.3.</w:t>
      </w:r>
      <w:r w:rsidRPr="00F23D4C">
        <w:rPr>
          <w:rFonts w:eastAsiaTheme="minorEastAsia" w:cstheme="minorBidi"/>
          <w:b w:val="0"/>
          <w:bCs w:val="0"/>
          <w:noProof/>
          <w:lang w:val="es-CO"/>
        </w:rPr>
        <w:tab/>
      </w:r>
      <w:r w:rsidRPr="003B68FE">
        <w:rPr>
          <w:noProof/>
          <w:lang w:val="es-CO"/>
        </w:rPr>
        <w:t>Objeto de evaluación: El Lineamiento</w:t>
      </w:r>
      <w:r>
        <w:rPr>
          <w:noProof/>
        </w:rPr>
        <w:tab/>
      </w:r>
      <w:r>
        <w:rPr>
          <w:noProof/>
        </w:rPr>
        <w:fldChar w:fldCharType="begin"/>
      </w:r>
      <w:r>
        <w:rPr>
          <w:noProof/>
        </w:rPr>
        <w:instrText xml:space="preserve"> PAGEREF _Toc505090934 \h </w:instrText>
      </w:r>
      <w:r>
        <w:rPr>
          <w:noProof/>
        </w:rPr>
      </w:r>
      <w:r>
        <w:rPr>
          <w:noProof/>
        </w:rPr>
        <w:fldChar w:fldCharType="separate"/>
      </w:r>
      <w:r>
        <w:rPr>
          <w:noProof/>
        </w:rPr>
        <w:t>15</w:t>
      </w:r>
      <w:r>
        <w:rPr>
          <w:noProof/>
        </w:rPr>
        <w:fldChar w:fldCharType="end"/>
      </w:r>
    </w:p>
    <w:p w14:paraId="1B654611" w14:textId="503727D0"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2.</w:t>
      </w:r>
      <w:r w:rsidRPr="00F23D4C">
        <w:rPr>
          <w:rFonts w:eastAsiaTheme="minorEastAsia" w:cstheme="minorBidi"/>
          <w:b w:val="0"/>
          <w:bCs w:val="0"/>
          <w:noProof/>
          <w:sz w:val="22"/>
          <w:szCs w:val="22"/>
          <w:lang w:val="es-CO"/>
        </w:rPr>
        <w:tab/>
      </w:r>
      <w:r w:rsidRPr="003B68FE">
        <w:rPr>
          <w:noProof/>
          <w:lang w:val="es-CO"/>
        </w:rPr>
        <w:t>Propósito, Alcance y Objetivo</w:t>
      </w:r>
      <w:r>
        <w:rPr>
          <w:noProof/>
        </w:rPr>
        <w:tab/>
      </w:r>
      <w:r>
        <w:rPr>
          <w:noProof/>
        </w:rPr>
        <w:fldChar w:fldCharType="begin"/>
      </w:r>
      <w:r>
        <w:rPr>
          <w:noProof/>
        </w:rPr>
        <w:instrText xml:space="preserve"> PAGEREF _Toc505090935 \h </w:instrText>
      </w:r>
      <w:r>
        <w:rPr>
          <w:noProof/>
        </w:rPr>
      </w:r>
      <w:r>
        <w:rPr>
          <w:noProof/>
        </w:rPr>
        <w:fldChar w:fldCharType="separate"/>
      </w:r>
      <w:r>
        <w:rPr>
          <w:noProof/>
        </w:rPr>
        <w:t>18</w:t>
      </w:r>
      <w:r>
        <w:rPr>
          <w:noProof/>
        </w:rPr>
        <w:fldChar w:fldCharType="end"/>
      </w:r>
    </w:p>
    <w:p w14:paraId="173DB78B" w14:textId="49115FB9"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2.1.</w:t>
      </w:r>
      <w:r w:rsidRPr="00F23D4C">
        <w:rPr>
          <w:rFonts w:eastAsiaTheme="minorEastAsia" w:cstheme="minorBidi"/>
          <w:b w:val="0"/>
          <w:bCs w:val="0"/>
          <w:noProof/>
          <w:lang w:val="es-CO"/>
        </w:rPr>
        <w:tab/>
      </w:r>
      <w:r w:rsidRPr="003B68FE">
        <w:rPr>
          <w:noProof/>
          <w:lang w:val="es-CO"/>
        </w:rPr>
        <w:t>Propósito</w:t>
      </w:r>
      <w:r>
        <w:rPr>
          <w:noProof/>
        </w:rPr>
        <w:tab/>
      </w:r>
      <w:r>
        <w:rPr>
          <w:noProof/>
        </w:rPr>
        <w:fldChar w:fldCharType="begin"/>
      </w:r>
      <w:r>
        <w:rPr>
          <w:noProof/>
        </w:rPr>
        <w:instrText xml:space="preserve"> PAGEREF _Toc505090936 \h </w:instrText>
      </w:r>
      <w:r>
        <w:rPr>
          <w:noProof/>
        </w:rPr>
      </w:r>
      <w:r>
        <w:rPr>
          <w:noProof/>
        </w:rPr>
        <w:fldChar w:fldCharType="separate"/>
      </w:r>
      <w:r>
        <w:rPr>
          <w:noProof/>
        </w:rPr>
        <w:t>18</w:t>
      </w:r>
      <w:r>
        <w:rPr>
          <w:noProof/>
        </w:rPr>
        <w:fldChar w:fldCharType="end"/>
      </w:r>
    </w:p>
    <w:p w14:paraId="35B72045" w14:textId="5FAF9D87"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2.2.</w:t>
      </w:r>
      <w:r w:rsidRPr="00F23D4C">
        <w:rPr>
          <w:rFonts w:eastAsiaTheme="minorEastAsia" w:cstheme="minorBidi"/>
          <w:b w:val="0"/>
          <w:bCs w:val="0"/>
          <w:noProof/>
          <w:lang w:val="es-CO"/>
        </w:rPr>
        <w:tab/>
      </w:r>
      <w:r w:rsidRPr="003B68FE">
        <w:rPr>
          <w:noProof/>
          <w:lang w:val="es-CO"/>
        </w:rPr>
        <w:t>Objetivo</w:t>
      </w:r>
      <w:r>
        <w:rPr>
          <w:noProof/>
        </w:rPr>
        <w:tab/>
      </w:r>
      <w:r>
        <w:rPr>
          <w:noProof/>
        </w:rPr>
        <w:fldChar w:fldCharType="begin"/>
      </w:r>
      <w:r>
        <w:rPr>
          <w:noProof/>
        </w:rPr>
        <w:instrText xml:space="preserve"> PAGEREF _Toc505090937 \h </w:instrText>
      </w:r>
      <w:r>
        <w:rPr>
          <w:noProof/>
        </w:rPr>
      </w:r>
      <w:r>
        <w:rPr>
          <w:noProof/>
        </w:rPr>
        <w:fldChar w:fldCharType="separate"/>
      </w:r>
      <w:r>
        <w:rPr>
          <w:noProof/>
        </w:rPr>
        <w:t>18</w:t>
      </w:r>
      <w:r>
        <w:rPr>
          <w:noProof/>
        </w:rPr>
        <w:fldChar w:fldCharType="end"/>
      </w:r>
    </w:p>
    <w:p w14:paraId="4D5DC990" w14:textId="61BF029B"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2.3.</w:t>
      </w:r>
      <w:r w:rsidRPr="00F23D4C">
        <w:rPr>
          <w:rFonts w:eastAsiaTheme="minorEastAsia" w:cstheme="minorBidi"/>
          <w:b w:val="0"/>
          <w:bCs w:val="0"/>
          <w:noProof/>
          <w:lang w:val="es-CO"/>
        </w:rPr>
        <w:tab/>
      </w:r>
      <w:r w:rsidRPr="003B68FE">
        <w:rPr>
          <w:noProof/>
          <w:lang w:val="es-CO"/>
        </w:rPr>
        <w:t>Alcance</w:t>
      </w:r>
      <w:r>
        <w:rPr>
          <w:noProof/>
        </w:rPr>
        <w:tab/>
      </w:r>
      <w:r>
        <w:rPr>
          <w:noProof/>
        </w:rPr>
        <w:fldChar w:fldCharType="begin"/>
      </w:r>
      <w:r>
        <w:rPr>
          <w:noProof/>
        </w:rPr>
        <w:instrText xml:space="preserve"> PAGEREF _Toc505090938 \h </w:instrText>
      </w:r>
      <w:r>
        <w:rPr>
          <w:noProof/>
        </w:rPr>
      </w:r>
      <w:r>
        <w:rPr>
          <w:noProof/>
        </w:rPr>
        <w:fldChar w:fldCharType="separate"/>
      </w:r>
      <w:r>
        <w:rPr>
          <w:noProof/>
        </w:rPr>
        <w:t>20</w:t>
      </w:r>
      <w:r>
        <w:rPr>
          <w:noProof/>
        </w:rPr>
        <w:fldChar w:fldCharType="end"/>
      </w:r>
    </w:p>
    <w:p w14:paraId="220A72A1" w14:textId="55D3AB09"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2.3.1.</w:t>
      </w:r>
      <w:r w:rsidRPr="00F23D4C">
        <w:rPr>
          <w:rFonts w:eastAsiaTheme="minorEastAsia" w:cstheme="minorBidi"/>
          <w:noProof/>
          <w:lang w:val="es-CO"/>
        </w:rPr>
        <w:tab/>
      </w:r>
      <w:r w:rsidRPr="003B68FE">
        <w:rPr>
          <w:noProof/>
          <w:lang w:val="es-CO"/>
        </w:rPr>
        <w:t>Criterio de adherencia</w:t>
      </w:r>
      <w:r>
        <w:rPr>
          <w:noProof/>
        </w:rPr>
        <w:tab/>
      </w:r>
      <w:r>
        <w:rPr>
          <w:noProof/>
        </w:rPr>
        <w:fldChar w:fldCharType="begin"/>
      </w:r>
      <w:r>
        <w:rPr>
          <w:noProof/>
        </w:rPr>
        <w:instrText xml:space="preserve"> PAGEREF _Toc505090939 \h </w:instrText>
      </w:r>
      <w:r>
        <w:rPr>
          <w:noProof/>
        </w:rPr>
      </w:r>
      <w:r>
        <w:rPr>
          <w:noProof/>
        </w:rPr>
        <w:fldChar w:fldCharType="separate"/>
      </w:r>
      <w:r>
        <w:rPr>
          <w:noProof/>
        </w:rPr>
        <w:t>21</w:t>
      </w:r>
      <w:r>
        <w:rPr>
          <w:noProof/>
        </w:rPr>
        <w:fldChar w:fldCharType="end"/>
      </w:r>
    </w:p>
    <w:p w14:paraId="05DC51C0" w14:textId="4CB6F0D1"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2.3.2.</w:t>
      </w:r>
      <w:r w:rsidRPr="00F23D4C">
        <w:rPr>
          <w:rFonts w:eastAsiaTheme="minorEastAsia" w:cstheme="minorBidi"/>
          <w:noProof/>
          <w:lang w:val="es-CO"/>
        </w:rPr>
        <w:tab/>
      </w:r>
      <w:r w:rsidRPr="003B68FE">
        <w:rPr>
          <w:noProof/>
          <w:lang w:val="es-CO"/>
        </w:rPr>
        <w:t>Criterio de costo-efectividad</w:t>
      </w:r>
      <w:r>
        <w:rPr>
          <w:noProof/>
        </w:rPr>
        <w:tab/>
      </w:r>
      <w:r>
        <w:rPr>
          <w:noProof/>
        </w:rPr>
        <w:fldChar w:fldCharType="begin"/>
      </w:r>
      <w:r>
        <w:rPr>
          <w:noProof/>
        </w:rPr>
        <w:instrText xml:space="preserve"> PAGEREF _Toc505090940 \h </w:instrText>
      </w:r>
      <w:r>
        <w:rPr>
          <w:noProof/>
        </w:rPr>
      </w:r>
      <w:r>
        <w:rPr>
          <w:noProof/>
        </w:rPr>
        <w:fldChar w:fldCharType="separate"/>
      </w:r>
      <w:r>
        <w:rPr>
          <w:noProof/>
        </w:rPr>
        <w:t>23</w:t>
      </w:r>
      <w:r>
        <w:rPr>
          <w:noProof/>
        </w:rPr>
        <w:fldChar w:fldCharType="end"/>
      </w:r>
    </w:p>
    <w:p w14:paraId="7038DC42" w14:textId="0D96A87E"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2.4.</w:t>
      </w:r>
      <w:r w:rsidRPr="00F23D4C">
        <w:rPr>
          <w:rFonts w:eastAsiaTheme="minorEastAsia" w:cstheme="minorBidi"/>
          <w:b w:val="0"/>
          <w:bCs w:val="0"/>
          <w:noProof/>
          <w:lang w:val="es-CO"/>
        </w:rPr>
        <w:tab/>
      </w:r>
      <w:r w:rsidRPr="003B68FE">
        <w:rPr>
          <w:noProof/>
          <w:lang w:val="es-CO"/>
        </w:rPr>
        <w:t>Normas y principios de la evaluación</w:t>
      </w:r>
      <w:r>
        <w:rPr>
          <w:noProof/>
        </w:rPr>
        <w:tab/>
      </w:r>
      <w:r>
        <w:rPr>
          <w:noProof/>
        </w:rPr>
        <w:fldChar w:fldCharType="begin"/>
      </w:r>
      <w:r>
        <w:rPr>
          <w:noProof/>
        </w:rPr>
        <w:instrText xml:space="preserve"> PAGEREF _Toc505090941 \h </w:instrText>
      </w:r>
      <w:r>
        <w:rPr>
          <w:noProof/>
        </w:rPr>
      </w:r>
      <w:r>
        <w:rPr>
          <w:noProof/>
        </w:rPr>
        <w:fldChar w:fldCharType="separate"/>
      </w:r>
      <w:r>
        <w:rPr>
          <w:noProof/>
        </w:rPr>
        <w:t>23</w:t>
      </w:r>
      <w:r>
        <w:rPr>
          <w:noProof/>
        </w:rPr>
        <w:fldChar w:fldCharType="end"/>
      </w:r>
    </w:p>
    <w:p w14:paraId="5066C1F1" w14:textId="789724AC"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3.</w:t>
      </w:r>
      <w:r w:rsidRPr="00F23D4C">
        <w:rPr>
          <w:rFonts w:eastAsiaTheme="minorEastAsia" w:cstheme="minorBidi"/>
          <w:b w:val="0"/>
          <w:bCs w:val="0"/>
          <w:noProof/>
          <w:sz w:val="22"/>
          <w:szCs w:val="22"/>
          <w:lang w:val="es-CO"/>
        </w:rPr>
        <w:tab/>
      </w:r>
      <w:r w:rsidRPr="003B68FE">
        <w:rPr>
          <w:noProof/>
          <w:lang w:val="es-CO"/>
        </w:rPr>
        <w:t>Descripción de la metodología para la evaluación del Lineamiento</w:t>
      </w:r>
      <w:r>
        <w:rPr>
          <w:noProof/>
        </w:rPr>
        <w:tab/>
      </w:r>
      <w:r>
        <w:rPr>
          <w:noProof/>
        </w:rPr>
        <w:fldChar w:fldCharType="begin"/>
      </w:r>
      <w:r>
        <w:rPr>
          <w:noProof/>
        </w:rPr>
        <w:instrText xml:space="preserve"> PAGEREF _Toc505090942 \h </w:instrText>
      </w:r>
      <w:r>
        <w:rPr>
          <w:noProof/>
        </w:rPr>
      </w:r>
      <w:r>
        <w:rPr>
          <w:noProof/>
        </w:rPr>
        <w:fldChar w:fldCharType="separate"/>
      </w:r>
      <w:r>
        <w:rPr>
          <w:noProof/>
        </w:rPr>
        <w:t>25</w:t>
      </w:r>
      <w:r>
        <w:rPr>
          <w:noProof/>
        </w:rPr>
        <w:fldChar w:fldCharType="end"/>
      </w:r>
    </w:p>
    <w:p w14:paraId="112B1F08" w14:textId="2A0F8E9F"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3.1.</w:t>
      </w:r>
      <w:r w:rsidRPr="00F23D4C">
        <w:rPr>
          <w:rFonts w:eastAsiaTheme="minorEastAsia" w:cstheme="minorBidi"/>
          <w:b w:val="0"/>
          <w:bCs w:val="0"/>
          <w:noProof/>
          <w:lang w:val="es-CO"/>
        </w:rPr>
        <w:tab/>
      </w:r>
      <w:r w:rsidRPr="003B68FE">
        <w:rPr>
          <w:noProof/>
          <w:lang w:val="es-CO"/>
        </w:rPr>
        <w:t>Metodología para el criterio de adherencia</w:t>
      </w:r>
      <w:r>
        <w:rPr>
          <w:noProof/>
        </w:rPr>
        <w:tab/>
      </w:r>
      <w:r>
        <w:rPr>
          <w:noProof/>
        </w:rPr>
        <w:fldChar w:fldCharType="begin"/>
      </w:r>
      <w:r>
        <w:rPr>
          <w:noProof/>
        </w:rPr>
        <w:instrText xml:space="preserve"> PAGEREF _Toc505090943 \h </w:instrText>
      </w:r>
      <w:r>
        <w:rPr>
          <w:noProof/>
        </w:rPr>
      </w:r>
      <w:r>
        <w:rPr>
          <w:noProof/>
        </w:rPr>
        <w:fldChar w:fldCharType="separate"/>
      </w:r>
      <w:r>
        <w:rPr>
          <w:noProof/>
        </w:rPr>
        <w:t>25</w:t>
      </w:r>
      <w:r>
        <w:rPr>
          <w:noProof/>
        </w:rPr>
        <w:fldChar w:fldCharType="end"/>
      </w:r>
    </w:p>
    <w:p w14:paraId="3E523FA3" w14:textId="4FA8EA2D"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3.1.1.</w:t>
      </w:r>
      <w:r w:rsidRPr="00F23D4C">
        <w:rPr>
          <w:rFonts w:eastAsiaTheme="minorEastAsia" w:cstheme="minorBidi"/>
          <w:noProof/>
          <w:lang w:val="es-CO"/>
        </w:rPr>
        <w:tab/>
      </w:r>
      <w:r w:rsidRPr="003B68FE">
        <w:rPr>
          <w:noProof/>
          <w:lang w:val="es-CO"/>
        </w:rPr>
        <w:t>Instrumentos cualitativos para la recolección de información</w:t>
      </w:r>
      <w:r>
        <w:rPr>
          <w:noProof/>
        </w:rPr>
        <w:tab/>
      </w:r>
      <w:r>
        <w:rPr>
          <w:noProof/>
        </w:rPr>
        <w:fldChar w:fldCharType="begin"/>
      </w:r>
      <w:r>
        <w:rPr>
          <w:noProof/>
        </w:rPr>
        <w:instrText xml:space="preserve"> PAGEREF _Toc505090944 \h </w:instrText>
      </w:r>
      <w:r>
        <w:rPr>
          <w:noProof/>
        </w:rPr>
      </w:r>
      <w:r>
        <w:rPr>
          <w:noProof/>
        </w:rPr>
        <w:fldChar w:fldCharType="separate"/>
      </w:r>
      <w:r>
        <w:rPr>
          <w:noProof/>
        </w:rPr>
        <w:t>26</w:t>
      </w:r>
      <w:r>
        <w:rPr>
          <w:noProof/>
        </w:rPr>
        <w:fldChar w:fldCharType="end"/>
      </w:r>
    </w:p>
    <w:p w14:paraId="74601FDC" w14:textId="1F9FCC8D"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3.2.</w:t>
      </w:r>
      <w:r w:rsidRPr="00F23D4C">
        <w:rPr>
          <w:rFonts w:eastAsiaTheme="minorEastAsia" w:cstheme="minorBidi"/>
          <w:b w:val="0"/>
          <w:bCs w:val="0"/>
          <w:noProof/>
          <w:lang w:val="es-CO"/>
        </w:rPr>
        <w:tab/>
      </w:r>
      <w:r w:rsidRPr="003B68FE">
        <w:rPr>
          <w:noProof/>
          <w:lang w:val="es-CO"/>
        </w:rPr>
        <w:t>Metodología para el análisis de costo-efectividad</w:t>
      </w:r>
      <w:r>
        <w:rPr>
          <w:noProof/>
        </w:rPr>
        <w:tab/>
      </w:r>
      <w:r>
        <w:rPr>
          <w:noProof/>
        </w:rPr>
        <w:fldChar w:fldCharType="begin"/>
      </w:r>
      <w:r>
        <w:rPr>
          <w:noProof/>
        </w:rPr>
        <w:instrText xml:space="preserve"> PAGEREF _Toc505090945 \h </w:instrText>
      </w:r>
      <w:r>
        <w:rPr>
          <w:noProof/>
        </w:rPr>
      </w:r>
      <w:r>
        <w:rPr>
          <w:noProof/>
        </w:rPr>
        <w:fldChar w:fldCharType="separate"/>
      </w:r>
      <w:r>
        <w:rPr>
          <w:noProof/>
        </w:rPr>
        <w:t>28</w:t>
      </w:r>
      <w:r>
        <w:rPr>
          <w:noProof/>
        </w:rPr>
        <w:fldChar w:fldCharType="end"/>
      </w:r>
    </w:p>
    <w:p w14:paraId="26B33E59" w14:textId="187A534D"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3.2.1.</w:t>
      </w:r>
      <w:r w:rsidRPr="00F23D4C">
        <w:rPr>
          <w:rFonts w:eastAsiaTheme="minorEastAsia" w:cstheme="minorBidi"/>
          <w:noProof/>
          <w:lang w:val="es-CO"/>
        </w:rPr>
        <w:tab/>
      </w:r>
      <w:r w:rsidRPr="003B68FE">
        <w:rPr>
          <w:noProof/>
          <w:lang w:val="es-CO"/>
        </w:rPr>
        <w:t>Los datos usados para la estimación de costo-efectividad</w:t>
      </w:r>
      <w:r>
        <w:rPr>
          <w:noProof/>
        </w:rPr>
        <w:tab/>
      </w:r>
      <w:r>
        <w:rPr>
          <w:noProof/>
        </w:rPr>
        <w:fldChar w:fldCharType="begin"/>
      </w:r>
      <w:r>
        <w:rPr>
          <w:noProof/>
        </w:rPr>
        <w:instrText xml:space="preserve"> PAGEREF _Toc505090946 \h </w:instrText>
      </w:r>
      <w:r>
        <w:rPr>
          <w:noProof/>
        </w:rPr>
      </w:r>
      <w:r>
        <w:rPr>
          <w:noProof/>
        </w:rPr>
        <w:fldChar w:fldCharType="separate"/>
      </w:r>
      <w:r>
        <w:rPr>
          <w:noProof/>
        </w:rPr>
        <w:t>31</w:t>
      </w:r>
      <w:r>
        <w:rPr>
          <w:noProof/>
        </w:rPr>
        <w:fldChar w:fldCharType="end"/>
      </w:r>
    </w:p>
    <w:p w14:paraId="456BA6E3" w14:textId="1F1C0563"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3.2.2.</w:t>
      </w:r>
      <w:r w:rsidRPr="00F23D4C">
        <w:rPr>
          <w:rFonts w:eastAsiaTheme="minorEastAsia" w:cstheme="minorBidi"/>
          <w:noProof/>
          <w:lang w:val="es-CO"/>
        </w:rPr>
        <w:tab/>
      </w:r>
      <w:r w:rsidRPr="003B68FE">
        <w:rPr>
          <w:noProof/>
          <w:lang w:val="es-CO"/>
        </w:rPr>
        <w:t>Escenarios de evaluación</w:t>
      </w:r>
      <w:r>
        <w:rPr>
          <w:noProof/>
        </w:rPr>
        <w:tab/>
      </w:r>
      <w:r>
        <w:rPr>
          <w:noProof/>
        </w:rPr>
        <w:fldChar w:fldCharType="begin"/>
      </w:r>
      <w:r>
        <w:rPr>
          <w:noProof/>
        </w:rPr>
        <w:instrText xml:space="preserve"> PAGEREF _Toc505090947 \h </w:instrText>
      </w:r>
      <w:r>
        <w:rPr>
          <w:noProof/>
        </w:rPr>
      </w:r>
      <w:r>
        <w:rPr>
          <w:noProof/>
        </w:rPr>
        <w:fldChar w:fldCharType="separate"/>
      </w:r>
      <w:r>
        <w:rPr>
          <w:noProof/>
        </w:rPr>
        <w:t>35</w:t>
      </w:r>
      <w:r>
        <w:rPr>
          <w:noProof/>
        </w:rPr>
        <w:fldChar w:fldCharType="end"/>
      </w:r>
    </w:p>
    <w:p w14:paraId="4DEE220A" w14:textId="61629189"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3.2.3.</w:t>
      </w:r>
      <w:r w:rsidRPr="00F23D4C">
        <w:rPr>
          <w:rFonts w:eastAsiaTheme="minorEastAsia" w:cstheme="minorBidi"/>
          <w:noProof/>
          <w:lang w:val="es-CO"/>
        </w:rPr>
        <w:tab/>
      </w:r>
      <w:r w:rsidRPr="003B68FE">
        <w:rPr>
          <w:noProof/>
          <w:lang w:val="es-CO"/>
        </w:rPr>
        <w:t>Análisis de Costos</w:t>
      </w:r>
      <w:r>
        <w:rPr>
          <w:noProof/>
        </w:rPr>
        <w:tab/>
      </w:r>
      <w:r>
        <w:rPr>
          <w:noProof/>
        </w:rPr>
        <w:fldChar w:fldCharType="begin"/>
      </w:r>
      <w:r>
        <w:rPr>
          <w:noProof/>
        </w:rPr>
        <w:instrText xml:space="preserve"> PAGEREF _Toc505090948 \h </w:instrText>
      </w:r>
      <w:r>
        <w:rPr>
          <w:noProof/>
        </w:rPr>
      </w:r>
      <w:r>
        <w:rPr>
          <w:noProof/>
        </w:rPr>
        <w:fldChar w:fldCharType="separate"/>
      </w:r>
      <w:r>
        <w:rPr>
          <w:noProof/>
        </w:rPr>
        <w:t>36</w:t>
      </w:r>
      <w:r>
        <w:rPr>
          <w:noProof/>
        </w:rPr>
        <w:fldChar w:fldCharType="end"/>
      </w:r>
    </w:p>
    <w:p w14:paraId="439CAFBA" w14:textId="1C92FD00"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3.2.4.</w:t>
      </w:r>
      <w:r w:rsidRPr="00F23D4C">
        <w:rPr>
          <w:rFonts w:eastAsiaTheme="minorEastAsia" w:cstheme="minorBidi"/>
          <w:noProof/>
          <w:lang w:val="es-CO"/>
        </w:rPr>
        <w:tab/>
      </w:r>
      <w:r w:rsidRPr="003B68FE">
        <w:rPr>
          <w:noProof/>
          <w:lang w:val="es-CO"/>
        </w:rPr>
        <w:t>Costos totales</w:t>
      </w:r>
      <w:r>
        <w:rPr>
          <w:noProof/>
        </w:rPr>
        <w:tab/>
      </w:r>
      <w:r>
        <w:rPr>
          <w:noProof/>
        </w:rPr>
        <w:fldChar w:fldCharType="begin"/>
      </w:r>
      <w:r>
        <w:rPr>
          <w:noProof/>
        </w:rPr>
        <w:instrText xml:space="preserve"> PAGEREF _Toc505090949 \h </w:instrText>
      </w:r>
      <w:r>
        <w:rPr>
          <w:noProof/>
        </w:rPr>
      </w:r>
      <w:r>
        <w:rPr>
          <w:noProof/>
        </w:rPr>
        <w:fldChar w:fldCharType="separate"/>
      </w:r>
      <w:r>
        <w:rPr>
          <w:noProof/>
        </w:rPr>
        <w:t>39</w:t>
      </w:r>
      <w:r>
        <w:rPr>
          <w:noProof/>
        </w:rPr>
        <w:fldChar w:fldCharType="end"/>
      </w:r>
    </w:p>
    <w:p w14:paraId="6D0E4118" w14:textId="226C1FD5"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3.2.5.</w:t>
      </w:r>
      <w:r w:rsidRPr="00F23D4C">
        <w:rPr>
          <w:rFonts w:eastAsiaTheme="minorEastAsia" w:cstheme="minorBidi"/>
          <w:noProof/>
          <w:lang w:val="es-CO"/>
        </w:rPr>
        <w:tab/>
      </w:r>
      <w:r w:rsidRPr="003B68FE">
        <w:rPr>
          <w:noProof/>
          <w:lang w:val="es-CO"/>
        </w:rPr>
        <w:t>Medida efectividad</w:t>
      </w:r>
      <w:r>
        <w:rPr>
          <w:noProof/>
        </w:rPr>
        <w:tab/>
      </w:r>
      <w:r>
        <w:rPr>
          <w:noProof/>
        </w:rPr>
        <w:fldChar w:fldCharType="begin"/>
      </w:r>
      <w:r>
        <w:rPr>
          <w:noProof/>
        </w:rPr>
        <w:instrText xml:space="preserve"> PAGEREF _Toc505090950 \h </w:instrText>
      </w:r>
      <w:r>
        <w:rPr>
          <w:noProof/>
        </w:rPr>
      </w:r>
      <w:r>
        <w:rPr>
          <w:noProof/>
        </w:rPr>
        <w:fldChar w:fldCharType="separate"/>
      </w:r>
      <w:r>
        <w:rPr>
          <w:noProof/>
        </w:rPr>
        <w:t>40</w:t>
      </w:r>
      <w:r>
        <w:rPr>
          <w:noProof/>
        </w:rPr>
        <w:fldChar w:fldCharType="end"/>
      </w:r>
    </w:p>
    <w:p w14:paraId="56E41D58" w14:textId="1C681D92" w:rsidR="00F23D4C" w:rsidRPr="00F23D4C" w:rsidRDefault="00F23D4C">
      <w:pPr>
        <w:pStyle w:val="TOC3"/>
        <w:tabs>
          <w:tab w:val="left" w:pos="1320"/>
          <w:tab w:val="right" w:leader="dot" w:pos="8828"/>
        </w:tabs>
        <w:rPr>
          <w:rFonts w:eastAsiaTheme="minorEastAsia" w:cstheme="minorBidi"/>
          <w:noProof/>
          <w:lang w:val="es-CO"/>
        </w:rPr>
      </w:pPr>
      <w:r w:rsidRPr="003B68FE">
        <w:rPr>
          <w:noProof/>
          <w:lang w:val="es-CO"/>
          <w14:scene3d>
            <w14:camera w14:prst="orthographicFront"/>
            <w14:lightRig w14:rig="threePt" w14:dir="t">
              <w14:rot w14:lat="0" w14:lon="0" w14:rev="0"/>
            </w14:lightRig>
          </w14:scene3d>
        </w:rPr>
        <w:t>3.2.6.</w:t>
      </w:r>
      <w:r w:rsidRPr="00F23D4C">
        <w:rPr>
          <w:rFonts w:eastAsiaTheme="minorEastAsia" w:cstheme="minorBidi"/>
          <w:noProof/>
          <w:lang w:val="es-CO"/>
        </w:rPr>
        <w:tab/>
      </w:r>
      <w:r w:rsidRPr="003B68FE">
        <w:rPr>
          <w:noProof/>
          <w:lang w:val="es-CO"/>
        </w:rPr>
        <w:t>Razón de costo efectividad Incremental –RCEI–</w:t>
      </w:r>
      <w:r>
        <w:rPr>
          <w:noProof/>
        </w:rPr>
        <w:tab/>
      </w:r>
      <w:r>
        <w:rPr>
          <w:noProof/>
        </w:rPr>
        <w:fldChar w:fldCharType="begin"/>
      </w:r>
      <w:r>
        <w:rPr>
          <w:noProof/>
        </w:rPr>
        <w:instrText xml:space="preserve"> PAGEREF _Toc505090951 \h </w:instrText>
      </w:r>
      <w:r>
        <w:rPr>
          <w:noProof/>
        </w:rPr>
      </w:r>
      <w:r>
        <w:rPr>
          <w:noProof/>
        </w:rPr>
        <w:fldChar w:fldCharType="separate"/>
      </w:r>
      <w:r>
        <w:rPr>
          <w:noProof/>
        </w:rPr>
        <w:t>42</w:t>
      </w:r>
      <w:r>
        <w:rPr>
          <w:noProof/>
        </w:rPr>
        <w:fldChar w:fldCharType="end"/>
      </w:r>
    </w:p>
    <w:p w14:paraId="08469AE7" w14:textId="03334024"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4.</w:t>
      </w:r>
      <w:r w:rsidRPr="00F23D4C">
        <w:rPr>
          <w:rFonts w:eastAsiaTheme="minorEastAsia" w:cstheme="minorBidi"/>
          <w:b w:val="0"/>
          <w:bCs w:val="0"/>
          <w:noProof/>
          <w:sz w:val="22"/>
          <w:szCs w:val="22"/>
          <w:lang w:val="es-CO"/>
        </w:rPr>
        <w:tab/>
      </w:r>
      <w:r w:rsidRPr="003B68FE">
        <w:rPr>
          <w:noProof/>
          <w:lang w:val="es-CO"/>
        </w:rPr>
        <w:t>Hallazgos y conclusiones</w:t>
      </w:r>
      <w:r>
        <w:rPr>
          <w:noProof/>
        </w:rPr>
        <w:tab/>
      </w:r>
      <w:r>
        <w:rPr>
          <w:noProof/>
        </w:rPr>
        <w:fldChar w:fldCharType="begin"/>
      </w:r>
      <w:r>
        <w:rPr>
          <w:noProof/>
        </w:rPr>
        <w:instrText xml:space="preserve"> PAGEREF _Toc505090952 \h </w:instrText>
      </w:r>
      <w:r>
        <w:rPr>
          <w:noProof/>
        </w:rPr>
      </w:r>
      <w:r>
        <w:rPr>
          <w:noProof/>
        </w:rPr>
        <w:fldChar w:fldCharType="separate"/>
      </w:r>
      <w:r>
        <w:rPr>
          <w:noProof/>
        </w:rPr>
        <w:t>43</w:t>
      </w:r>
      <w:r>
        <w:rPr>
          <w:noProof/>
        </w:rPr>
        <w:fldChar w:fldCharType="end"/>
      </w:r>
    </w:p>
    <w:p w14:paraId="17B152E8" w14:textId="7C4D0974"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4.1.</w:t>
      </w:r>
      <w:r w:rsidRPr="00F23D4C">
        <w:rPr>
          <w:rFonts w:eastAsiaTheme="minorEastAsia" w:cstheme="minorBidi"/>
          <w:b w:val="0"/>
          <w:bCs w:val="0"/>
          <w:noProof/>
          <w:lang w:val="es-CO"/>
        </w:rPr>
        <w:tab/>
      </w:r>
      <w:r w:rsidRPr="003B68FE">
        <w:rPr>
          <w:noProof/>
          <w:lang w:val="es-CO"/>
        </w:rPr>
        <w:t>Hallazgos para el criterio de adherencia</w:t>
      </w:r>
      <w:r>
        <w:rPr>
          <w:noProof/>
        </w:rPr>
        <w:tab/>
      </w:r>
      <w:r>
        <w:rPr>
          <w:noProof/>
        </w:rPr>
        <w:fldChar w:fldCharType="begin"/>
      </w:r>
      <w:r>
        <w:rPr>
          <w:noProof/>
        </w:rPr>
        <w:instrText xml:space="preserve"> PAGEREF _Toc505090953 \h </w:instrText>
      </w:r>
      <w:r>
        <w:rPr>
          <w:noProof/>
        </w:rPr>
      </w:r>
      <w:r>
        <w:rPr>
          <w:noProof/>
        </w:rPr>
        <w:fldChar w:fldCharType="separate"/>
      </w:r>
      <w:r>
        <w:rPr>
          <w:noProof/>
        </w:rPr>
        <w:t>43</w:t>
      </w:r>
      <w:r>
        <w:rPr>
          <w:noProof/>
        </w:rPr>
        <w:fldChar w:fldCharType="end"/>
      </w:r>
    </w:p>
    <w:p w14:paraId="08C65099" w14:textId="24DA578B"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4.2.</w:t>
      </w:r>
      <w:r w:rsidRPr="00F23D4C">
        <w:rPr>
          <w:rFonts w:eastAsiaTheme="minorEastAsia" w:cstheme="minorBidi"/>
          <w:b w:val="0"/>
          <w:bCs w:val="0"/>
          <w:noProof/>
          <w:lang w:val="es-CO"/>
        </w:rPr>
        <w:tab/>
      </w:r>
      <w:r w:rsidRPr="003B68FE">
        <w:rPr>
          <w:noProof/>
          <w:lang w:val="es-CO"/>
        </w:rPr>
        <w:t>Hallazgos para el criterio de costo-efectividad</w:t>
      </w:r>
      <w:r>
        <w:rPr>
          <w:noProof/>
        </w:rPr>
        <w:tab/>
      </w:r>
      <w:r>
        <w:rPr>
          <w:noProof/>
        </w:rPr>
        <w:fldChar w:fldCharType="begin"/>
      </w:r>
      <w:r>
        <w:rPr>
          <w:noProof/>
        </w:rPr>
        <w:instrText xml:space="preserve"> PAGEREF _Toc505090954 \h </w:instrText>
      </w:r>
      <w:r>
        <w:rPr>
          <w:noProof/>
        </w:rPr>
      </w:r>
      <w:r>
        <w:rPr>
          <w:noProof/>
        </w:rPr>
        <w:fldChar w:fldCharType="separate"/>
      </w:r>
      <w:r>
        <w:rPr>
          <w:noProof/>
        </w:rPr>
        <w:t>47</w:t>
      </w:r>
      <w:r>
        <w:rPr>
          <w:noProof/>
        </w:rPr>
        <w:fldChar w:fldCharType="end"/>
      </w:r>
    </w:p>
    <w:p w14:paraId="3B0EA78B" w14:textId="5A6B733B"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4.3.</w:t>
      </w:r>
      <w:r w:rsidRPr="00F23D4C">
        <w:rPr>
          <w:rFonts w:eastAsiaTheme="minorEastAsia" w:cstheme="minorBidi"/>
          <w:b w:val="0"/>
          <w:bCs w:val="0"/>
          <w:noProof/>
          <w:lang w:val="es-CO"/>
        </w:rPr>
        <w:tab/>
      </w:r>
      <w:r w:rsidRPr="003B68FE">
        <w:rPr>
          <w:noProof/>
          <w:lang w:val="es-CO"/>
        </w:rPr>
        <w:t>Conclusiones</w:t>
      </w:r>
      <w:r>
        <w:rPr>
          <w:noProof/>
        </w:rPr>
        <w:tab/>
      </w:r>
      <w:r>
        <w:rPr>
          <w:noProof/>
        </w:rPr>
        <w:fldChar w:fldCharType="begin"/>
      </w:r>
      <w:r>
        <w:rPr>
          <w:noProof/>
        </w:rPr>
        <w:instrText xml:space="preserve"> PAGEREF _Toc505090955 \h </w:instrText>
      </w:r>
      <w:r>
        <w:rPr>
          <w:noProof/>
        </w:rPr>
      </w:r>
      <w:r>
        <w:rPr>
          <w:noProof/>
        </w:rPr>
        <w:fldChar w:fldCharType="separate"/>
      </w:r>
      <w:r>
        <w:rPr>
          <w:noProof/>
        </w:rPr>
        <w:t>49</w:t>
      </w:r>
      <w:r>
        <w:rPr>
          <w:noProof/>
        </w:rPr>
        <w:fldChar w:fldCharType="end"/>
      </w:r>
    </w:p>
    <w:p w14:paraId="3C3E4E8C" w14:textId="063971EA"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5.</w:t>
      </w:r>
      <w:r w:rsidRPr="00F23D4C">
        <w:rPr>
          <w:rFonts w:eastAsiaTheme="minorEastAsia" w:cstheme="minorBidi"/>
          <w:b w:val="0"/>
          <w:bCs w:val="0"/>
          <w:noProof/>
          <w:sz w:val="22"/>
          <w:szCs w:val="22"/>
          <w:lang w:val="es-CO"/>
        </w:rPr>
        <w:tab/>
      </w:r>
      <w:r w:rsidRPr="003B68FE">
        <w:rPr>
          <w:noProof/>
          <w:lang w:val="es-CO"/>
        </w:rPr>
        <w:t>Recomendaciones</w:t>
      </w:r>
      <w:r>
        <w:rPr>
          <w:noProof/>
        </w:rPr>
        <w:tab/>
      </w:r>
      <w:r>
        <w:rPr>
          <w:noProof/>
        </w:rPr>
        <w:fldChar w:fldCharType="begin"/>
      </w:r>
      <w:r>
        <w:rPr>
          <w:noProof/>
        </w:rPr>
        <w:instrText xml:space="preserve"> PAGEREF _Toc505090956 \h </w:instrText>
      </w:r>
      <w:r>
        <w:rPr>
          <w:noProof/>
        </w:rPr>
      </w:r>
      <w:r>
        <w:rPr>
          <w:noProof/>
        </w:rPr>
        <w:fldChar w:fldCharType="separate"/>
      </w:r>
      <w:r>
        <w:rPr>
          <w:noProof/>
        </w:rPr>
        <w:t>53</w:t>
      </w:r>
      <w:r>
        <w:rPr>
          <w:noProof/>
        </w:rPr>
        <w:fldChar w:fldCharType="end"/>
      </w:r>
    </w:p>
    <w:p w14:paraId="3D581C8A" w14:textId="17C7067E"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5.1.</w:t>
      </w:r>
      <w:r w:rsidRPr="00F23D4C">
        <w:rPr>
          <w:rFonts w:eastAsiaTheme="minorEastAsia" w:cstheme="minorBidi"/>
          <w:b w:val="0"/>
          <w:bCs w:val="0"/>
          <w:noProof/>
          <w:lang w:val="es-CO"/>
        </w:rPr>
        <w:tab/>
      </w:r>
      <w:r w:rsidRPr="003B68FE">
        <w:rPr>
          <w:noProof/>
          <w:lang w:val="es-CO"/>
        </w:rPr>
        <w:t>Recomendaciones al MSPS</w:t>
      </w:r>
      <w:r>
        <w:rPr>
          <w:noProof/>
        </w:rPr>
        <w:tab/>
      </w:r>
      <w:r>
        <w:rPr>
          <w:noProof/>
        </w:rPr>
        <w:fldChar w:fldCharType="begin"/>
      </w:r>
      <w:r>
        <w:rPr>
          <w:noProof/>
        </w:rPr>
        <w:instrText xml:space="preserve"> PAGEREF _Toc505090957 \h </w:instrText>
      </w:r>
      <w:r>
        <w:rPr>
          <w:noProof/>
        </w:rPr>
      </w:r>
      <w:r>
        <w:rPr>
          <w:noProof/>
        </w:rPr>
        <w:fldChar w:fldCharType="separate"/>
      </w:r>
      <w:r>
        <w:rPr>
          <w:noProof/>
        </w:rPr>
        <w:t>53</w:t>
      </w:r>
      <w:r>
        <w:rPr>
          <w:noProof/>
        </w:rPr>
        <w:fldChar w:fldCharType="end"/>
      </w:r>
    </w:p>
    <w:p w14:paraId="784B9F23" w14:textId="4D4D956A"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5.2.</w:t>
      </w:r>
      <w:r w:rsidRPr="00F23D4C">
        <w:rPr>
          <w:rFonts w:eastAsiaTheme="minorEastAsia" w:cstheme="minorBidi"/>
          <w:b w:val="0"/>
          <w:bCs w:val="0"/>
          <w:noProof/>
          <w:lang w:val="es-CO"/>
        </w:rPr>
        <w:tab/>
      </w:r>
      <w:r w:rsidRPr="003B68FE">
        <w:rPr>
          <w:noProof/>
          <w:lang w:val="es-CO"/>
        </w:rPr>
        <w:t>Recomendaciones a las secretarías de salud municipal y departamental</w:t>
      </w:r>
      <w:r>
        <w:rPr>
          <w:noProof/>
        </w:rPr>
        <w:tab/>
      </w:r>
      <w:r>
        <w:rPr>
          <w:noProof/>
        </w:rPr>
        <w:fldChar w:fldCharType="begin"/>
      </w:r>
      <w:r>
        <w:rPr>
          <w:noProof/>
        </w:rPr>
        <w:instrText xml:space="preserve"> PAGEREF _Toc505090958 \h </w:instrText>
      </w:r>
      <w:r>
        <w:rPr>
          <w:noProof/>
        </w:rPr>
      </w:r>
      <w:r>
        <w:rPr>
          <w:noProof/>
        </w:rPr>
        <w:fldChar w:fldCharType="separate"/>
      </w:r>
      <w:r>
        <w:rPr>
          <w:noProof/>
        </w:rPr>
        <w:t>55</w:t>
      </w:r>
      <w:r>
        <w:rPr>
          <w:noProof/>
        </w:rPr>
        <w:fldChar w:fldCharType="end"/>
      </w:r>
    </w:p>
    <w:p w14:paraId="08250D16" w14:textId="6C4AC81C"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6.</w:t>
      </w:r>
      <w:r w:rsidRPr="00F23D4C">
        <w:rPr>
          <w:rFonts w:eastAsiaTheme="minorEastAsia" w:cstheme="minorBidi"/>
          <w:b w:val="0"/>
          <w:bCs w:val="0"/>
          <w:noProof/>
          <w:sz w:val="22"/>
          <w:szCs w:val="22"/>
          <w:lang w:val="es-CO"/>
        </w:rPr>
        <w:tab/>
      </w:r>
      <w:r w:rsidRPr="003B68FE">
        <w:rPr>
          <w:noProof/>
          <w:lang w:val="es-CO"/>
        </w:rPr>
        <w:t>Bibliografía</w:t>
      </w:r>
      <w:r>
        <w:rPr>
          <w:noProof/>
        </w:rPr>
        <w:tab/>
      </w:r>
      <w:r>
        <w:rPr>
          <w:noProof/>
        </w:rPr>
        <w:fldChar w:fldCharType="begin"/>
      </w:r>
      <w:r>
        <w:rPr>
          <w:noProof/>
        </w:rPr>
        <w:instrText xml:space="preserve"> PAGEREF _Toc505090959 \h </w:instrText>
      </w:r>
      <w:r>
        <w:rPr>
          <w:noProof/>
        </w:rPr>
      </w:r>
      <w:r>
        <w:rPr>
          <w:noProof/>
        </w:rPr>
        <w:fldChar w:fldCharType="separate"/>
      </w:r>
      <w:r>
        <w:rPr>
          <w:noProof/>
        </w:rPr>
        <w:t>56</w:t>
      </w:r>
      <w:r>
        <w:rPr>
          <w:noProof/>
        </w:rPr>
        <w:fldChar w:fldCharType="end"/>
      </w:r>
    </w:p>
    <w:p w14:paraId="1073B2C7" w14:textId="51D94DDA" w:rsidR="00F23D4C" w:rsidRPr="00F23D4C" w:rsidRDefault="00F23D4C">
      <w:pPr>
        <w:pStyle w:val="TOC1"/>
        <w:tabs>
          <w:tab w:val="left" w:pos="440"/>
          <w:tab w:val="right" w:leader="dot" w:pos="8828"/>
        </w:tabs>
        <w:rPr>
          <w:rFonts w:eastAsiaTheme="minorEastAsia" w:cstheme="minorBidi"/>
          <w:b w:val="0"/>
          <w:bCs w:val="0"/>
          <w:noProof/>
          <w:sz w:val="22"/>
          <w:szCs w:val="22"/>
          <w:lang w:val="es-CO"/>
        </w:rPr>
      </w:pPr>
      <w:r w:rsidRPr="003B68FE">
        <w:rPr>
          <w:noProof/>
          <w:lang w:val="es-CO"/>
        </w:rPr>
        <w:t>7.</w:t>
      </w:r>
      <w:r w:rsidRPr="00F23D4C">
        <w:rPr>
          <w:rFonts w:eastAsiaTheme="minorEastAsia" w:cstheme="minorBidi"/>
          <w:b w:val="0"/>
          <w:bCs w:val="0"/>
          <w:noProof/>
          <w:sz w:val="22"/>
          <w:szCs w:val="22"/>
          <w:lang w:val="es-CO"/>
        </w:rPr>
        <w:tab/>
      </w:r>
      <w:r w:rsidRPr="003B68FE">
        <w:rPr>
          <w:noProof/>
          <w:lang w:val="es-CO"/>
        </w:rPr>
        <w:t>Anexos</w:t>
      </w:r>
      <w:r>
        <w:rPr>
          <w:noProof/>
        </w:rPr>
        <w:tab/>
      </w:r>
      <w:r>
        <w:rPr>
          <w:noProof/>
        </w:rPr>
        <w:fldChar w:fldCharType="begin"/>
      </w:r>
      <w:r>
        <w:rPr>
          <w:noProof/>
        </w:rPr>
        <w:instrText xml:space="preserve"> PAGEREF _Toc505090960 \h </w:instrText>
      </w:r>
      <w:r>
        <w:rPr>
          <w:noProof/>
        </w:rPr>
      </w:r>
      <w:r>
        <w:rPr>
          <w:noProof/>
        </w:rPr>
        <w:fldChar w:fldCharType="separate"/>
      </w:r>
      <w:r>
        <w:rPr>
          <w:noProof/>
        </w:rPr>
        <w:t>58</w:t>
      </w:r>
      <w:r>
        <w:rPr>
          <w:noProof/>
        </w:rPr>
        <w:fldChar w:fldCharType="end"/>
      </w:r>
    </w:p>
    <w:p w14:paraId="419E2F18" w14:textId="2BB8C075"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7.1.</w:t>
      </w:r>
      <w:r w:rsidRPr="00F23D4C">
        <w:rPr>
          <w:rFonts w:eastAsiaTheme="minorEastAsia" w:cstheme="minorBidi"/>
          <w:b w:val="0"/>
          <w:bCs w:val="0"/>
          <w:noProof/>
          <w:lang w:val="es-CO"/>
        </w:rPr>
        <w:tab/>
      </w:r>
      <w:r w:rsidRPr="003B68FE">
        <w:rPr>
          <w:noProof/>
          <w:lang w:val="es-CO"/>
        </w:rPr>
        <w:t>Términos de referencia</w:t>
      </w:r>
      <w:r>
        <w:rPr>
          <w:noProof/>
        </w:rPr>
        <w:tab/>
      </w:r>
      <w:r>
        <w:rPr>
          <w:noProof/>
        </w:rPr>
        <w:fldChar w:fldCharType="begin"/>
      </w:r>
      <w:r>
        <w:rPr>
          <w:noProof/>
        </w:rPr>
        <w:instrText xml:space="preserve"> PAGEREF _Toc505090961 \h </w:instrText>
      </w:r>
      <w:r>
        <w:rPr>
          <w:noProof/>
        </w:rPr>
      </w:r>
      <w:r>
        <w:rPr>
          <w:noProof/>
        </w:rPr>
        <w:fldChar w:fldCharType="separate"/>
      </w:r>
      <w:r>
        <w:rPr>
          <w:noProof/>
        </w:rPr>
        <w:t>58</w:t>
      </w:r>
      <w:r>
        <w:rPr>
          <w:noProof/>
        </w:rPr>
        <w:fldChar w:fldCharType="end"/>
      </w:r>
    </w:p>
    <w:p w14:paraId="6C818B66" w14:textId="43B53E67"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7.2.</w:t>
      </w:r>
      <w:r w:rsidRPr="00F23D4C">
        <w:rPr>
          <w:rFonts w:eastAsiaTheme="minorEastAsia" w:cstheme="minorBidi"/>
          <w:b w:val="0"/>
          <w:bCs w:val="0"/>
          <w:noProof/>
          <w:lang w:val="es-CO"/>
        </w:rPr>
        <w:tab/>
      </w:r>
      <w:r w:rsidRPr="003B68FE">
        <w:rPr>
          <w:noProof/>
          <w:lang w:val="es-CO"/>
        </w:rPr>
        <w:t>Instrumentos cualitativos</w:t>
      </w:r>
      <w:r>
        <w:rPr>
          <w:noProof/>
        </w:rPr>
        <w:tab/>
      </w:r>
      <w:r>
        <w:rPr>
          <w:noProof/>
        </w:rPr>
        <w:fldChar w:fldCharType="begin"/>
      </w:r>
      <w:r>
        <w:rPr>
          <w:noProof/>
        </w:rPr>
        <w:instrText xml:space="preserve"> PAGEREF _Toc505090962 \h </w:instrText>
      </w:r>
      <w:r>
        <w:rPr>
          <w:noProof/>
        </w:rPr>
      </w:r>
      <w:r>
        <w:rPr>
          <w:noProof/>
        </w:rPr>
        <w:fldChar w:fldCharType="separate"/>
      </w:r>
      <w:r>
        <w:rPr>
          <w:noProof/>
        </w:rPr>
        <w:t>58</w:t>
      </w:r>
      <w:r>
        <w:rPr>
          <w:noProof/>
        </w:rPr>
        <w:fldChar w:fldCharType="end"/>
      </w:r>
    </w:p>
    <w:p w14:paraId="40CDC689" w14:textId="2D276CB4"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7.3.</w:t>
      </w:r>
      <w:r w:rsidRPr="00F23D4C">
        <w:rPr>
          <w:rFonts w:eastAsiaTheme="minorEastAsia" w:cstheme="minorBidi"/>
          <w:b w:val="0"/>
          <w:bCs w:val="0"/>
          <w:noProof/>
          <w:lang w:val="es-CO"/>
        </w:rPr>
        <w:tab/>
      </w:r>
      <w:r w:rsidRPr="003B68FE">
        <w:rPr>
          <w:noProof/>
          <w:lang w:val="es-CO"/>
        </w:rPr>
        <w:t>Informe de salida de campo</w:t>
      </w:r>
      <w:r>
        <w:rPr>
          <w:noProof/>
        </w:rPr>
        <w:tab/>
      </w:r>
      <w:r>
        <w:rPr>
          <w:noProof/>
        </w:rPr>
        <w:fldChar w:fldCharType="begin"/>
      </w:r>
      <w:r>
        <w:rPr>
          <w:noProof/>
        </w:rPr>
        <w:instrText xml:space="preserve"> PAGEREF _Toc505090963 \h </w:instrText>
      </w:r>
      <w:r>
        <w:rPr>
          <w:noProof/>
        </w:rPr>
      </w:r>
      <w:r>
        <w:rPr>
          <w:noProof/>
        </w:rPr>
        <w:fldChar w:fldCharType="separate"/>
      </w:r>
      <w:r>
        <w:rPr>
          <w:noProof/>
        </w:rPr>
        <w:t>58</w:t>
      </w:r>
      <w:r>
        <w:rPr>
          <w:noProof/>
        </w:rPr>
        <w:fldChar w:fldCharType="end"/>
      </w:r>
    </w:p>
    <w:p w14:paraId="314640A0" w14:textId="2AF97B25"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7.4.</w:t>
      </w:r>
      <w:r w:rsidRPr="00F23D4C">
        <w:rPr>
          <w:rFonts w:eastAsiaTheme="minorEastAsia" w:cstheme="minorBidi"/>
          <w:b w:val="0"/>
          <w:bCs w:val="0"/>
          <w:noProof/>
          <w:lang w:val="es-CO"/>
        </w:rPr>
        <w:tab/>
      </w:r>
      <w:r w:rsidRPr="003B68FE">
        <w:rPr>
          <w:noProof/>
          <w:lang w:val="es-CO"/>
        </w:rPr>
        <w:t>Matriz de evaluación</w:t>
      </w:r>
      <w:r>
        <w:rPr>
          <w:noProof/>
        </w:rPr>
        <w:tab/>
      </w:r>
      <w:r>
        <w:rPr>
          <w:noProof/>
        </w:rPr>
        <w:fldChar w:fldCharType="begin"/>
      </w:r>
      <w:r>
        <w:rPr>
          <w:noProof/>
        </w:rPr>
        <w:instrText xml:space="preserve"> PAGEREF _Toc505090964 \h </w:instrText>
      </w:r>
      <w:r>
        <w:rPr>
          <w:noProof/>
        </w:rPr>
      </w:r>
      <w:r>
        <w:rPr>
          <w:noProof/>
        </w:rPr>
        <w:fldChar w:fldCharType="separate"/>
      </w:r>
      <w:r>
        <w:rPr>
          <w:noProof/>
        </w:rPr>
        <w:t>58</w:t>
      </w:r>
      <w:r>
        <w:rPr>
          <w:noProof/>
        </w:rPr>
        <w:fldChar w:fldCharType="end"/>
      </w:r>
    </w:p>
    <w:p w14:paraId="6F29FF35" w14:textId="6E049E69"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7.5.</w:t>
      </w:r>
      <w:r w:rsidRPr="00F23D4C">
        <w:rPr>
          <w:rFonts w:eastAsiaTheme="minorEastAsia" w:cstheme="minorBidi"/>
          <w:b w:val="0"/>
          <w:bCs w:val="0"/>
          <w:noProof/>
          <w:lang w:val="es-CO"/>
        </w:rPr>
        <w:tab/>
      </w:r>
      <w:r w:rsidRPr="003B68FE">
        <w:rPr>
          <w:noProof/>
          <w:lang w:val="es-CO"/>
        </w:rPr>
        <w:t>Análisis de sensibilidad</w:t>
      </w:r>
      <w:r>
        <w:rPr>
          <w:noProof/>
        </w:rPr>
        <w:tab/>
      </w:r>
      <w:r>
        <w:rPr>
          <w:noProof/>
        </w:rPr>
        <w:fldChar w:fldCharType="begin"/>
      </w:r>
      <w:r>
        <w:rPr>
          <w:noProof/>
        </w:rPr>
        <w:instrText xml:space="preserve"> PAGEREF _Toc505090965 \h </w:instrText>
      </w:r>
      <w:r>
        <w:rPr>
          <w:noProof/>
        </w:rPr>
      </w:r>
      <w:r>
        <w:rPr>
          <w:noProof/>
        </w:rPr>
        <w:fldChar w:fldCharType="separate"/>
      </w:r>
      <w:r>
        <w:rPr>
          <w:noProof/>
        </w:rPr>
        <w:t>58</w:t>
      </w:r>
      <w:r>
        <w:rPr>
          <w:noProof/>
        </w:rPr>
        <w:fldChar w:fldCharType="end"/>
      </w:r>
    </w:p>
    <w:p w14:paraId="3930803A" w14:textId="649FB0F5"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7.6.</w:t>
      </w:r>
      <w:r w:rsidRPr="00F23D4C">
        <w:rPr>
          <w:rFonts w:eastAsiaTheme="minorEastAsia" w:cstheme="minorBidi"/>
          <w:b w:val="0"/>
          <w:bCs w:val="0"/>
          <w:noProof/>
          <w:lang w:val="es-CO"/>
        </w:rPr>
        <w:tab/>
      </w:r>
      <w:r w:rsidRPr="003B68FE">
        <w:rPr>
          <w:noProof/>
          <w:lang w:val="es-CO"/>
        </w:rPr>
        <w:t>Herramienta parametrizada</w:t>
      </w:r>
      <w:r>
        <w:rPr>
          <w:noProof/>
        </w:rPr>
        <w:tab/>
      </w:r>
      <w:r>
        <w:rPr>
          <w:noProof/>
        </w:rPr>
        <w:fldChar w:fldCharType="begin"/>
      </w:r>
      <w:r>
        <w:rPr>
          <w:noProof/>
        </w:rPr>
        <w:instrText xml:space="preserve"> PAGEREF _Toc505090966 \h </w:instrText>
      </w:r>
      <w:r>
        <w:rPr>
          <w:noProof/>
        </w:rPr>
      </w:r>
      <w:r>
        <w:rPr>
          <w:noProof/>
        </w:rPr>
        <w:fldChar w:fldCharType="separate"/>
      </w:r>
      <w:r>
        <w:rPr>
          <w:noProof/>
        </w:rPr>
        <w:t>58</w:t>
      </w:r>
      <w:r>
        <w:rPr>
          <w:noProof/>
        </w:rPr>
        <w:fldChar w:fldCharType="end"/>
      </w:r>
    </w:p>
    <w:p w14:paraId="14B4012C" w14:textId="165C9E29" w:rsidR="00F23D4C" w:rsidRPr="00F23D4C" w:rsidRDefault="00F23D4C">
      <w:pPr>
        <w:pStyle w:val="TOC2"/>
        <w:tabs>
          <w:tab w:val="left" w:pos="880"/>
          <w:tab w:val="right" w:leader="dot" w:pos="8828"/>
        </w:tabs>
        <w:rPr>
          <w:rFonts w:eastAsiaTheme="minorEastAsia" w:cstheme="minorBidi"/>
          <w:b w:val="0"/>
          <w:bCs w:val="0"/>
          <w:noProof/>
          <w:lang w:val="es-CO"/>
        </w:rPr>
      </w:pPr>
      <w:r w:rsidRPr="003B68FE">
        <w:rPr>
          <w:noProof/>
          <w:lang w:val="es-CO"/>
        </w:rPr>
        <w:t>7.7.</w:t>
      </w:r>
      <w:r w:rsidRPr="00F23D4C">
        <w:rPr>
          <w:rFonts w:eastAsiaTheme="minorEastAsia" w:cstheme="minorBidi"/>
          <w:b w:val="0"/>
          <w:bCs w:val="0"/>
          <w:noProof/>
          <w:lang w:val="es-CO"/>
        </w:rPr>
        <w:tab/>
      </w:r>
      <w:r w:rsidRPr="003B68FE">
        <w:rPr>
          <w:noProof/>
          <w:lang w:val="es-CO"/>
        </w:rPr>
        <w:t>Revisión de la literatura criterio costo-efectividad</w:t>
      </w:r>
      <w:r>
        <w:rPr>
          <w:noProof/>
        </w:rPr>
        <w:tab/>
      </w:r>
      <w:r>
        <w:rPr>
          <w:noProof/>
        </w:rPr>
        <w:fldChar w:fldCharType="begin"/>
      </w:r>
      <w:r>
        <w:rPr>
          <w:noProof/>
        </w:rPr>
        <w:instrText xml:space="preserve"> PAGEREF _Toc505090967 \h </w:instrText>
      </w:r>
      <w:r>
        <w:rPr>
          <w:noProof/>
        </w:rPr>
      </w:r>
      <w:r>
        <w:rPr>
          <w:noProof/>
        </w:rPr>
        <w:fldChar w:fldCharType="separate"/>
      </w:r>
      <w:r>
        <w:rPr>
          <w:noProof/>
        </w:rPr>
        <w:t>58</w:t>
      </w:r>
      <w:r>
        <w:rPr>
          <w:noProof/>
        </w:rPr>
        <w:fldChar w:fldCharType="end"/>
      </w:r>
    </w:p>
    <w:p w14:paraId="55ADFBAD" w14:textId="727EEF9D" w:rsidR="00111106" w:rsidRPr="00606E51" w:rsidRDefault="0085148E" w:rsidP="00111106">
      <w:pPr>
        <w:rPr>
          <w:lang w:val="es-CO"/>
        </w:rPr>
      </w:pPr>
      <w:r w:rsidRPr="00606E51">
        <w:rPr>
          <w:rFonts w:cs="Times New Roman"/>
          <w:lang w:val="es-CO"/>
        </w:rPr>
        <w:fldChar w:fldCharType="end"/>
      </w:r>
    </w:p>
    <w:p w14:paraId="0E9CF012" w14:textId="77777777" w:rsidR="0027121F" w:rsidRPr="00606E51" w:rsidRDefault="0027121F" w:rsidP="00843C37">
      <w:pPr>
        <w:rPr>
          <w:rFonts w:eastAsia="Times New Roman" w:cs="Times New Roman"/>
          <w:sz w:val="24"/>
          <w:szCs w:val="24"/>
          <w:lang w:val="es-CO"/>
        </w:rPr>
      </w:pPr>
    </w:p>
    <w:p w14:paraId="35B2A7C6" w14:textId="77777777" w:rsidR="00A31832" w:rsidRPr="00606E51" w:rsidRDefault="00A31832" w:rsidP="00A31832">
      <w:pPr>
        <w:jc w:val="both"/>
        <w:rPr>
          <w:rFonts w:eastAsia="Times New Roman" w:cs="Times New Roman"/>
          <w:sz w:val="24"/>
          <w:szCs w:val="24"/>
          <w:lang w:val="es-CO"/>
        </w:rPr>
      </w:pPr>
      <w:bookmarkStart w:id="0" w:name="_Toc481101215"/>
    </w:p>
    <w:p w14:paraId="21DB2A7A" w14:textId="77777777" w:rsidR="00A31832" w:rsidRPr="00606E51" w:rsidRDefault="00A31832" w:rsidP="00A31832">
      <w:pPr>
        <w:jc w:val="both"/>
        <w:rPr>
          <w:rFonts w:eastAsia="Times New Roman" w:cs="Times New Roman"/>
          <w:sz w:val="24"/>
          <w:szCs w:val="24"/>
          <w:lang w:val="es-CO"/>
        </w:rPr>
      </w:pPr>
    </w:p>
    <w:p w14:paraId="6FF95219" w14:textId="77777777" w:rsidR="007F0B06" w:rsidRPr="00606E51" w:rsidRDefault="007F0B06" w:rsidP="00285C40">
      <w:pPr>
        <w:jc w:val="both"/>
        <w:rPr>
          <w:rFonts w:eastAsia="Times New Roman" w:cs="Times New Roman"/>
          <w:sz w:val="24"/>
          <w:szCs w:val="24"/>
          <w:lang w:val="es-CO"/>
        </w:rPr>
      </w:pPr>
      <w:r w:rsidRPr="00606E51">
        <w:rPr>
          <w:color w:val="234F77" w:themeColor="accent2" w:themeShade="80"/>
          <w:sz w:val="24"/>
          <w:szCs w:val="26"/>
          <w:lang w:val="es-CO"/>
        </w:rPr>
        <w:t>Siglas y Abreviaciones</w:t>
      </w:r>
      <w:bookmarkEnd w:id="0"/>
    </w:p>
    <w:p w14:paraId="4ACF89BC" w14:textId="77777777" w:rsidR="00320BFE" w:rsidRPr="00606E51" w:rsidRDefault="00320BFE" w:rsidP="001B5600">
      <w:pPr>
        <w:rPr>
          <w:color w:val="234F77" w:themeColor="accent2" w:themeShade="80"/>
          <w:szCs w:val="24"/>
          <w:lang w:val="es-CO"/>
        </w:rPr>
      </w:pPr>
    </w:p>
    <w:p w14:paraId="16E3C67E" w14:textId="77777777" w:rsidR="00A450C1" w:rsidRPr="00606E51" w:rsidRDefault="006E5A32" w:rsidP="001B5600">
      <w:pPr>
        <w:rPr>
          <w:sz w:val="24"/>
          <w:szCs w:val="24"/>
          <w:lang w:val="es-CO"/>
        </w:rPr>
      </w:pPr>
      <w:r w:rsidRPr="00606E51">
        <w:rPr>
          <w:color w:val="234F77" w:themeColor="accent2" w:themeShade="80"/>
          <w:szCs w:val="24"/>
          <w:lang w:val="es-CO"/>
        </w:rPr>
        <w:t>Siglas</w:t>
      </w:r>
    </w:p>
    <w:p w14:paraId="3B429768" w14:textId="77777777" w:rsidR="006E5A32" w:rsidRPr="00606E51" w:rsidRDefault="006E5A32" w:rsidP="006E5A32">
      <w:pPr>
        <w:jc w:val="both"/>
        <w:rPr>
          <w:rFonts w:cs="Times New Roman"/>
          <w:sz w:val="21"/>
          <w:lang w:val="es-CO"/>
        </w:rPr>
      </w:pPr>
      <w:r w:rsidRPr="00606E51">
        <w:rPr>
          <w:rFonts w:cs="Times New Roman"/>
          <w:b/>
          <w:sz w:val="21"/>
          <w:lang w:val="es-CO"/>
        </w:rPr>
        <w:t>AVAD:</w:t>
      </w:r>
      <w:r w:rsidRPr="00606E51">
        <w:rPr>
          <w:rFonts w:cs="Times New Roman"/>
          <w:sz w:val="21"/>
          <w:lang w:val="es-CO"/>
        </w:rPr>
        <w:t xml:space="preserve"> Años de Vida Ajustados por Discapacidad</w:t>
      </w:r>
    </w:p>
    <w:p w14:paraId="04B73D23" w14:textId="77777777" w:rsidR="006E5A32" w:rsidRPr="00606E51" w:rsidRDefault="006E5A32" w:rsidP="006E5A32">
      <w:pPr>
        <w:jc w:val="both"/>
        <w:rPr>
          <w:rFonts w:cs="Times New Roman"/>
          <w:b/>
          <w:sz w:val="21"/>
          <w:lang w:val="es-CO"/>
        </w:rPr>
      </w:pPr>
      <w:r w:rsidRPr="00606E51">
        <w:rPr>
          <w:rFonts w:cs="Times New Roman"/>
          <w:b/>
          <w:sz w:val="21"/>
          <w:lang w:val="es-CO"/>
        </w:rPr>
        <w:t>ACE:</w:t>
      </w:r>
      <w:r w:rsidRPr="00606E51">
        <w:rPr>
          <w:rFonts w:cs="Times New Roman"/>
          <w:sz w:val="21"/>
          <w:lang w:val="es-CO"/>
        </w:rPr>
        <w:t xml:space="preserve"> Análisis Costo Efectividad.</w:t>
      </w:r>
    </w:p>
    <w:p w14:paraId="04B11EB7" w14:textId="77777777" w:rsidR="00781E57" w:rsidRPr="00606E51" w:rsidRDefault="006E5A32" w:rsidP="00285C40">
      <w:pPr>
        <w:jc w:val="both"/>
        <w:rPr>
          <w:rFonts w:cs="Times New Roman"/>
          <w:sz w:val="21"/>
          <w:lang w:val="es-CO"/>
        </w:rPr>
      </w:pPr>
      <w:r w:rsidRPr="00606E51">
        <w:rPr>
          <w:rFonts w:cs="Times New Roman"/>
          <w:b/>
          <w:sz w:val="21"/>
          <w:lang w:val="es-CO"/>
        </w:rPr>
        <w:t>CIDH:</w:t>
      </w:r>
      <w:r w:rsidR="00733797" w:rsidRPr="00606E51">
        <w:rPr>
          <w:rFonts w:cs="Times New Roman"/>
          <w:b/>
          <w:sz w:val="21"/>
          <w:lang w:val="es-CO"/>
        </w:rPr>
        <w:t xml:space="preserve"> </w:t>
      </w:r>
      <w:r w:rsidR="0027146D" w:rsidRPr="00606E51">
        <w:rPr>
          <w:rFonts w:cs="Times New Roman"/>
          <w:sz w:val="21"/>
          <w:lang w:val="es-CO"/>
        </w:rPr>
        <w:t>Comisión i</w:t>
      </w:r>
      <w:r w:rsidR="00733797" w:rsidRPr="00606E51">
        <w:rPr>
          <w:rFonts w:cs="Times New Roman"/>
          <w:sz w:val="21"/>
          <w:lang w:val="es-CO"/>
        </w:rPr>
        <w:t>nter</w:t>
      </w:r>
      <w:r w:rsidR="00781E57" w:rsidRPr="00606E51">
        <w:rPr>
          <w:rFonts w:cs="Times New Roman"/>
          <w:sz w:val="21"/>
          <w:lang w:val="es-CO"/>
        </w:rPr>
        <w:t>americana de derechos Humanos</w:t>
      </w:r>
    </w:p>
    <w:p w14:paraId="19F41266" w14:textId="77777777" w:rsidR="0027146D" w:rsidRPr="00606E51" w:rsidRDefault="0027146D" w:rsidP="00285C40">
      <w:pPr>
        <w:jc w:val="both"/>
        <w:rPr>
          <w:rFonts w:cs="Times New Roman"/>
          <w:b/>
          <w:sz w:val="21"/>
          <w:lang w:val="es-CO"/>
        </w:rPr>
      </w:pPr>
      <w:r w:rsidRPr="00606E51">
        <w:rPr>
          <w:rFonts w:cs="Times New Roman"/>
          <w:b/>
          <w:sz w:val="21"/>
          <w:lang w:val="es-CO"/>
        </w:rPr>
        <w:t>CISAN:</w:t>
      </w:r>
      <w:r w:rsidRPr="00606E51">
        <w:rPr>
          <w:rFonts w:cs="Times New Roman"/>
          <w:sz w:val="21"/>
          <w:lang w:val="es-CO"/>
        </w:rPr>
        <w:t xml:space="preserve"> Comisión intersectorial de seguridad alimentaria y nutricional</w:t>
      </w:r>
    </w:p>
    <w:p w14:paraId="43728435" w14:textId="77777777" w:rsidR="00F73E4B" w:rsidRPr="00606E51" w:rsidRDefault="006E5A32" w:rsidP="00285C40">
      <w:pPr>
        <w:jc w:val="both"/>
        <w:rPr>
          <w:rFonts w:cs="Times New Roman"/>
          <w:sz w:val="21"/>
          <w:lang w:val="es-CO"/>
        </w:rPr>
      </w:pPr>
      <w:r w:rsidRPr="00606E51">
        <w:rPr>
          <w:rFonts w:cs="Times New Roman"/>
          <w:b/>
          <w:sz w:val="21"/>
          <w:lang w:val="es-CO"/>
        </w:rPr>
        <w:t>CONPES:</w:t>
      </w:r>
      <w:r w:rsidR="00F73E4B" w:rsidRPr="00606E51">
        <w:rPr>
          <w:rFonts w:cs="Times New Roman"/>
          <w:b/>
          <w:sz w:val="21"/>
          <w:lang w:val="es-CO"/>
        </w:rPr>
        <w:t xml:space="preserve"> </w:t>
      </w:r>
      <w:r w:rsidR="00F73E4B" w:rsidRPr="00606E51">
        <w:rPr>
          <w:rFonts w:cs="Times New Roman"/>
          <w:sz w:val="21"/>
          <w:lang w:val="es-CO"/>
        </w:rPr>
        <w:t>Consejo de Política Económica y Social</w:t>
      </w:r>
    </w:p>
    <w:p w14:paraId="1B46C517" w14:textId="77777777" w:rsidR="00712358" w:rsidRPr="00606E51" w:rsidRDefault="00712358" w:rsidP="00285C40">
      <w:pPr>
        <w:jc w:val="both"/>
        <w:rPr>
          <w:rFonts w:cs="Times New Roman"/>
          <w:sz w:val="21"/>
          <w:lang w:val="es-CO"/>
        </w:rPr>
      </w:pPr>
      <w:r w:rsidRPr="00606E51">
        <w:rPr>
          <w:rFonts w:cs="Times New Roman"/>
          <w:b/>
          <w:sz w:val="21"/>
          <w:lang w:val="es-CO"/>
        </w:rPr>
        <w:t>DNT</w:t>
      </w:r>
      <w:r w:rsidR="006E5A32" w:rsidRPr="00606E51">
        <w:rPr>
          <w:rFonts w:cs="Times New Roman"/>
          <w:sz w:val="21"/>
          <w:lang w:val="es-CO"/>
        </w:rPr>
        <w:t>:</w:t>
      </w:r>
      <w:r w:rsidR="00DC794E" w:rsidRPr="00606E51">
        <w:rPr>
          <w:rFonts w:cs="Times New Roman"/>
          <w:sz w:val="21"/>
          <w:lang w:val="es-CO"/>
        </w:rPr>
        <w:t xml:space="preserve"> </w:t>
      </w:r>
      <w:r w:rsidRPr="00606E51">
        <w:rPr>
          <w:rFonts w:cs="Times New Roman"/>
          <w:sz w:val="21"/>
          <w:lang w:val="es-CO"/>
        </w:rPr>
        <w:t>Desnutrición</w:t>
      </w:r>
    </w:p>
    <w:p w14:paraId="0503C30C" w14:textId="77777777" w:rsidR="00E121DA" w:rsidRPr="00606E51" w:rsidRDefault="00E121DA" w:rsidP="00E121DA">
      <w:pPr>
        <w:jc w:val="both"/>
        <w:rPr>
          <w:b/>
          <w:sz w:val="21"/>
          <w:lang w:val="es-CO"/>
        </w:rPr>
      </w:pPr>
      <w:r w:rsidRPr="00606E51">
        <w:rPr>
          <w:b/>
          <w:sz w:val="21"/>
          <w:lang w:val="es-CO"/>
        </w:rPr>
        <w:t xml:space="preserve">EAPB: </w:t>
      </w:r>
      <w:r w:rsidRPr="00606E51">
        <w:rPr>
          <w:rFonts w:cs="Times New Roman"/>
          <w:sz w:val="21"/>
          <w:lang w:val="es-CO"/>
        </w:rPr>
        <w:t>Empresas administradoras de planes de beneficio</w:t>
      </w:r>
      <w:r w:rsidRPr="00606E51">
        <w:rPr>
          <w:b/>
          <w:sz w:val="21"/>
          <w:lang w:val="es-CO"/>
        </w:rPr>
        <w:t xml:space="preserve"> </w:t>
      </w:r>
    </w:p>
    <w:p w14:paraId="7C5E65F8" w14:textId="77777777" w:rsidR="00E121DA" w:rsidRPr="00606E51" w:rsidRDefault="00E121DA" w:rsidP="00E121DA">
      <w:pPr>
        <w:jc w:val="both"/>
        <w:rPr>
          <w:sz w:val="21"/>
          <w:lang w:val="es-CO"/>
        </w:rPr>
      </w:pPr>
      <w:r w:rsidRPr="00606E51">
        <w:rPr>
          <w:rFonts w:cs="Times New Roman"/>
          <w:b/>
          <w:sz w:val="21"/>
          <w:lang w:val="es-CO"/>
        </w:rPr>
        <w:t xml:space="preserve">EPS: </w:t>
      </w:r>
      <w:r w:rsidRPr="00606E51">
        <w:rPr>
          <w:rFonts w:cs="Times New Roman"/>
          <w:sz w:val="21"/>
          <w:lang w:val="es-CO"/>
        </w:rPr>
        <w:t xml:space="preserve">Entidades promotoras de salud </w:t>
      </w:r>
    </w:p>
    <w:p w14:paraId="4C7AC74A" w14:textId="77777777" w:rsidR="00E121DA" w:rsidRPr="00606E51" w:rsidRDefault="00E121DA" w:rsidP="00285C40">
      <w:pPr>
        <w:jc w:val="both"/>
        <w:rPr>
          <w:b/>
          <w:sz w:val="21"/>
          <w:lang w:val="es-CO"/>
        </w:rPr>
      </w:pPr>
      <w:r w:rsidRPr="00606E51">
        <w:rPr>
          <w:b/>
          <w:sz w:val="21"/>
          <w:lang w:val="es-CO"/>
        </w:rPr>
        <w:t>EPSI:</w:t>
      </w:r>
      <w:r w:rsidRPr="00606E51">
        <w:rPr>
          <w:sz w:val="21"/>
          <w:lang w:val="es-CO"/>
        </w:rPr>
        <w:t xml:space="preserve"> </w:t>
      </w:r>
      <w:r w:rsidRPr="00606E51">
        <w:rPr>
          <w:rFonts w:cs="Times New Roman"/>
          <w:sz w:val="21"/>
          <w:lang w:val="es-CO"/>
        </w:rPr>
        <w:t>Entidades promotoras de salud</w:t>
      </w:r>
      <w:r w:rsidRPr="00606E51">
        <w:rPr>
          <w:sz w:val="21"/>
          <w:lang w:val="es-CO"/>
        </w:rPr>
        <w:t xml:space="preserve"> indígena</w:t>
      </w:r>
    </w:p>
    <w:p w14:paraId="1D3C46D0" w14:textId="77777777" w:rsidR="005B2FF1" w:rsidRPr="00606E51" w:rsidRDefault="005B2FF1" w:rsidP="00285C40">
      <w:pPr>
        <w:jc w:val="both"/>
        <w:rPr>
          <w:sz w:val="21"/>
          <w:lang w:val="es-CO"/>
        </w:rPr>
      </w:pPr>
      <w:r w:rsidRPr="00606E51">
        <w:rPr>
          <w:b/>
          <w:sz w:val="21"/>
          <w:lang w:val="es-CO"/>
        </w:rPr>
        <w:t>ENSIN</w:t>
      </w:r>
      <w:r w:rsidR="006E5A32" w:rsidRPr="00606E51">
        <w:rPr>
          <w:sz w:val="21"/>
          <w:lang w:val="es-CO"/>
        </w:rPr>
        <w:t xml:space="preserve">: </w:t>
      </w:r>
      <w:r w:rsidRPr="00606E51">
        <w:rPr>
          <w:sz w:val="21"/>
          <w:lang w:val="es-CO"/>
        </w:rPr>
        <w:t>Encuesta Nacional de Situación Nutricional</w:t>
      </w:r>
    </w:p>
    <w:p w14:paraId="2C7566BD" w14:textId="77777777" w:rsidR="0000349F" w:rsidRPr="00606E51" w:rsidRDefault="0000349F" w:rsidP="00285C40">
      <w:pPr>
        <w:jc w:val="both"/>
        <w:rPr>
          <w:sz w:val="21"/>
          <w:lang w:val="es-CO"/>
        </w:rPr>
      </w:pPr>
      <w:r w:rsidRPr="00606E51">
        <w:rPr>
          <w:b/>
          <w:sz w:val="21"/>
          <w:lang w:val="es-CO"/>
        </w:rPr>
        <w:t xml:space="preserve">ESE: </w:t>
      </w:r>
      <w:r w:rsidRPr="00606E51">
        <w:rPr>
          <w:sz w:val="21"/>
          <w:lang w:val="es-CO"/>
        </w:rPr>
        <w:t>Empresa social del estado</w:t>
      </w:r>
    </w:p>
    <w:p w14:paraId="2EF33DF2" w14:textId="77777777" w:rsidR="00FD3853" w:rsidRPr="00606E51" w:rsidRDefault="00FD3853" w:rsidP="00FD3853">
      <w:pPr>
        <w:jc w:val="both"/>
        <w:rPr>
          <w:sz w:val="21"/>
          <w:lang w:val="es-CO"/>
        </w:rPr>
      </w:pPr>
      <w:r w:rsidRPr="00606E51">
        <w:rPr>
          <w:b/>
          <w:sz w:val="21"/>
          <w:lang w:val="es-CO"/>
        </w:rPr>
        <w:t xml:space="preserve">FTLPC: </w:t>
      </w:r>
      <w:r w:rsidRPr="00606E51">
        <w:rPr>
          <w:sz w:val="21"/>
          <w:lang w:val="es-CO"/>
        </w:rPr>
        <w:t>Fórmula terapéutica lista para consumir</w:t>
      </w:r>
    </w:p>
    <w:p w14:paraId="449C4C39" w14:textId="77777777" w:rsidR="00CC5C29" w:rsidRPr="00606E51" w:rsidRDefault="00CC5C29" w:rsidP="00285C40">
      <w:pPr>
        <w:jc w:val="both"/>
        <w:rPr>
          <w:rFonts w:cs="Times New Roman"/>
          <w:sz w:val="21"/>
          <w:lang w:val="es-CO"/>
        </w:rPr>
      </w:pPr>
      <w:r w:rsidRPr="00606E51">
        <w:rPr>
          <w:rFonts w:cs="Times New Roman"/>
          <w:b/>
          <w:sz w:val="21"/>
          <w:lang w:val="es-CO"/>
        </w:rPr>
        <w:t>ICBF</w:t>
      </w:r>
      <w:r w:rsidR="006E5A32" w:rsidRPr="00606E51">
        <w:rPr>
          <w:rFonts w:cs="Times New Roman"/>
          <w:b/>
          <w:sz w:val="21"/>
          <w:lang w:val="es-CO"/>
        </w:rPr>
        <w:t xml:space="preserve">: </w:t>
      </w:r>
      <w:r w:rsidRPr="00606E51">
        <w:rPr>
          <w:rFonts w:cs="Times New Roman"/>
          <w:sz w:val="21"/>
          <w:lang w:val="es-CO"/>
        </w:rPr>
        <w:t>Instituto Colombiano de Bienestar Familiar</w:t>
      </w:r>
    </w:p>
    <w:p w14:paraId="3B250258" w14:textId="77777777" w:rsidR="001206DB" w:rsidRPr="00606E51" w:rsidRDefault="001206DB" w:rsidP="00285C40">
      <w:pPr>
        <w:jc w:val="both"/>
        <w:rPr>
          <w:rFonts w:cs="Times New Roman"/>
          <w:sz w:val="21"/>
          <w:lang w:val="es-CO"/>
        </w:rPr>
      </w:pPr>
      <w:r w:rsidRPr="00606E51">
        <w:rPr>
          <w:rFonts w:cs="Times New Roman"/>
          <w:b/>
          <w:sz w:val="21"/>
          <w:lang w:val="es-CO"/>
        </w:rPr>
        <w:t>IPS:</w:t>
      </w:r>
      <w:r w:rsidRPr="00606E51">
        <w:rPr>
          <w:rFonts w:cs="Times New Roman"/>
          <w:sz w:val="21"/>
          <w:lang w:val="es-CO"/>
        </w:rPr>
        <w:t xml:space="preserve"> Instituciones </w:t>
      </w:r>
      <w:r w:rsidR="00922A4D" w:rsidRPr="00606E51">
        <w:rPr>
          <w:rFonts w:cs="Times New Roman"/>
          <w:sz w:val="21"/>
          <w:lang w:val="es-CO"/>
        </w:rPr>
        <w:t>prestadoras</w:t>
      </w:r>
      <w:r w:rsidRPr="00606E51">
        <w:rPr>
          <w:rFonts w:cs="Times New Roman"/>
          <w:sz w:val="21"/>
          <w:lang w:val="es-CO"/>
        </w:rPr>
        <w:t xml:space="preserve"> de </w:t>
      </w:r>
      <w:r w:rsidR="00922A4D" w:rsidRPr="00606E51">
        <w:rPr>
          <w:rFonts w:cs="Times New Roman"/>
          <w:sz w:val="21"/>
          <w:lang w:val="es-CO"/>
        </w:rPr>
        <w:t>servicios de salud</w:t>
      </w:r>
    </w:p>
    <w:p w14:paraId="15D7C96E" w14:textId="77777777" w:rsidR="00E97256" w:rsidRPr="00606E51" w:rsidRDefault="00A31832" w:rsidP="00285C40">
      <w:pPr>
        <w:jc w:val="both"/>
        <w:rPr>
          <w:rFonts w:cs="Times New Roman"/>
          <w:sz w:val="21"/>
          <w:lang w:val="es-CO"/>
        </w:rPr>
      </w:pPr>
      <w:r w:rsidRPr="00606E51">
        <w:rPr>
          <w:rFonts w:cs="Times New Roman"/>
          <w:b/>
          <w:sz w:val="21"/>
          <w:lang w:val="es-CO"/>
        </w:rPr>
        <w:t>IPSI:</w:t>
      </w:r>
      <w:r w:rsidRPr="00606E51">
        <w:rPr>
          <w:rFonts w:cs="Times New Roman"/>
          <w:sz w:val="21"/>
          <w:lang w:val="es-CO"/>
        </w:rPr>
        <w:t xml:space="preserve"> Instituciones prestadoras de servicios de salud indígenas</w:t>
      </w:r>
    </w:p>
    <w:p w14:paraId="1257442D" w14:textId="77777777" w:rsidR="006E5A32" w:rsidRPr="00606E51" w:rsidRDefault="006E5A32" w:rsidP="00285C40">
      <w:pPr>
        <w:jc w:val="both"/>
        <w:rPr>
          <w:rFonts w:cs="Times New Roman"/>
          <w:sz w:val="21"/>
          <w:lang w:val="es-CO"/>
        </w:rPr>
      </w:pPr>
      <w:r w:rsidRPr="00606E51">
        <w:rPr>
          <w:rFonts w:cs="Times New Roman"/>
          <w:b/>
          <w:sz w:val="21"/>
          <w:lang w:val="es-CO"/>
        </w:rPr>
        <w:t>INS</w:t>
      </w:r>
      <w:r w:rsidRPr="00606E51">
        <w:rPr>
          <w:rFonts w:cs="Times New Roman"/>
          <w:sz w:val="21"/>
          <w:lang w:val="es-CO"/>
        </w:rPr>
        <w:t>: Instituto Nacional de Salud</w:t>
      </w:r>
    </w:p>
    <w:p w14:paraId="38DF2334" w14:textId="77777777" w:rsidR="003223C4" w:rsidRPr="00606E51" w:rsidRDefault="003223C4" w:rsidP="00285C40">
      <w:pPr>
        <w:jc w:val="both"/>
        <w:rPr>
          <w:rFonts w:cs="Times New Roman"/>
          <w:sz w:val="21"/>
          <w:lang w:val="es-CO"/>
        </w:rPr>
      </w:pPr>
      <w:r w:rsidRPr="00606E51">
        <w:rPr>
          <w:rFonts w:cs="Times New Roman"/>
          <w:b/>
          <w:sz w:val="21"/>
          <w:lang w:val="es-CO"/>
        </w:rPr>
        <w:t xml:space="preserve">MIAS: </w:t>
      </w:r>
      <w:r w:rsidRPr="00606E51">
        <w:rPr>
          <w:rFonts w:cs="Times New Roman"/>
          <w:sz w:val="21"/>
          <w:lang w:val="es-CO"/>
        </w:rPr>
        <w:t>Modelo integral de atención en salud</w:t>
      </w:r>
    </w:p>
    <w:p w14:paraId="635645D9" w14:textId="77777777" w:rsidR="0062116B" w:rsidRPr="00606E51" w:rsidRDefault="0062116B" w:rsidP="00285C40">
      <w:pPr>
        <w:jc w:val="both"/>
        <w:rPr>
          <w:rFonts w:cs="Times New Roman"/>
          <w:sz w:val="21"/>
          <w:lang w:val="es-CO"/>
        </w:rPr>
      </w:pPr>
      <w:r w:rsidRPr="00606E51">
        <w:rPr>
          <w:rFonts w:cs="Times New Roman"/>
          <w:b/>
          <w:sz w:val="21"/>
          <w:lang w:val="es-CO"/>
        </w:rPr>
        <w:t>MSPS</w:t>
      </w:r>
      <w:r w:rsidR="006E5A32" w:rsidRPr="00606E51">
        <w:rPr>
          <w:rFonts w:cs="Times New Roman"/>
          <w:sz w:val="21"/>
          <w:lang w:val="es-CO"/>
        </w:rPr>
        <w:t xml:space="preserve">: </w:t>
      </w:r>
      <w:r w:rsidRPr="00606E51">
        <w:rPr>
          <w:rFonts w:cs="Times New Roman"/>
          <w:sz w:val="21"/>
          <w:lang w:val="es-CO"/>
        </w:rPr>
        <w:t>Ministerio de salud y protección social</w:t>
      </w:r>
    </w:p>
    <w:p w14:paraId="7FC28C5D" w14:textId="77777777" w:rsidR="00686430" w:rsidRPr="00606E51" w:rsidRDefault="00686430" w:rsidP="00285C40">
      <w:pPr>
        <w:jc w:val="both"/>
        <w:rPr>
          <w:rFonts w:cs="Times New Roman"/>
          <w:sz w:val="21"/>
          <w:lang w:val="es-CO"/>
        </w:rPr>
      </w:pPr>
      <w:r w:rsidRPr="00606E51">
        <w:rPr>
          <w:rFonts w:cs="Times New Roman"/>
          <w:b/>
          <w:bCs/>
          <w:sz w:val="21"/>
          <w:lang w:val="es-CO"/>
        </w:rPr>
        <w:t xml:space="preserve">OMS: </w:t>
      </w:r>
      <w:r w:rsidRPr="00606E51">
        <w:rPr>
          <w:rFonts w:cs="Times New Roman"/>
          <w:bCs/>
          <w:sz w:val="21"/>
          <w:lang w:val="es-CO"/>
        </w:rPr>
        <w:t>Organización Mundial de la Salud</w:t>
      </w:r>
    </w:p>
    <w:p w14:paraId="658FD99F" w14:textId="77777777" w:rsidR="003223C4" w:rsidRPr="00606E51" w:rsidRDefault="003223C4" w:rsidP="00285C40">
      <w:pPr>
        <w:jc w:val="both"/>
        <w:rPr>
          <w:rFonts w:cs="Times New Roman"/>
          <w:sz w:val="21"/>
          <w:lang w:val="es-CO"/>
        </w:rPr>
      </w:pPr>
      <w:r w:rsidRPr="00606E51">
        <w:rPr>
          <w:rFonts w:cs="Times New Roman"/>
          <w:b/>
          <w:sz w:val="21"/>
          <w:lang w:val="es-CO"/>
        </w:rPr>
        <w:t xml:space="preserve">PAIS: </w:t>
      </w:r>
      <w:r w:rsidRPr="00606E51">
        <w:rPr>
          <w:rFonts w:cs="Times New Roman"/>
          <w:sz w:val="21"/>
          <w:lang w:val="es-CO"/>
        </w:rPr>
        <w:t>Política integral de atención en salud</w:t>
      </w:r>
    </w:p>
    <w:p w14:paraId="5A9CA31E" w14:textId="77777777" w:rsidR="004A751E" w:rsidRPr="00606E51" w:rsidRDefault="004A751E" w:rsidP="00285C40">
      <w:pPr>
        <w:jc w:val="both"/>
        <w:rPr>
          <w:rFonts w:cs="Times New Roman"/>
          <w:b/>
          <w:sz w:val="21"/>
          <w:lang w:val="es-CO"/>
        </w:rPr>
      </w:pPr>
      <w:r w:rsidRPr="00606E51">
        <w:rPr>
          <w:rFonts w:cs="Times New Roman"/>
          <w:b/>
          <w:sz w:val="21"/>
          <w:lang w:val="es-CO"/>
        </w:rPr>
        <w:t>PND:</w:t>
      </w:r>
      <w:r w:rsidRPr="00606E51">
        <w:rPr>
          <w:rFonts w:cs="Times New Roman"/>
          <w:sz w:val="21"/>
          <w:lang w:val="es-CO"/>
        </w:rPr>
        <w:t xml:space="preserve"> Plan Nacional de Desarrollo</w:t>
      </w:r>
    </w:p>
    <w:p w14:paraId="462AA77D" w14:textId="77777777" w:rsidR="00BB0A94" w:rsidRPr="00606E51" w:rsidRDefault="00BB0A94" w:rsidP="00285C40">
      <w:pPr>
        <w:jc w:val="both"/>
        <w:rPr>
          <w:rFonts w:cs="Times New Roman"/>
          <w:sz w:val="21"/>
          <w:lang w:val="es-CO"/>
        </w:rPr>
      </w:pPr>
      <w:r w:rsidRPr="00606E51">
        <w:rPr>
          <w:rFonts w:cs="Times New Roman"/>
          <w:b/>
          <w:sz w:val="21"/>
          <w:lang w:val="es-CO"/>
        </w:rPr>
        <w:t xml:space="preserve">RIAS: </w:t>
      </w:r>
      <w:r w:rsidRPr="00606E51">
        <w:rPr>
          <w:rFonts w:cs="Times New Roman"/>
          <w:sz w:val="21"/>
          <w:lang w:val="es-CO"/>
        </w:rPr>
        <w:t>Rutas integrales de atención en salud</w:t>
      </w:r>
    </w:p>
    <w:p w14:paraId="6D684E55" w14:textId="77777777" w:rsidR="006E5A32" w:rsidRPr="00606E51" w:rsidRDefault="006E5A32" w:rsidP="006E5A32">
      <w:pPr>
        <w:jc w:val="both"/>
        <w:rPr>
          <w:rFonts w:cs="Times New Roman"/>
          <w:sz w:val="21"/>
          <w:lang w:val="es-CO"/>
        </w:rPr>
      </w:pPr>
      <w:r w:rsidRPr="00606E51">
        <w:rPr>
          <w:rFonts w:cs="Times New Roman"/>
          <w:b/>
          <w:sz w:val="21"/>
          <w:lang w:val="es-CO"/>
        </w:rPr>
        <w:t>RIPS:</w:t>
      </w:r>
      <w:r w:rsidRPr="00606E51">
        <w:rPr>
          <w:rFonts w:cs="Times New Roman"/>
          <w:sz w:val="21"/>
          <w:lang w:val="es-CO"/>
        </w:rPr>
        <w:t xml:space="preserve"> Registros Individuales de Prestación de Servicios de Salud</w:t>
      </w:r>
    </w:p>
    <w:p w14:paraId="5592109C" w14:textId="77777777" w:rsidR="006E5A32" w:rsidRPr="00606E51" w:rsidRDefault="006E5A32" w:rsidP="006E5A32">
      <w:pPr>
        <w:jc w:val="both"/>
        <w:rPr>
          <w:rFonts w:cs="Times New Roman"/>
          <w:sz w:val="21"/>
          <w:lang w:val="es-CO"/>
        </w:rPr>
      </w:pPr>
      <w:r w:rsidRPr="00606E51">
        <w:rPr>
          <w:rFonts w:cs="Times New Roman"/>
          <w:b/>
          <w:sz w:val="21"/>
          <w:lang w:val="es-CO"/>
        </w:rPr>
        <w:t xml:space="preserve">RCEI: </w:t>
      </w:r>
      <w:r w:rsidRPr="00606E51">
        <w:rPr>
          <w:rFonts w:cs="Times New Roman"/>
          <w:sz w:val="21"/>
          <w:lang w:val="es-CO"/>
        </w:rPr>
        <w:t xml:space="preserve">Razón Costo </w:t>
      </w:r>
      <w:r w:rsidR="008B5545" w:rsidRPr="00606E51">
        <w:rPr>
          <w:rFonts w:cs="Times New Roman"/>
          <w:sz w:val="21"/>
          <w:lang w:val="es-CO"/>
        </w:rPr>
        <w:t>Efectividad</w:t>
      </w:r>
      <w:r w:rsidRPr="00606E51">
        <w:rPr>
          <w:rFonts w:cs="Times New Roman"/>
          <w:sz w:val="21"/>
          <w:lang w:val="es-CO"/>
        </w:rPr>
        <w:t xml:space="preserve"> Incremental</w:t>
      </w:r>
    </w:p>
    <w:p w14:paraId="5F9402B7" w14:textId="77777777" w:rsidR="006E5A32" w:rsidRPr="00606E51" w:rsidRDefault="006E5A32" w:rsidP="006E5A32">
      <w:pPr>
        <w:jc w:val="both"/>
        <w:rPr>
          <w:rFonts w:cs="Times New Roman"/>
          <w:sz w:val="21"/>
          <w:lang w:val="es-CO"/>
        </w:rPr>
      </w:pPr>
      <w:r w:rsidRPr="00606E51">
        <w:rPr>
          <w:rFonts w:cs="Times New Roman"/>
          <w:b/>
          <w:sz w:val="21"/>
          <w:lang w:val="es-CO"/>
        </w:rPr>
        <w:t>SGSS:</w:t>
      </w:r>
      <w:r w:rsidRPr="00606E51">
        <w:rPr>
          <w:rFonts w:cs="Times New Roman"/>
          <w:sz w:val="21"/>
          <w:lang w:val="es-CO"/>
        </w:rPr>
        <w:t xml:space="preserve"> Sistema General de Seguridad Social </w:t>
      </w:r>
    </w:p>
    <w:p w14:paraId="4C3922B6" w14:textId="77777777" w:rsidR="006E5A32" w:rsidRPr="00606E51" w:rsidRDefault="006E5A32" w:rsidP="006E5A32">
      <w:pPr>
        <w:jc w:val="both"/>
        <w:rPr>
          <w:rFonts w:cs="Times New Roman"/>
          <w:sz w:val="21"/>
          <w:lang w:val="es-CO"/>
        </w:rPr>
      </w:pPr>
      <w:r w:rsidRPr="00606E51">
        <w:rPr>
          <w:rFonts w:cs="Times New Roman"/>
          <w:b/>
          <w:sz w:val="21"/>
          <w:lang w:val="es-CO"/>
        </w:rPr>
        <w:t xml:space="preserve">SISMED: </w:t>
      </w:r>
      <w:r w:rsidRPr="00606E51">
        <w:rPr>
          <w:rFonts w:cs="Times New Roman"/>
          <w:sz w:val="21"/>
          <w:lang w:val="es-CO"/>
        </w:rPr>
        <w:t>Sistema de Información de Precio de Medicamentos</w:t>
      </w:r>
    </w:p>
    <w:p w14:paraId="46F5801A" w14:textId="77777777" w:rsidR="006E5A32" w:rsidRPr="00606E51" w:rsidRDefault="006E5A32" w:rsidP="006E5A32">
      <w:pPr>
        <w:jc w:val="both"/>
        <w:rPr>
          <w:rFonts w:cs="Times New Roman"/>
          <w:sz w:val="21"/>
          <w:lang w:val="es-CO"/>
        </w:rPr>
      </w:pPr>
      <w:r w:rsidRPr="00606E51">
        <w:rPr>
          <w:rFonts w:cs="Times New Roman"/>
          <w:b/>
          <w:sz w:val="21"/>
          <w:lang w:val="es-CO"/>
        </w:rPr>
        <w:t xml:space="preserve">SIVIGILA: </w:t>
      </w:r>
      <w:r w:rsidRPr="00606E51">
        <w:rPr>
          <w:rFonts w:cs="Times New Roman"/>
          <w:sz w:val="21"/>
          <w:lang w:val="es-CO"/>
        </w:rPr>
        <w:t>Sistema de Vigilancia en Salud Pública</w:t>
      </w:r>
    </w:p>
    <w:p w14:paraId="53403312" w14:textId="77777777" w:rsidR="00E4214E" w:rsidRPr="000F6E69" w:rsidRDefault="00E4214E" w:rsidP="006E5A32">
      <w:pPr>
        <w:jc w:val="both"/>
        <w:rPr>
          <w:rFonts w:cs="Times New Roman"/>
          <w:sz w:val="21"/>
          <w:lang w:val="en-GB"/>
        </w:rPr>
      </w:pPr>
      <w:r w:rsidRPr="000F6E69">
        <w:rPr>
          <w:rFonts w:cs="Times New Roman"/>
          <w:b/>
          <w:sz w:val="21"/>
          <w:lang w:val="en-GB"/>
        </w:rPr>
        <w:t xml:space="preserve">UNICEF: </w:t>
      </w:r>
      <w:r w:rsidR="00E4107A" w:rsidRPr="000F6E69">
        <w:rPr>
          <w:rFonts w:cs="Times New Roman"/>
          <w:sz w:val="21"/>
          <w:lang w:val="en-GB"/>
        </w:rPr>
        <w:t>United Nations Children's Fund</w:t>
      </w:r>
    </w:p>
    <w:p w14:paraId="60F41A45" w14:textId="77777777" w:rsidR="00364C4F" w:rsidRPr="000F6E69" w:rsidRDefault="00600628" w:rsidP="006E5A32">
      <w:pPr>
        <w:jc w:val="both"/>
        <w:rPr>
          <w:rFonts w:cs="Times New Roman"/>
          <w:sz w:val="21"/>
          <w:lang w:val="en-GB"/>
        </w:rPr>
      </w:pPr>
      <w:r w:rsidRPr="000F6E69">
        <w:rPr>
          <w:rFonts w:cs="Times New Roman"/>
          <w:b/>
          <w:sz w:val="21"/>
          <w:lang w:val="en-GB"/>
        </w:rPr>
        <w:t xml:space="preserve">UNEG: </w:t>
      </w:r>
      <w:r w:rsidRPr="000F6E69">
        <w:rPr>
          <w:rFonts w:cs="Times New Roman"/>
          <w:sz w:val="21"/>
          <w:lang w:val="en-GB"/>
        </w:rPr>
        <w:t>United Nations Evaluation Group</w:t>
      </w:r>
    </w:p>
    <w:p w14:paraId="0FA0B604" w14:textId="77777777" w:rsidR="005B2FF1" w:rsidRPr="00606E51" w:rsidRDefault="00414036" w:rsidP="00285C40">
      <w:pPr>
        <w:jc w:val="both"/>
        <w:rPr>
          <w:rFonts w:cs="Times New Roman"/>
          <w:lang w:val="es-CO"/>
        </w:rPr>
      </w:pPr>
      <w:r w:rsidRPr="00606E51">
        <w:rPr>
          <w:rFonts w:cs="Times New Roman"/>
          <w:b/>
          <w:sz w:val="21"/>
          <w:lang w:val="es-CO"/>
        </w:rPr>
        <w:t xml:space="preserve">UPC: </w:t>
      </w:r>
      <w:r w:rsidRPr="00606E51">
        <w:rPr>
          <w:rFonts w:cs="Times New Roman"/>
          <w:sz w:val="21"/>
          <w:lang w:val="es-CO"/>
        </w:rPr>
        <w:t xml:space="preserve">Unidad de pago por capitación </w:t>
      </w:r>
    </w:p>
    <w:p w14:paraId="23736EFA" w14:textId="77777777" w:rsidR="00320BFE" w:rsidRPr="00606E51" w:rsidRDefault="00320BFE" w:rsidP="001B5600">
      <w:pPr>
        <w:rPr>
          <w:color w:val="234F77" w:themeColor="accent2" w:themeShade="80"/>
          <w:szCs w:val="24"/>
          <w:lang w:val="es-CO"/>
        </w:rPr>
      </w:pPr>
    </w:p>
    <w:p w14:paraId="1E753727" w14:textId="77777777" w:rsidR="00A450C1" w:rsidRPr="00606E51" w:rsidRDefault="00A450C1" w:rsidP="001B5600">
      <w:pPr>
        <w:rPr>
          <w:sz w:val="24"/>
          <w:szCs w:val="24"/>
          <w:lang w:val="es-CO"/>
        </w:rPr>
      </w:pPr>
      <w:r w:rsidRPr="00606E51">
        <w:rPr>
          <w:color w:val="234F77" w:themeColor="accent2" w:themeShade="80"/>
          <w:szCs w:val="24"/>
          <w:lang w:val="es-CO"/>
        </w:rPr>
        <w:t>Abreviaciones</w:t>
      </w:r>
    </w:p>
    <w:p w14:paraId="11D18DD7" w14:textId="77777777" w:rsidR="008372FD" w:rsidRPr="00606E51" w:rsidRDefault="007633D7" w:rsidP="00285C40">
      <w:pPr>
        <w:jc w:val="both"/>
        <w:rPr>
          <w:rFonts w:cs="Times New Roman"/>
          <w:sz w:val="21"/>
          <w:lang w:val="es-CO"/>
        </w:rPr>
      </w:pPr>
      <w:r w:rsidRPr="00606E51">
        <w:rPr>
          <w:rFonts w:cs="Times New Roman"/>
          <w:b/>
          <w:sz w:val="21"/>
          <w:lang w:val="es-CO"/>
        </w:rPr>
        <w:t>El Lineamiento:</w:t>
      </w:r>
      <w:r w:rsidR="0048098C" w:rsidRPr="00606E51">
        <w:rPr>
          <w:rFonts w:cs="Times New Roman"/>
          <w:sz w:val="21"/>
          <w:lang w:val="es-CO"/>
        </w:rPr>
        <w:t xml:space="preserve"> El l</w:t>
      </w:r>
      <w:r w:rsidRPr="00606E51">
        <w:rPr>
          <w:rFonts w:cs="Times New Roman"/>
          <w:sz w:val="21"/>
          <w:lang w:val="es-CO"/>
        </w:rPr>
        <w:t xml:space="preserve">ineamiento para el manejo integrado de la desnutrición aguda en niños </w:t>
      </w:r>
      <w:r w:rsidR="002F2114" w:rsidRPr="00606E51">
        <w:rPr>
          <w:rFonts w:cs="Times New Roman"/>
          <w:sz w:val="21"/>
          <w:lang w:val="es-CO"/>
        </w:rPr>
        <w:t>y niñas de 0 a 59 meses de edad</w:t>
      </w:r>
    </w:p>
    <w:p w14:paraId="2F3B2D33" w14:textId="77777777" w:rsidR="002F2114" w:rsidRPr="00606E51" w:rsidRDefault="002F2114" w:rsidP="00285C40">
      <w:pPr>
        <w:jc w:val="both"/>
        <w:rPr>
          <w:rFonts w:cs="Times New Roman"/>
          <w:b/>
          <w:sz w:val="21"/>
          <w:lang w:val="es-CO"/>
        </w:rPr>
      </w:pPr>
      <w:r w:rsidRPr="00606E51">
        <w:rPr>
          <w:rFonts w:cs="Times New Roman"/>
          <w:b/>
          <w:sz w:val="21"/>
          <w:lang w:val="es-CO"/>
        </w:rPr>
        <w:t xml:space="preserve">El Programa: </w:t>
      </w:r>
      <w:r w:rsidR="002104B8" w:rsidRPr="00606E51">
        <w:rPr>
          <w:rFonts w:cs="Times New Roman"/>
          <w:sz w:val="21"/>
          <w:lang w:val="es-CO"/>
        </w:rPr>
        <w:t>El Programa de Atención Integral en Salud y Nutrición con Enfoque Comunitario, dirigido a Familias en condición de vulnerabilidad de territorios rurales y rurales Dispersos, en la Alta Guajira</w:t>
      </w:r>
    </w:p>
    <w:p w14:paraId="0C41CAEF" w14:textId="77777777" w:rsidR="003C2D65" w:rsidRPr="00606E51" w:rsidRDefault="0062116B" w:rsidP="00285C40">
      <w:pPr>
        <w:jc w:val="both"/>
        <w:rPr>
          <w:rFonts w:cs="Times New Roman"/>
          <w:sz w:val="21"/>
          <w:lang w:val="es-CO"/>
        </w:rPr>
      </w:pPr>
      <w:r w:rsidRPr="00606E51">
        <w:rPr>
          <w:rFonts w:cs="Times New Roman"/>
          <w:b/>
          <w:sz w:val="21"/>
          <w:lang w:val="es-CO"/>
        </w:rPr>
        <w:t>La R</w:t>
      </w:r>
      <w:r w:rsidR="003C2D65" w:rsidRPr="00606E51">
        <w:rPr>
          <w:rFonts w:cs="Times New Roman"/>
          <w:b/>
          <w:sz w:val="21"/>
          <w:lang w:val="es-CO"/>
        </w:rPr>
        <w:t>esolución</w:t>
      </w:r>
      <w:r w:rsidRPr="00606E51">
        <w:rPr>
          <w:rFonts w:cs="Times New Roman"/>
          <w:b/>
          <w:sz w:val="21"/>
          <w:lang w:val="es-CO"/>
        </w:rPr>
        <w:t xml:space="preserve">: </w:t>
      </w:r>
      <w:r w:rsidR="002F2114" w:rsidRPr="00606E51">
        <w:rPr>
          <w:rFonts w:cs="Times New Roman"/>
          <w:sz w:val="21"/>
          <w:lang w:val="es-CO"/>
        </w:rPr>
        <w:t>Resolución 5406 de 2015</w:t>
      </w:r>
    </w:p>
    <w:p w14:paraId="5312D84A" w14:textId="77777777" w:rsidR="002B3231" w:rsidRPr="00606E51" w:rsidRDefault="00875A2F" w:rsidP="002B3231">
      <w:pPr>
        <w:jc w:val="both"/>
        <w:rPr>
          <w:rFonts w:cs="Times New Roman"/>
          <w:sz w:val="21"/>
          <w:lang w:val="es-CO"/>
        </w:rPr>
      </w:pPr>
      <w:r w:rsidRPr="00606E51">
        <w:rPr>
          <w:rFonts w:cs="Times New Roman"/>
          <w:b/>
          <w:sz w:val="21"/>
          <w:lang w:val="es-CO"/>
        </w:rPr>
        <w:t xml:space="preserve">La Ruta: </w:t>
      </w:r>
      <w:r w:rsidR="002B3231" w:rsidRPr="00606E51">
        <w:rPr>
          <w:rFonts w:cs="Times New Roman"/>
          <w:sz w:val="21"/>
          <w:lang w:val="es-CO"/>
        </w:rPr>
        <w:t>Ruta específica para la atención integrada de las niñas y los niños menores de cinco (5) años con desnutrición aguda</w:t>
      </w:r>
    </w:p>
    <w:p w14:paraId="150061D5" w14:textId="77777777" w:rsidR="00E97256" w:rsidRPr="00606E51" w:rsidRDefault="00E97256" w:rsidP="002B3231">
      <w:pPr>
        <w:jc w:val="both"/>
        <w:rPr>
          <w:rFonts w:cs="Times New Roman"/>
          <w:sz w:val="21"/>
          <w:lang w:val="es-CO"/>
        </w:rPr>
      </w:pPr>
      <w:r w:rsidRPr="00606E51">
        <w:rPr>
          <w:rFonts w:cs="Times New Roman"/>
          <w:b/>
          <w:sz w:val="21"/>
          <w:lang w:val="es-CO"/>
        </w:rPr>
        <w:t xml:space="preserve">Aseguradores: </w:t>
      </w:r>
      <w:r w:rsidRPr="00606E51">
        <w:rPr>
          <w:rFonts w:cs="Times New Roman"/>
          <w:sz w:val="21"/>
          <w:lang w:val="es-CO"/>
        </w:rPr>
        <w:t>EAPB ó EPS</w:t>
      </w:r>
      <w:r w:rsidR="00A31832" w:rsidRPr="00606E51">
        <w:rPr>
          <w:rFonts w:cs="Times New Roman"/>
          <w:sz w:val="21"/>
          <w:lang w:val="es-CO"/>
        </w:rPr>
        <w:t xml:space="preserve"> ó EPSI</w:t>
      </w:r>
    </w:p>
    <w:p w14:paraId="4AB5DEC7" w14:textId="77777777" w:rsidR="00A31832" w:rsidRPr="00606E51" w:rsidRDefault="00E97256" w:rsidP="00285C40">
      <w:pPr>
        <w:jc w:val="both"/>
        <w:rPr>
          <w:rFonts w:cs="Times New Roman"/>
          <w:b/>
          <w:lang w:val="es-CO"/>
        </w:rPr>
      </w:pPr>
      <w:r w:rsidRPr="00606E51">
        <w:rPr>
          <w:rFonts w:cs="Times New Roman"/>
          <w:b/>
          <w:sz w:val="21"/>
          <w:lang w:val="es-CO"/>
        </w:rPr>
        <w:t>Prestadores</w:t>
      </w:r>
      <w:r w:rsidR="00A31832" w:rsidRPr="00606E51">
        <w:rPr>
          <w:rFonts w:cs="Times New Roman"/>
          <w:b/>
          <w:sz w:val="21"/>
          <w:lang w:val="es-CO"/>
        </w:rPr>
        <w:t>:</w:t>
      </w:r>
      <w:r w:rsidR="00A31832" w:rsidRPr="00606E51">
        <w:rPr>
          <w:rFonts w:cs="Times New Roman"/>
          <w:sz w:val="21"/>
          <w:lang w:val="es-CO"/>
        </w:rPr>
        <w:t xml:space="preserve"> IPS ó IPSI ó ESE</w:t>
      </w:r>
      <w:r w:rsidR="00875A2F" w:rsidRPr="00606E51">
        <w:rPr>
          <w:rFonts w:cs="Times New Roman"/>
          <w:b/>
          <w:sz w:val="21"/>
          <w:lang w:val="es-CO"/>
        </w:rPr>
        <w:t xml:space="preserve"> </w:t>
      </w:r>
    </w:p>
    <w:p w14:paraId="3E304D30" w14:textId="77777777" w:rsidR="00320BFE" w:rsidRPr="00606E51" w:rsidRDefault="00320BFE" w:rsidP="001B5600">
      <w:pPr>
        <w:rPr>
          <w:color w:val="234F77" w:themeColor="accent2" w:themeShade="80"/>
          <w:szCs w:val="24"/>
          <w:lang w:val="es-CO"/>
        </w:rPr>
      </w:pPr>
      <w:bookmarkStart w:id="1" w:name="_Toc482216911"/>
    </w:p>
    <w:p w14:paraId="5E0DFC8F" w14:textId="77777777" w:rsidR="00C6536C" w:rsidRPr="00606E51" w:rsidRDefault="00C6536C" w:rsidP="001B5600">
      <w:pPr>
        <w:rPr>
          <w:sz w:val="24"/>
          <w:szCs w:val="24"/>
          <w:lang w:val="es-CO"/>
        </w:rPr>
      </w:pPr>
      <w:r w:rsidRPr="00606E51">
        <w:rPr>
          <w:color w:val="234F77" w:themeColor="accent2" w:themeShade="80"/>
          <w:szCs w:val="24"/>
          <w:lang w:val="es-CO"/>
        </w:rPr>
        <w:t>Glosario</w:t>
      </w:r>
      <w:bookmarkEnd w:id="1"/>
    </w:p>
    <w:p w14:paraId="599ED6C9" w14:textId="77777777" w:rsidR="00FC31CE" w:rsidRPr="00606E51" w:rsidRDefault="00C6536C" w:rsidP="00285C40">
      <w:pPr>
        <w:jc w:val="both"/>
        <w:rPr>
          <w:rFonts w:cs="Times New Roman"/>
          <w:b/>
          <w:lang w:val="es-CO"/>
        </w:rPr>
      </w:pPr>
      <w:r w:rsidRPr="00606E51">
        <w:rPr>
          <w:rFonts w:cs="Times New Roman"/>
          <w:b/>
          <w:sz w:val="21"/>
          <w:lang w:val="es-CO"/>
        </w:rPr>
        <w:t>Códigos CIE-10</w:t>
      </w:r>
      <w:r w:rsidRPr="00606E51">
        <w:rPr>
          <w:rFonts w:cs="Times New Roman"/>
          <w:sz w:val="21"/>
          <w:lang w:val="es-CO"/>
        </w:rPr>
        <w:t>: La CIE-10 es el acrónimo de la décima versión de la Clasificación Internacional de Enfermedades y determina la clasificación y codificación de las enfermedades y una amplia variedad de signos, síntomas, hallazgos anormales, denuncias, circunstancias sociales y causas externas de daños y/o enfermedad (OMS).</w:t>
      </w:r>
      <w:r w:rsidR="0027121F" w:rsidRPr="00606E51">
        <w:rPr>
          <w:rFonts w:cs="Times New Roman"/>
          <w:lang w:val="es-CO"/>
        </w:rPr>
        <w:br w:type="page"/>
      </w:r>
    </w:p>
    <w:p w14:paraId="3DA2B8E2" w14:textId="77777777" w:rsidR="000B798B" w:rsidRPr="00606E51" w:rsidRDefault="00991F6B" w:rsidP="00991F6B">
      <w:pPr>
        <w:rPr>
          <w:color w:val="234F77" w:themeColor="accent2" w:themeShade="80"/>
          <w:sz w:val="26"/>
          <w:szCs w:val="26"/>
          <w:lang w:val="es-CO"/>
        </w:rPr>
      </w:pPr>
      <w:r w:rsidRPr="00606E51">
        <w:rPr>
          <w:color w:val="234F77" w:themeColor="accent2" w:themeShade="80"/>
          <w:sz w:val="26"/>
          <w:szCs w:val="26"/>
          <w:lang w:val="es-CO"/>
        </w:rPr>
        <w:lastRenderedPageBreak/>
        <w:t>Gráficos</w:t>
      </w:r>
    </w:p>
    <w:p w14:paraId="269B841B" w14:textId="77777777" w:rsidR="00631B9C" w:rsidRPr="00606E51" w:rsidRDefault="00631B9C" w:rsidP="00991F6B">
      <w:pPr>
        <w:rPr>
          <w:sz w:val="26"/>
          <w:szCs w:val="26"/>
          <w:lang w:val="es-CO"/>
        </w:rPr>
      </w:pPr>
    </w:p>
    <w:p w14:paraId="3727B6A8" w14:textId="77777777" w:rsidR="00320BFE" w:rsidRPr="00606E51" w:rsidRDefault="00991F6B">
      <w:pPr>
        <w:pStyle w:val="TableofFigures"/>
        <w:tabs>
          <w:tab w:val="right" w:leader="dot" w:pos="8828"/>
        </w:tabs>
        <w:rPr>
          <w:rFonts w:asciiTheme="minorHAnsi" w:eastAsiaTheme="minorEastAsia" w:hAnsiTheme="minorHAnsi" w:cstheme="minorBidi"/>
          <w:sz w:val="24"/>
          <w:szCs w:val="24"/>
          <w:lang w:val="es-CO"/>
        </w:rPr>
      </w:pPr>
      <w:r w:rsidRPr="00606E51">
        <w:rPr>
          <w:sz w:val="26"/>
          <w:szCs w:val="26"/>
          <w:lang w:val="es-CO"/>
        </w:rPr>
        <w:fldChar w:fldCharType="begin"/>
      </w:r>
      <w:r w:rsidRPr="00606E51">
        <w:rPr>
          <w:sz w:val="26"/>
          <w:szCs w:val="26"/>
          <w:lang w:val="es-CO"/>
        </w:rPr>
        <w:instrText xml:space="preserve"> TOC \c "Gráfico" </w:instrText>
      </w:r>
      <w:r w:rsidRPr="00606E51">
        <w:rPr>
          <w:sz w:val="26"/>
          <w:szCs w:val="26"/>
          <w:lang w:val="es-CO"/>
        </w:rPr>
        <w:fldChar w:fldCharType="separate"/>
      </w:r>
      <w:r w:rsidR="00320BFE" w:rsidRPr="00606E51">
        <w:rPr>
          <w:rFonts w:eastAsia="Times New Roman"/>
          <w:bCs/>
          <w:lang w:val="es-CO"/>
        </w:rPr>
        <w:t>Gráfico 5.1. Comparación RCEI e intervalos de confianza según medida de efectividad</w:t>
      </w:r>
      <w:r w:rsidR="00320BFE" w:rsidRPr="00606E51">
        <w:rPr>
          <w:lang w:val="es-CO"/>
        </w:rPr>
        <w:tab/>
      </w:r>
      <w:r w:rsidR="00320BFE" w:rsidRPr="00606E51">
        <w:rPr>
          <w:lang w:val="es-CO"/>
        </w:rPr>
        <w:fldChar w:fldCharType="begin"/>
      </w:r>
      <w:r w:rsidR="00320BFE" w:rsidRPr="00606E51">
        <w:rPr>
          <w:lang w:val="es-CO"/>
        </w:rPr>
        <w:instrText xml:space="preserve"> PAGEREF _Toc486454331 \h </w:instrText>
      </w:r>
      <w:r w:rsidR="00320BFE" w:rsidRPr="00606E51">
        <w:rPr>
          <w:lang w:val="es-CO"/>
        </w:rPr>
      </w:r>
      <w:r w:rsidR="00320BFE" w:rsidRPr="00606E51">
        <w:rPr>
          <w:lang w:val="es-CO"/>
        </w:rPr>
        <w:fldChar w:fldCharType="separate"/>
      </w:r>
      <w:r w:rsidR="00320BFE" w:rsidRPr="00606E51">
        <w:rPr>
          <w:lang w:val="es-CO"/>
        </w:rPr>
        <w:t>44</w:t>
      </w:r>
      <w:r w:rsidR="00320BFE" w:rsidRPr="00606E51">
        <w:rPr>
          <w:lang w:val="es-CO"/>
        </w:rPr>
        <w:fldChar w:fldCharType="end"/>
      </w:r>
    </w:p>
    <w:p w14:paraId="09972360" w14:textId="77777777" w:rsidR="00320BFE" w:rsidRPr="00606E51" w:rsidRDefault="00320BFE">
      <w:pPr>
        <w:pStyle w:val="TableofFigures"/>
        <w:tabs>
          <w:tab w:val="right" w:leader="dot" w:pos="8828"/>
        </w:tabs>
        <w:rPr>
          <w:rFonts w:asciiTheme="minorHAnsi" w:eastAsiaTheme="minorEastAsia" w:hAnsiTheme="minorHAnsi" w:cstheme="minorBidi"/>
          <w:sz w:val="24"/>
          <w:szCs w:val="24"/>
          <w:lang w:val="es-CO"/>
        </w:rPr>
      </w:pPr>
      <w:r w:rsidRPr="00606E51">
        <w:rPr>
          <w:rFonts w:eastAsia="Times New Roman"/>
          <w:bCs/>
          <w:lang w:val="es-CO"/>
        </w:rPr>
        <w:t>Gráfico 5.2. Variación total de los costos, según atención extramural e intra-mural</w:t>
      </w:r>
      <w:r w:rsidRPr="00606E51">
        <w:rPr>
          <w:lang w:val="es-CO"/>
        </w:rPr>
        <w:tab/>
      </w:r>
      <w:r w:rsidRPr="00606E51">
        <w:rPr>
          <w:lang w:val="es-CO"/>
        </w:rPr>
        <w:fldChar w:fldCharType="begin"/>
      </w:r>
      <w:r w:rsidRPr="00606E51">
        <w:rPr>
          <w:lang w:val="es-CO"/>
        </w:rPr>
        <w:instrText xml:space="preserve"> PAGEREF _Toc486454332 \h </w:instrText>
      </w:r>
      <w:r w:rsidRPr="00606E51">
        <w:rPr>
          <w:lang w:val="es-CO"/>
        </w:rPr>
      </w:r>
      <w:r w:rsidRPr="00606E51">
        <w:rPr>
          <w:lang w:val="es-CO"/>
        </w:rPr>
        <w:fldChar w:fldCharType="separate"/>
      </w:r>
      <w:r w:rsidRPr="00606E51">
        <w:rPr>
          <w:lang w:val="es-CO"/>
        </w:rPr>
        <w:t>44</w:t>
      </w:r>
      <w:r w:rsidRPr="00606E51">
        <w:rPr>
          <w:lang w:val="es-CO"/>
        </w:rPr>
        <w:fldChar w:fldCharType="end"/>
      </w:r>
    </w:p>
    <w:p w14:paraId="0634D346" w14:textId="77777777" w:rsidR="00991F6B" w:rsidRPr="00606E51" w:rsidRDefault="00991F6B" w:rsidP="00991F6B">
      <w:pPr>
        <w:rPr>
          <w:sz w:val="26"/>
          <w:szCs w:val="26"/>
          <w:lang w:val="es-CO"/>
        </w:rPr>
      </w:pPr>
      <w:r w:rsidRPr="00606E51">
        <w:rPr>
          <w:sz w:val="26"/>
          <w:szCs w:val="26"/>
          <w:lang w:val="es-CO"/>
        </w:rPr>
        <w:fldChar w:fldCharType="end"/>
      </w:r>
    </w:p>
    <w:p w14:paraId="3399DD27" w14:textId="77777777" w:rsidR="00991F6B" w:rsidRPr="00606E51" w:rsidRDefault="00991F6B" w:rsidP="00991F6B">
      <w:pPr>
        <w:rPr>
          <w:color w:val="234F77" w:themeColor="accent2" w:themeShade="80"/>
          <w:sz w:val="26"/>
          <w:szCs w:val="26"/>
          <w:lang w:val="es-CO"/>
        </w:rPr>
      </w:pPr>
      <w:r w:rsidRPr="00606E51">
        <w:rPr>
          <w:color w:val="234F77" w:themeColor="accent2" w:themeShade="80"/>
          <w:sz w:val="26"/>
          <w:szCs w:val="26"/>
          <w:lang w:val="es-CO"/>
        </w:rPr>
        <w:t>Figuras</w:t>
      </w:r>
    </w:p>
    <w:p w14:paraId="30C5E7E7" w14:textId="77777777" w:rsidR="00631B9C" w:rsidRPr="00606E51" w:rsidRDefault="00631B9C" w:rsidP="00991F6B">
      <w:pPr>
        <w:rPr>
          <w:color w:val="234F77" w:themeColor="accent2" w:themeShade="80"/>
          <w:sz w:val="26"/>
          <w:szCs w:val="26"/>
          <w:lang w:val="es-CO"/>
        </w:rPr>
      </w:pPr>
    </w:p>
    <w:p w14:paraId="335E4E61" w14:textId="77777777" w:rsidR="00320BFE" w:rsidRPr="00606E51" w:rsidRDefault="00631B9C">
      <w:pPr>
        <w:pStyle w:val="TableofFigures"/>
        <w:tabs>
          <w:tab w:val="right" w:leader="dot" w:pos="8828"/>
        </w:tabs>
        <w:rPr>
          <w:rFonts w:asciiTheme="minorHAnsi" w:eastAsiaTheme="minorEastAsia" w:hAnsiTheme="minorHAnsi" w:cstheme="minorBidi"/>
          <w:sz w:val="24"/>
          <w:szCs w:val="24"/>
          <w:lang w:val="es-CO"/>
        </w:rPr>
      </w:pPr>
      <w:r w:rsidRPr="00606E51">
        <w:rPr>
          <w:rFonts w:cs="Times New Roman"/>
          <w:lang w:val="es-CO"/>
        </w:rPr>
        <w:fldChar w:fldCharType="begin"/>
      </w:r>
      <w:r w:rsidRPr="00606E51">
        <w:rPr>
          <w:rFonts w:cs="Times New Roman"/>
          <w:lang w:val="es-CO"/>
        </w:rPr>
        <w:instrText xml:space="preserve"> TOC \c "Figura" </w:instrText>
      </w:r>
      <w:r w:rsidRPr="00606E51">
        <w:rPr>
          <w:rFonts w:cs="Times New Roman"/>
          <w:lang w:val="es-CO"/>
        </w:rPr>
        <w:fldChar w:fldCharType="separate"/>
      </w:r>
      <w:r w:rsidR="00320BFE" w:rsidRPr="00606E51">
        <w:rPr>
          <w:rFonts w:cs="Times New Roman"/>
          <w:bCs/>
          <w:lang w:val="es-CO"/>
        </w:rPr>
        <w:t>Figura 1.1: Elementos principales de la atención de los niños y niñas con desnutrición aguda confirmada</w:t>
      </w:r>
      <w:r w:rsidR="00320BFE" w:rsidRPr="00606E51">
        <w:rPr>
          <w:lang w:val="es-CO"/>
        </w:rPr>
        <w:tab/>
      </w:r>
      <w:r w:rsidR="00320BFE" w:rsidRPr="00606E51">
        <w:rPr>
          <w:lang w:val="es-CO"/>
        </w:rPr>
        <w:fldChar w:fldCharType="begin"/>
      </w:r>
      <w:r w:rsidR="00320BFE" w:rsidRPr="00606E51">
        <w:rPr>
          <w:lang w:val="es-CO"/>
        </w:rPr>
        <w:instrText xml:space="preserve"> PAGEREF _Toc486454317 \h </w:instrText>
      </w:r>
      <w:r w:rsidR="00320BFE" w:rsidRPr="00606E51">
        <w:rPr>
          <w:lang w:val="es-CO"/>
        </w:rPr>
      </w:r>
      <w:r w:rsidR="00320BFE" w:rsidRPr="00606E51">
        <w:rPr>
          <w:lang w:val="es-CO"/>
        </w:rPr>
        <w:fldChar w:fldCharType="separate"/>
      </w:r>
      <w:r w:rsidR="00320BFE" w:rsidRPr="00606E51">
        <w:rPr>
          <w:lang w:val="es-CO"/>
        </w:rPr>
        <w:t>13</w:t>
      </w:r>
      <w:r w:rsidR="00320BFE" w:rsidRPr="00606E51">
        <w:rPr>
          <w:lang w:val="es-CO"/>
        </w:rPr>
        <w:fldChar w:fldCharType="end"/>
      </w:r>
    </w:p>
    <w:p w14:paraId="43F1A153" w14:textId="77777777" w:rsidR="00320BFE" w:rsidRPr="00606E51" w:rsidRDefault="00320BFE">
      <w:pPr>
        <w:pStyle w:val="TableofFigures"/>
        <w:tabs>
          <w:tab w:val="right" w:leader="dot" w:pos="8828"/>
        </w:tabs>
        <w:rPr>
          <w:rFonts w:asciiTheme="minorHAnsi" w:eastAsiaTheme="minorEastAsia" w:hAnsiTheme="minorHAnsi" w:cstheme="minorBidi"/>
          <w:sz w:val="24"/>
          <w:szCs w:val="24"/>
          <w:lang w:val="es-CO"/>
        </w:rPr>
      </w:pPr>
      <w:r w:rsidRPr="00606E51">
        <w:rPr>
          <w:rFonts w:cs="Times New Roman"/>
          <w:bCs/>
          <w:lang w:val="es-CO"/>
        </w:rPr>
        <w:t>Figura 5.1. Árbol de decisión en los escenarios sin implementación del Lineamiento y con la implementación del Lineamiento</w:t>
      </w:r>
      <w:r w:rsidRPr="00606E51">
        <w:rPr>
          <w:lang w:val="es-CO"/>
        </w:rPr>
        <w:tab/>
      </w:r>
      <w:r w:rsidRPr="00606E51">
        <w:rPr>
          <w:lang w:val="es-CO"/>
        </w:rPr>
        <w:fldChar w:fldCharType="begin"/>
      </w:r>
      <w:r w:rsidRPr="00606E51">
        <w:rPr>
          <w:lang w:val="es-CO"/>
        </w:rPr>
        <w:instrText xml:space="preserve"> PAGEREF _Toc486454318 \h </w:instrText>
      </w:r>
      <w:r w:rsidRPr="00606E51">
        <w:rPr>
          <w:lang w:val="es-CO"/>
        </w:rPr>
      </w:r>
      <w:r w:rsidRPr="00606E51">
        <w:rPr>
          <w:lang w:val="es-CO"/>
        </w:rPr>
        <w:fldChar w:fldCharType="separate"/>
      </w:r>
      <w:r w:rsidRPr="00606E51">
        <w:rPr>
          <w:lang w:val="es-CO"/>
        </w:rPr>
        <w:t>41</w:t>
      </w:r>
      <w:r w:rsidRPr="00606E51">
        <w:rPr>
          <w:lang w:val="es-CO"/>
        </w:rPr>
        <w:fldChar w:fldCharType="end"/>
      </w:r>
    </w:p>
    <w:p w14:paraId="27C6CEF0" w14:textId="77777777" w:rsidR="00991F6B" w:rsidRPr="00606E51" w:rsidRDefault="00631B9C" w:rsidP="00991F6B">
      <w:pPr>
        <w:rPr>
          <w:rFonts w:cs="Times New Roman"/>
          <w:lang w:val="es-CO"/>
        </w:rPr>
      </w:pPr>
      <w:r w:rsidRPr="00606E51">
        <w:rPr>
          <w:rFonts w:cs="Times New Roman"/>
          <w:lang w:val="es-CO"/>
        </w:rPr>
        <w:fldChar w:fldCharType="end"/>
      </w:r>
    </w:p>
    <w:p w14:paraId="10FD823D" w14:textId="77777777" w:rsidR="00201277" w:rsidRPr="00606E51" w:rsidRDefault="005F465C" w:rsidP="001B5600">
      <w:pPr>
        <w:rPr>
          <w:lang w:val="es-CO"/>
        </w:rPr>
      </w:pPr>
      <w:r w:rsidRPr="00606E51">
        <w:rPr>
          <w:color w:val="234F77" w:themeColor="accent2" w:themeShade="80"/>
          <w:sz w:val="26"/>
          <w:szCs w:val="26"/>
          <w:lang w:val="es-CO"/>
        </w:rPr>
        <w:t>Cuadros</w:t>
      </w:r>
      <w:r w:rsidR="007B6BD0" w:rsidRPr="00606E51">
        <w:rPr>
          <w:lang w:val="es-CO"/>
        </w:rPr>
        <w:t xml:space="preserve"> </w:t>
      </w:r>
    </w:p>
    <w:p w14:paraId="687A28B6" w14:textId="77777777" w:rsidR="00631B9C" w:rsidRPr="00606E51" w:rsidRDefault="00631B9C" w:rsidP="001B5600">
      <w:pPr>
        <w:rPr>
          <w:lang w:val="es-CO"/>
        </w:rPr>
      </w:pPr>
    </w:p>
    <w:p w14:paraId="3178C40E" w14:textId="77777777" w:rsidR="00F1370E" w:rsidRPr="00606E51" w:rsidRDefault="00631B9C">
      <w:pPr>
        <w:pStyle w:val="TableofFigures"/>
        <w:tabs>
          <w:tab w:val="right" w:leader="dot" w:pos="8828"/>
        </w:tabs>
        <w:rPr>
          <w:rFonts w:asciiTheme="minorHAnsi" w:eastAsiaTheme="minorEastAsia" w:hAnsiTheme="minorHAnsi" w:cstheme="minorBidi"/>
          <w:lang w:val="es-CO" w:eastAsia="en-GB"/>
        </w:rPr>
      </w:pPr>
      <w:r w:rsidRPr="00606E51">
        <w:rPr>
          <w:rFonts w:cs="Times New Roman"/>
          <w:lang w:val="es-CO"/>
        </w:rPr>
        <w:fldChar w:fldCharType="begin"/>
      </w:r>
      <w:r w:rsidRPr="00606E51">
        <w:rPr>
          <w:rFonts w:cs="Times New Roman"/>
          <w:lang w:val="es-CO"/>
        </w:rPr>
        <w:instrText xml:space="preserve"> TOC \c "Cuadro" </w:instrText>
      </w:r>
      <w:r w:rsidRPr="00606E51">
        <w:rPr>
          <w:rFonts w:cs="Times New Roman"/>
          <w:lang w:val="es-CO"/>
        </w:rPr>
        <w:fldChar w:fldCharType="separate"/>
      </w:r>
      <w:r w:rsidR="00F1370E" w:rsidRPr="00606E51">
        <w:rPr>
          <w:lang w:val="es-CO"/>
        </w:rPr>
        <w:t>Cuadro 1</w:t>
      </w:r>
      <w:r w:rsidR="00F1370E" w:rsidRPr="00606E51">
        <w:rPr>
          <w:lang w:val="es-CO"/>
        </w:rPr>
        <w:noBreakHyphen/>
        <w:t>I Objetivos y preguntas de evaluación</w:t>
      </w:r>
      <w:r w:rsidR="00F1370E" w:rsidRPr="00606E51">
        <w:rPr>
          <w:lang w:val="es-CO"/>
        </w:rPr>
        <w:tab/>
      </w:r>
      <w:r w:rsidR="00F1370E" w:rsidRPr="00606E51">
        <w:rPr>
          <w:lang w:val="es-CO"/>
        </w:rPr>
        <w:fldChar w:fldCharType="begin"/>
      </w:r>
      <w:r w:rsidR="00F1370E" w:rsidRPr="00606E51">
        <w:rPr>
          <w:lang w:val="es-CO"/>
        </w:rPr>
        <w:instrText xml:space="preserve"> PAGEREF _Toc490045695 \h </w:instrText>
      </w:r>
      <w:r w:rsidR="00F1370E" w:rsidRPr="00606E51">
        <w:rPr>
          <w:lang w:val="es-CO"/>
        </w:rPr>
      </w:r>
      <w:r w:rsidR="00F1370E" w:rsidRPr="00606E51">
        <w:rPr>
          <w:lang w:val="es-CO"/>
        </w:rPr>
        <w:fldChar w:fldCharType="separate"/>
      </w:r>
      <w:r w:rsidR="00F1370E" w:rsidRPr="00606E51">
        <w:rPr>
          <w:lang w:val="es-CO"/>
        </w:rPr>
        <w:t>7</w:t>
      </w:r>
      <w:r w:rsidR="00F1370E" w:rsidRPr="00606E51">
        <w:rPr>
          <w:lang w:val="es-CO"/>
        </w:rPr>
        <w:fldChar w:fldCharType="end"/>
      </w:r>
    </w:p>
    <w:p w14:paraId="0106232F"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lang w:val="es-CO"/>
        </w:rPr>
        <w:t>Cuadro 1</w:t>
      </w:r>
      <w:r w:rsidRPr="00606E51">
        <w:rPr>
          <w:lang w:val="es-CO"/>
        </w:rPr>
        <w:noBreakHyphen/>
        <w:t>I Cobertura aseguramiento 2016</w:t>
      </w:r>
      <w:r w:rsidRPr="00606E51">
        <w:rPr>
          <w:lang w:val="es-CO"/>
        </w:rPr>
        <w:tab/>
      </w:r>
      <w:r w:rsidRPr="00606E51">
        <w:rPr>
          <w:lang w:val="es-CO"/>
        </w:rPr>
        <w:fldChar w:fldCharType="begin"/>
      </w:r>
      <w:r w:rsidRPr="00606E51">
        <w:rPr>
          <w:lang w:val="es-CO"/>
        </w:rPr>
        <w:instrText xml:space="preserve"> PAGEREF _Toc490045696 \h </w:instrText>
      </w:r>
      <w:r w:rsidRPr="00606E51">
        <w:rPr>
          <w:lang w:val="es-CO"/>
        </w:rPr>
      </w:r>
      <w:r w:rsidRPr="00606E51">
        <w:rPr>
          <w:lang w:val="es-CO"/>
        </w:rPr>
        <w:fldChar w:fldCharType="separate"/>
      </w:r>
      <w:r w:rsidRPr="00606E51">
        <w:rPr>
          <w:lang w:val="es-CO"/>
        </w:rPr>
        <w:t>11</w:t>
      </w:r>
      <w:r w:rsidRPr="00606E51">
        <w:rPr>
          <w:lang w:val="es-CO"/>
        </w:rPr>
        <w:fldChar w:fldCharType="end"/>
      </w:r>
    </w:p>
    <w:p w14:paraId="63806A3C"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lang w:val="es-CO"/>
        </w:rPr>
        <w:t>Cuadro 1</w:t>
      </w:r>
      <w:r w:rsidRPr="00606E51">
        <w:rPr>
          <w:lang w:val="es-CO"/>
        </w:rPr>
        <w:noBreakHyphen/>
        <w:t>II Casos de desnutrición aguda (SIVIGILA - evento 113), por municipio de residencia. 2016</w:t>
      </w:r>
      <w:r w:rsidRPr="00606E51">
        <w:rPr>
          <w:lang w:val="es-CO"/>
        </w:rPr>
        <w:tab/>
      </w:r>
      <w:r w:rsidRPr="00606E51">
        <w:rPr>
          <w:lang w:val="es-CO"/>
        </w:rPr>
        <w:fldChar w:fldCharType="begin"/>
      </w:r>
      <w:r w:rsidRPr="00606E51">
        <w:rPr>
          <w:lang w:val="es-CO"/>
        </w:rPr>
        <w:instrText xml:space="preserve"> PAGEREF _Toc490045697 \h </w:instrText>
      </w:r>
      <w:r w:rsidRPr="00606E51">
        <w:rPr>
          <w:lang w:val="es-CO"/>
        </w:rPr>
      </w:r>
      <w:r w:rsidRPr="00606E51">
        <w:rPr>
          <w:lang w:val="es-CO"/>
        </w:rPr>
        <w:fldChar w:fldCharType="separate"/>
      </w:r>
      <w:r w:rsidRPr="00606E51">
        <w:rPr>
          <w:lang w:val="es-CO"/>
        </w:rPr>
        <w:t>12</w:t>
      </w:r>
      <w:r w:rsidRPr="00606E51">
        <w:rPr>
          <w:lang w:val="es-CO"/>
        </w:rPr>
        <w:fldChar w:fldCharType="end"/>
      </w:r>
    </w:p>
    <w:p w14:paraId="5078676C"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lang w:val="es-CO"/>
        </w:rPr>
        <w:t>Cuadro 1</w:t>
      </w:r>
      <w:r w:rsidRPr="00606E51">
        <w:rPr>
          <w:lang w:val="es-CO"/>
        </w:rPr>
        <w:noBreakHyphen/>
        <w:t>III Mortalidad por desnutrición (SIVIGILA - evento 112), por municipio de residencia. 2016</w:t>
      </w:r>
      <w:r w:rsidRPr="00606E51">
        <w:rPr>
          <w:lang w:val="es-CO"/>
        </w:rPr>
        <w:tab/>
      </w:r>
      <w:r w:rsidRPr="00606E51">
        <w:rPr>
          <w:lang w:val="es-CO"/>
        </w:rPr>
        <w:fldChar w:fldCharType="begin"/>
      </w:r>
      <w:r w:rsidRPr="00606E51">
        <w:rPr>
          <w:lang w:val="es-CO"/>
        </w:rPr>
        <w:instrText xml:space="preserve"> PAGEREF _Toc490045698 \h </w:instrText>
      </w:r>
      <w:r w:rsidRPr="00606E51">
        <w:rPr>
          <w:lang w:val="es-CO"/>
        </w:rPr>
      </w:r>
      <w:r w:rsidRPr="00606E51">
        <w:rPr>
          <w:lang w:val="es-CO"/>
        </w:rPr>
        <w:fldChar w:fldCharType="separate"/>
      </w:r>
      <w:r w:rsidRPr="00606E51">
        <w:rPr>
          <w:lang w:val="es-CO"/>
        </w:rPr>
        <w:t>12</w:t>
      </w:r>
      <w:r w:rsidRPr="00606E51">
        <w:rPr>
          <w:lang w:val="es-CO"/>
        </w:rPr>
        <w:fldChar w:fldCharType="end"/>
      </w:r>
    </w:p>
    <w:p w14:paraId="3624878E"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lang w:val="es-CO"/>
        </w:rPr>
        <w:t>Cuadro 4</w:t>
      </w:r>
      <w:r w:rsidRPr="00606E51">
        <w:rPr>
          <w:lang w:val="es-CO"/>
        </w:rPr>
        <w:noBreakHyphen/>
        <w:t>I: Participantes en entrevistas semiestructuradas</w:t>
      </w:r>
      <w:r w:rsidRPr="00606E51">
        <w:rPr>
          <w:lang w:val="es-CO"/>
        </w:rPr>
        <w:tab/>
      </w:r>
      <w:r w:rsidRPr="00606E51">
        <w:rPr>
          <w:lang w:val="es-CO"/>
        </w:rPr>
        <w:fldChar w:fldCharType="begin"/>
      </w:r>
      <w:r w:rsidRPr="00606E51">
        <w:rPr>
          <w:lang w:val="es-CO"/>
        </w:rPr>
        <w:instrText xml:space="preserve"> PAGEREF _Toc490045699 \h </w:instrText>
      </w:r>
      <w:r w:rsidRPr="00606E51">
        <w:rPr>
          <w:lang w:val="es-CO"/>
        </w:rPr>
      </w:r>
      <w:r w:rsidRPr="00606E51">
        <w:rPr>
          <w:lang w:val="es-CO"/>
        </w:rPr>
        <w:fldChar w:fldCharType="separate"/>
      </w:r>
      <w:r w:rsidRPr="00606E51">
        <w:rPr>
          <w:lang w:val="es-CO"/>
        </w:rPr>
        <w:t>21</w:t>
      </w:r>
      <w:r w:rsidRPr="00606E51">
        <w:rPr>
          <w:lang w:val="es-CO"/>
        </w:rPr>
        <w:fldChar w:fldCharType="end"/>
      </w:r>
    </w:p>
    <w:p w14:paraId="32712CF3"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lang w:val="es-CO"/>
        </w:rPr>
        <w:t>Cuadro 4</w:t>
      </w:r>
      <w:r w:rsidRPr="00606E51">
        <w:rPr>
          <w:lang w:val="es-CO"/>
        </w:rPr>
        <w:noBreakHyphen/>
        <w:t>II: Participantes grupos de discusión dirigida</w:t>
      </w:r>
      <w:r w:rsidRPr="00606E51">
        <w:rPr>
          <w:lang w:val="es-CO"/>
        </w:rPr>
        <w:tab/>
      </w:r>
      <w:r w:rsidRPr="00606E51">
        <w:rPr>
          <w:lang w:val="es-CO"/>
        </w:rPr>
        <w:fldChar w:fldCharType="begin"/>
      </w:r>
      <w:r w:rsidRPr="00606E51">
        <w:rPr>
          <w:lang w:val="es-CO"/>
        </w:rPr>
        <w:instrText xml:space="preserve"> PAGEREF _Toc490045700 \h </w:instrText>
      </w:r>
      <w:r w:rsidRPr="00606E51">
        <w:rPr>
          <w:lang w:val="es-CO"/>
        </w:rPr>
      </w:r>
      <w:r w:rsidRPr="00606E51">
        <w:rPr>
          <w:lang w:val="es-CO"/>
        </w:rPr>
        <w:fldChar w:fldCharType="separate"/>
      </w:r>
      <w:r w:rsidRPr="00606E51">
        <w:rPr>
          <w:lang w:val="es-CO"/>
        </w:rPr>
        <w:t>22</w:t>
      </w:r>
      <w:r w:rsidRPr="00606E51">
        <w:rPr>
          <w:lang w:val="es-CO"/>
        </w:rPr>
        <w:fldChar w:fldCharType="end"/>
      </w:r>
    </w:p>
    <w:p w14:paraId="3AD6425D"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lang w:val="es-CO"/>
        </w:rPr>
        <w:t>Cuadro 4</w:t>
      </w:r>
      <w:r w:rsidRPr="00606E51">
        <w:rPr>
          <w:b/>
          <w:lang w:val="es-CO"/>
        </w:rPr>
        <w:noBreakHyphen/>
        <w:t>III</w:t>
      </w:r>
      <w:r w:rsidRPr="00606E51">
        <w:rPr>
          <w:b/>
          <w:bCs/>
          <w:lang w:val="es-CO"/>
        </w:rPr>
        <w:t>: Fuentes de información de costos</w:t>
      </w:r>
      <w:r w:rsidRPr="00606E51">
        <w:rPr>
          <w:lang w:val="es-CO"/>
        </w:rPr>
        <w:tab/>
      </w:r>
      <w:r w:rsidRPr="00606E51">
        <w:rPr>
          <w:lang w:val="es-CO"/>
        </w:rPr>
        <w:fldChar w:fldCharType="begin"/>
      </w:r>
      <w:r w:rsidRPr="00606E51">
        <w:rPr>
          <w:lang w:val="es-CO"/>
        </w:rPr>
        <w:instrText xml:space="preserve"> PAGEREF _Toc490045701 \h </w:instrText>
      </w:r>
      <w:r w:rsidRPr="00606E51">
        <w:rPr>
          <w:lang w:val="es-CO"/>
        </w:rPr>
      </w:r>
      <w:r w:rsidRPr="00606E51">
        <w:rPr>
          <w:lang w:val="es-CO"/>
        </w:rPr>
        <w:fldChar w:fldCharType="separate"/>
      </w:r>
      <w:r w:rsidRPr="00606E51">
        <w:rPr>
          <w:lang w:val="es-CO"/>
        </w:rPr>
        <w:t>23</w:t>
      </w:r>
      <w:r w:rsidRPr="00606E51">
        <w:rPr>
          <w:lang w:val="es-CO"/>
        </w:rPr>
        <w:fldChar w:fldCharType="end"/>
      </w:r>
    </w:p>
    <w:p w14:paraId="48BCCCB1"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IV: Códigos CIE-10 utilizados en la estimación de costos</w:t>
      </w:r>
      <w:r w:rsidRPr="00606E51">
        <w:rPr>
          <w:lang w:val="es-CO"/>
        </w:rPr>
        <w:tab/>
      </w:r>
      <w:r w:rsidRPr="00606E51">
        <w:rPr>
          <w:lang w:val="es-CO"/>
        </w:rPr>
        <w:fldChar w:fldCharType="begin"/>
      </w:r>
      <w:r w:rsidRPr="00606E51">
        <w:rPr>
          <w:lang w:val="es-CO"/>
        </w:rPr>
        <w:instrText xml:space="preserve"> PAGEREF _Toc490045702 \h </w:instrText>
      </w:r>
      <w:r w:rsidRPr="00606E51">
        <w:rPr>
          <w:lang w:val="es-CO"/>
        </w:rPr>
      </w:r>
      <w:r w:rsidRPr="00606E51">
        <w:rPr>
          <w:lang w:val="es-CO"/>
        </w:rPr>
        <w:fldChar w:fldCharType="separate"/>
      </w:r>
      <w:r w:rsidRPr="00606E51">
        <w:rPr>
          <w:lang w:val="es-CO"/>
        </w:rPr>
        <w:t>24</w:t>
      </w:r>
      <w:r w:rsidRPr="00606E51">
        <w:rPr>
          <w:lang w:val="es-CO"/>
        </w:rPr>
        <w:fldChar w:fldCharType="end"/>
      </w:r>
    </w:p>
    <w:p w14:paraId="0E057327"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V: Fuentes de información para la medida de efectividad</w:t>
      </w:r>
      <w:r w:rsidRPr="00606E51">
        <w:rPr>
          <w:lang w:val="es-CO"/>
        </w:rPr>
        <w:tab/>
      </w:r>
      <w:r w:rsidRPr="00606E51">
        <w:rPr>
          <w:lang w:val="es-CO"/>
        </w:rPr>
        <w:fldChar w:fldCharType="begin"/>
      </w:r>
      <w:r w:rsidRPr="00606E51">
        <w:rPr>
          <w:lang w:val="es-CO"/>
        </w:rPr>
        <w:instrText xml:space="preserve"> PAGEREF _Toc490045703 \h </w:instrText>
      </w:r>
      <w:r w:rsidRPr="00606E51">
        <w:rPr>
          <w:lang w:val="es-CO"/>
        </w:rPr>
      </w:r>
      <w:r w:rsidRPr="00606E51">
        <w:rPr>
          <w:lang w:val="es-CO"/>
        </w:rPr>
        <w:fldChar w:fldCharType="separate"/>
      </w:r>
      <w:r w:rsidRPr="00606E51">
        <w:rPr>
          <w:lang w:val="es-CO"/>
        </w:rPr>
        <w:t>25</w:t>
      </w:r>
      <w:r w:rsidRPr="00606E51">
        <w:rPr>
          <w:lang w:val="es-CO"/>
        </w:rPr>
        <w:fldChar w:fldCharType="end"/>
      </w:r>
    </w:p>
    <w:p w14:paraId="021F5246"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VI: Códigos CIE-10 del evento 112 de SIVIGILA</w:t>
      </w:r>
      <w:r w:rsidRPr="00606E51">
        <w:rPr>
          <w:lang w:val="es-CO"/>
        </w:rPr>
        <w:tab/>
      </w:r>
      <w:r w:rsidRPr="00606E51">
        <w:rPr>
          <w:lang w:val="es-CO"/>
        </w:rPr>
        <w:fldChar w:fldCharType="begin"/>
      </w:r>
      <w:r w:rsidRPr="00606E51">
        <w:rPr>
          <w:lang w:val="es-CO"/>
        </w:rPr>
        <w:instrText xml:space="preserve"> PAGEREF _Toc490045704 \h </w:instrText>
      </w:r>
      <w:r w:rsidRPr="00606E51">
        <w:rPr>
          <w:lang w:val="es-CO"/>
        </w:rPr>
      </w:r>
      <w:r w:rsidRPr="00606E51">
        <w:rPr>
          <w:lang w:val="es-CO"/>
        </w:rPr>
        <w:fldChar w:fldCharType="separate"/>
      </w:r>
      <w:r w:rsidRPr="00606E51">
        <w:rPr>
          <w:lang w:val="es-CO"/>
        </w:rPr>
        <w:t>27</w:t>
      </w:r>
      <w:r w:rsidRPr="00606E51">
        <w:rPr>
          <w:lang w:val="es-CO"/>
        </w:rPr>
        <w:fldChar w:fldCharType="end"/>
      </w:r>
    </w:p>
    <w:p w14:paraId="06A3F644"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VII: Niños y niñas tratados por equipos extramurales, por municipio. 2016</w:t>
      </w:r>
      <w:r w:rsidRPr="00606E51">
        <w:rPr>
          <w:lang w:val="es-CO"/>
        </w:rPr>
        <w:tab/>
      </w:r>
      <w:r w:rsidRPr="00606E51">
        <w:rPr>
          <w:lang w:val="es-CO"/>
        </w:rPr>
        <w:fldChar w:fldCharType="begin"/>
      </w:r>
      <w:r w:rsidRPr="00606E51">
        <w:rPr>
          <w:lang w:val="es-CO"/>
        </w:rPr>
        <w:instrText xml:space="preserve"> PAGEREF _Toc490045705 \h </w:instrText>
      </w:r>
      <w:r w:rsidRPr="00606E51">
        <w:rPr>
          <w:lang w:val="es-CO"/>
        </w:rPr>
      </w:r>
      <w:r w:rsidRPr="00606E51">
        <w:rPr>
          <w:lang w:val="es-CO"/>
        </w:rPr>
        <w:fldChar w:fldCharType="separate"/>
      </w:r>
      <w:r w:rsidRPr="00606E51">
        <w:rPr>
          <w:lang w:val="es-CO"/>
        </w:rPr>
        <w:t>28</w:t>
      </w:r>
      <w:r w:rsidRPr="00606E51">
        <w:rPr>
          <w:lang w:val="es-CO"/>
        </w:rPr>
        <w:fldChar w:fldCharType="end"/>
      </w:r>
    </w:p>
    <w:p w14:paraId="5B2B2FF9"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VIII: Parámetros para la estimación de efectividad. 2016</w:t>
      </w:r>
      <w:r w:rsidRPr="00606E51">
        <w:rPr>
          <w:lang w:val="es-CO"/>
        </w:rPr>
        <w:tab/>
      </w:r>
      <w:r w:rsidRPr="00606E51">
        <w:rPr>
          <w:lang w:val="es-CO"/>
        </w:rPr>
        <w:fldChar w:fldCharType="begin"/>
      </w:r>
      <w:r w:rsidRPr="00606E51">
        <w:rPr>
          <w:lang w:val="es-CO"/>
        </w:rPr>
        <w:instrText xml:space="preserve"> PAGEREF _Toc490045706 \h </w:instrText>
      </w:r>
      <w:r w:rsidRPr="00606E51">
        <w:rPr>
          <w:lang w:val="es-CO"/>
        </w:rPr>
      </w:r>
      <w:r w:rsidRPr="00606E51">
        <w:rPr>
          <w:lang w:val="es-CO"/>
        </w:rPr>
        <w:fldChar w:fldCharType="separate"/>
      </w:r>
      <w:r w:rsidRPr="00606E51">
        <w:rPr>
          <w:lang w:val="es-CO"/>
        </w:rPr>
        <w:t>28</w:t>
      </w:r>
      <w:r w:rsidRPr="00606E51">
        <w:rPr>
          <w:lang w:val="es-CO"/>
        </w:rPr>
        <w:fldChar w:fldCharType="end"/>
      </w:r>
    </w:p>
    <w:p w14:paraId="22DC46CE"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IX: Parámetros complementarios para la estimación de efectividad. 2015</w:t>
      </w:r>
      <w:r w:rsidRPr="00606E51">
        <w:rPr>
          <w:lang w:val="es-CO"/>
        </w:rPr>
        <w:tab/>
      </w:r>
      <w:r w:rsidRPr="00606E51">
        <w:rPr>
          <w:lang w:val="es-CO"/>
        </w:rPr>
        <w:fldChar w:fldCharType="begin"/>
      </w:r>
      <w:r w:rsidRPr="00606E51">
        <w:rPr>
          <w:lang w:val="es-CO"/>
        </w:rPr>
        <w:instrText xml:space="preserve"> PAGEREF _Toc490045707 \h </w:instrText>
      </w:r>
      <w:r w:rsidRPr="00606E51">
        <w:rPr>
          <w:lang w:val="es-CO"/>
        </w:rPr>
      </w:r>
      <w:r w:rsidRPr="00606E51">
        <w:rPr>
          <w:lang w:val="es-CO"/>
        </w:rPr>
        <w:fldChar w:fldCharType="separate"/>
      </w:r>
      <w:r w:rsidRPr="00606E51">
        <w:rPr>
          <w:lang w:val="es-CO"/>
        </w:rPr>
        <w:t>29</w:t>
      </w:r>
      <w:r w:rsidRPr="00606E51">
        <w:rPr>
          <w:lang w:val="es-CO"/>
        </w:rPr>
        <w:fldChar w:fldCharType="end"/>
      </w:r>
    </w:p>
    <w:p w14:paraId="779511D8"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X: Parámetros para la estimación de costos</w:t>
      </w:r>
      <w:r w:rsidRPr="00606E51">
        <w:rPr>
          <w:lang w:val="es-CO"/>
        </w:rPr>
        <w:tab/>
      </w:r>
      <w:r w:rsidRPr="00606E51">
        <w:rPr>
          <w:lang w:val="es-CO"/>
        </w:rPr>
        <w:fldChar w:fldCharType="begin"/>
      </w:r>
      <w:r w:rsidRPr="00606E51">
        <w:rPr>
          <w:lang w:val="es-CO"/>
        </w:rPr>
        <w:instrText xml:space="preserve"> PAGEREF _Toc490045708 \h </w:instrText>
      </w:r>
      <w:r w:rsidRPr="00606E51">
        <w:rPr>
          <w:lang w:val="es-CO"/>
        </w:rPr>
      </w:r>
      <w:r w:rsidRPr="00606E51">
        <w:rPr>
          <w:lang w:val="es-CO"/>
        </w:rPr>
        <w:fldChar w:fldCharType="separate"/>
      </w:r>
      <w:r w:rsidRPr="00606E51">
        <w:rPr>
          <w:lang w:val="es-CO"/>
        </w:rPr>
        <w:t>29</w:t>
      </w:r>
      <w:r w:rsidRPr="00606E51">
        <w:rPr>
          <w:lang w:val="es-CO"/>
        </w:rPr>
        <w:fldChar w:fldCharType="end"/>
      </w:r>
    </w:p>
    <w:p w14:paraId="2CDA7079"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XI. Componentes del costo de atención de casos de desnutrición aguda</w:t>
      </w:r>
      <w:r w:rsidRPr="00606E51">
        <w:rPr>
          <w:lang w:val="es-CO"/>
        </w:rPr>
        <w:tab/>
      </w:r>
      <w:r w:rsidRPr="00606E51">
        <w:rPr>
          <w:lang w:val="es-CO"/>
        </w:rPr>
        <w:fldChar w:fldCharType="begin"/>
      </w:r>
      <w:r w:rsidRPr="00606E51">
        <w:rPr>
          <w:lang w:val="es-CO"/>
        </w:rPr>
        <w:instrText xml:space="preserve"> PAGEREF _Toc490045709 \h </w:instrText>
      </w:r>
      <w:r w:rsidRPr="00606E51">
        <w:rPr>
          <w:lang w:val="es-CO"/>
        </w:rPr>
      </w:r>
      <w:r w:rsidRPr="00606E51">
        <w:rPr>
          <w:lang w:val="es-CO"/>
        </w:rPr>
        <w:fldChar w:fldCharType="separate"/>
      </w:r>
      <w:r w:rsidRPr="00606E51">
        <w:rPr>
          <w:lang w:val="es-CO"/>
        </w:rPr>
        <w:t>31</w:t>
      </w:r>
      <w:r w:rsidRPr="00606E51">
        <w:rPr>
          <w:lang w:val="es-CO"/>
        </w:rPr>
        <w:fldChar w:fldCharType="end"/>
      </w:r>
    </w:p>
    <w:p w14:paraId="5319A61A"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XII. Costo insumos en el escenario con lineamiento</w:t>
      </w:r>
      <w:r w:rsidRPr="00606E51">
        <w:rPr>
          <w:lang w:val="es-CO"/>
        </w:rPr>
        <w:tab/>
      </w:r>
      <w:r w:rsidRPr="00606E51">
        <w:rPr>
          <w:lang w:val="es-CO"/>
        </w:rPr>
        <w:fldChar w:fldCharType="begin"/>
      </w:r>
      <w:r w:rsidRPr="00606E51">
        <w:rPr>
          <w:lang w:val="es-CO"/>
        </w:rPr>
        <w:instrText xml:space="preserve"> PAGEREF _Toc490045710 \h </w:instrText>
      </w:r>
      <w:r w:rsidRPr="00606E51">
        <w:rPr>
          <w:lang w:val="es-CO"/>
        </w:rPr>
      </w:r>
      <w:r w:rsidRPr="00606E51">
        <w:rPr>
          <w:lang w:val="es-CO"/>
        </w:rPr>
        <w:fldChar w:fldCharType="separate"/>
      </w:r>
      <w:r w:rsidRPr="00606E51">
        <w:rPr>
          <w:lang w:val="es-CO"/>
        </w:rPr>
        <w:t>32</w:t>
      </w:r>
      <w:r w:rsidRPr="00606E51">
        <w:rPr>
          <w:lang w:val="es-CO"/>
        </w:rPr>
        <w:fldChar w:fldCharType="end"/>
      </w:r>
    </w:p>
    <w:p w14:paraId="1A060C9D"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b/>
          <w:bCs/>
          <w:lang w:val="es-CO"/>
        </w:rPr>
        <w:t>Cuadro 4</w:t>
      </w:r>
      <w:r w:rsidRPr="00606E51">
        <w:rPr>
          <w:b/>
          <w:bCs/>
          <w:lang w:val="es-CO"/>
        </w:rPr>
        <w:noBreakHyphen/>
        <w:t>XIII. Elementos del costo en medicamentos e insumos en el escenario con lineamiento</w:t>
      </w:r>
      <w:r w:rsidRPr="00606E51">
        <w:rPr>
          <w:lang w:val="es-CO"/>
        </w:rPr>
        <w:tab/>
      </w:r>
      <w:r w:rsidRPr="00606E51">
        <w:rPr>
          <w:lang w:val="es-CO"/>
        </w:rPr>
        <w:fldChar w:fldCharType="begin"/>
      </w:r>
      <w:r w:rsidRPr="00606E51">
        <w:rPr>
          <w:lang w:val="es-CO"/>
        </w:rPr>
        <w:instrText xml:space="preserve"> PAGEREF _Toc490045711 \h </w:instrText>
      </w:r>
      <w:r w:rsidRPr="00606E51">
        <w:rPr>
          <w:lang w:val="es-CO"/>
        </w:rPr>
      </w:r>
      <w:r w:rsidRPr="00606E51">
        <w:rPr>
          <w:lang w:val="es-CO"/>
        </w:rPr>
        <w:fldChar w:fldCharType="separate"/>
      </w:r>
      <w:r w:rsidRPr="00606E51">
        <w:rPr>
          <w:lang w:val="es-CO"/>
        </w:rPr>
        <w:t>34</w:t>
      </w:r>
      <w:r w:rsidRPr="00606E51">
        <w:rPr>
          <w:lang w:val="es-CO"/>
        </w:rPr>
        <w:fldChar w:fldCharType="end"/>
      </w:r>
    </w:p>
    <w:p w14:paraId="751E9C5A"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rFonts w:cs="Times New Roman"/>
          <w:b/>
          <w:bCs/>
          <w:lang w:val="es-CO"/>
        </w:rPr>
        <w:t>Cuadro 5</w:t>
      </w:r>
      <w:r w:rsidRPr="00606E51">
        <w:rPr>
          <w:rFonts w:cs="Times New Roman"/>
          <w:b/>
          <w:bCs/>
          <w:lang w:val="es-CO"/>
        </w:rPr>
        <w:noBreakHyphen/>
        <w:t>I. Parámetros para la estimación de costos</w:t>
      </w:r>
      <w:r w:rsidRPr="00606E51">
        <w:rPr>
          <w:lang w:val="es-CO"/>
        </w:rPr>
        <w:tab/>
      </w:r>
      <w:r w:rsidRPr="00606E51">
        <w:rPr>
          <w:lang w:val="es-CO"/>
        </w:rPr>
        <w:fldChar w:fldCharType="begin"/>
      </w:r>
      <w:r w:rsidRPr="00606E51">
        <w:rPr>
          <w:lang w:val="es-CO"/>
        </w:rPr>
        <w:instrText xml:space="preserve"> PAGEREF _Toc490045712 \h </w:instrText>
      </w:r>
      <w:r w:rsidRPr="00606E51">
        <w:rPr>
          <w:lang w:val="es-CO"/>
        </w:rPr>
      </w:r>
      <w:r w:rsidRPr="00606E51">
        <w:rPr>
          <w:lang w:val="es-CO"/>
        </w:rPr>
        <w:fldChar w:fldCharType="separate"/>
      </w:r>
      <w:r w:rsidRPr="00606E51">
        <w:rPr>
          <w:lang w:val="es-CO"/>
        </w:rPr>
        <w:t>43</w:t>
      </w:r>
      <w:r w:rsidRPr="00606E51">
        <w:rPr>
          <w:lang w:val="es-CO"/>
        </w:rPr>
        <w:fldChar w:fldCharType="end"/>
      </w:r>
    </w:p>
    <w:p w14:paraId="3261272D"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rFonts w:cs="Times New Roman"/>
          <w:b/>
          <w:bCs/>
          <w:lang w:val="es-CO"/>
        </w:rPr>
        <w:t>Cuadro 5</w:t>
      </w:r>
      <w:r w:rsidRPr="00606E51">
        <w:rPr>
          <w:rFonts w:cs="Times New Roman"/>
          <w:b/>
          <w:bCs/>
          <w:lang w:val="es-CO"/>
        </w:rPr>
        <w:noBreakHyphen/>
        <w:t>II. Resultados en el escenario sin implementación del Lineamiento</w:t>
      </w:r>
      <w:r w:rsidRPr="00606E51">
        <w:rPr>
          <w:lang w:val="es-CO"/>
        </w:rPr>
        <w:tab/>
      </w:r>
      <w:r w:rsidRPr="00606E51">
        <w:rPr>
          <w:lang w:val="es-CO"/>
        </w:rPr>
        <w:fldChar w:fldCharType="begin"/>
      </w:r>
      <w:r w:rsidRPr="00606E51">
        <w:rPr>
          <w:lang w:val="es-CO"/>
        </w:rPr>
        <w:instrText xml:space="preserve"> PAGEREF _Toc490045713 \h </w:instrText>
      </w:r>
      <w:r w:rsidRPr="00606E51">
        <w:rPr>
          <w:lang w:val="es-CO"/>
        </w:rPr>
      </w:r>
      <w:r w:rsidRPr="00606E51">
        <w:rPr>
          <w:lang w:val="es-CO"/>
        </w:rPr>
        <w:fldChar w:fldCharType="separate"/>
      </w:r>
      <w:r w:rsidRPr="00606E51">
        <w:rPr>
          <w:lang w:val="es-CO"/>
        </w:rPr>
        <w:t>43</w:t>
      </w:r>
      <w:r w:rsidRPr="00606E51">
        <w:rPr>
          <w:lang w:val="es-CO"/>
        </w:rPr>
        <w:fldChar w:fldCharType="end"/>
      </w:r>
    </w:p>
    <w:p w14:paraId="5428B433"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rFonts w:cs="Times New Roman"/>
          <w:b/>
          <w:bCs/>
          <w:lang w:val="es-CO"/>
        </w:rPr>
        <w:t>Cuadro 5</w:t>
      </w:r>
      <w:r w:rsidRPr="00606E51">
        <w:rPr>
          <w:rFonts w:cs="Times New Roman"/>
          <w:b/>
          <w:bCs/>
          <w:lang w:val="es-CO"/>
        </w:rPr>
        <w:noBreakHyphen/>
        <w:t>III. Resultados en el escenario con la implementación del Lineamiento</w:t>
      </w:r>
      <w:r w:rsidRPr="00606E51">
        <w:rPr>
          <w:lang w:val="es-CO"/>
        </w:rPr>
        <w:tab/>
      </w:r>
      <w:r w:rsidRPr="00606E51">
        <w:rPr>
          <w:lang w:val="es-CO"/>
        </w:rPr>
        <w:fldChar w:fldCharType="begin"/>
      </w:r>
      <w:r w:rsidRPr="00606E51">
        <w:rPr>
          <w:lang w:val="es-CO"/>
        </w:rPr>
        <w:instrText xml:space="preserve"> PAGEREF _Toc490045714 \h </w:instrText>
      </w:r>
      <w:r w:rsidRPr="00606E51">
        <w:rPr>
          <w:lang w:val="es-CO"/>
        </w:rPr>
      </w:r>
      <w:r w:rsidRPr="00606E51">
        <w:rPr>
          <w:lang w:val="es-CO"/>
        </w:rPr>
        <w:fldChar w:fldCharType="separate"/>
      </w:r>
      <w:r w:rsidRPr="00606E51">
        <w:rPr>
          <w:lang w:val="es-CO"/>
        </w:rPr>
        <w:t>44</w:t>
      </w:r>
      <w:r w:rsidRPr="00606E51">
        <w:rPr>
          <w:lang w:val="es-CO"/>
        </w:rPr>
        <w:fldChar w:fldCharType="end"/>
      </w:r>
    </w:p>
    <w:p w14:paraId="3895F3FA" w14:textId="77777777" w:rsidR="00F1370E" w:rsidRPr="00606E51" w:rsidRDefault="00F1370E">
      <w:pPr>
        <w:pStyle w:val="TableofFigures"/>
        <w:tabs>
          <w:tab w:val="right" w:leader="dot" w:pos="8828"/>
        </w:tabs>
        <w:rPr>
          <w:rFonts w:asciiTheme="minorHAnsi" w:eastAsiaTheme="minorEastAsia" w:hAnsiTheme="minorHAnsi" w:cstheme="minorBidi"/>
          <w:lang w:val="es-CO" w:eastAsia="en-GB"/>
        </w:rPr>
      </w:pPr>
      <w:r w:rsidRPr="00606E51">
        <w:rPr>
          <w:rFonts w:cs="Times New Roman"/>
          <w:b/>
          <w:bCs/>
          <w:lang w:val="es-CO"/>
        </w:rPr>
        <w:t>Cuadro 5</w:t>
      </w:r>
      <w:r w:rsidRPr="00606E51">
        <w:rPr>
          <w:rFonts w:cs="Times New Roman"/>
          <w:b/>
          <w:bCs/>
          <w:lang w:val="es-CO"/>
        </w:rPr>
        <w:noBreakHyphen/>
        <w:t>IV. Resultados incrementales</w:t>
      </w:r>
      <w:r w:rsidRPr="00606E51">
        <w:rPr>
          <w:lang w:val="es-CO"/>
        </w:rPr>
        <w:tab/>
      </w:r>
      <w:r w:rsidRPr="00606E51">
        <w:rPr>
          <w:lang w:val="es-CO"/>
        </w:rPr>
        <w:fldChar w:fldCharType="begin"/>
      </w:r>
      <w:r w:rsidRPr="00606E51">
        <w:rPr>
          <w:lang w:val="es-CO"/>
        </w:rPr>
        <w:instrText xml:space="preserve"> PAGEREF _Toc490045715 \h </w:instrText>
      </w:r>
      <w:r w:rsidRPr="00606E51">
        <w:rPr>
          <w:lang w:val="es-CO"/>
        </w:rPr>
      </w:r>
      <w:r w:rsidRPr="00606E51">
        <w:rPr>
          <w:lang w:val="es-CO"/>
        </w:rPr>
        <w:fldChar w:fldCharType="separate"/>
      </w:r>
      <w:r w:rsidRPr="00606E51">
        <w:rPr>
          <w:lang w:val="es-CO"/>
        </w:rPr>
        <w:t>44</w:t>
      </w:r>
      <w:r w:rsidRPr="00606E51">
        <w:rPr>
          <w:lang w:val="es-CO"/>
        </w:rPr>
        <w:fldChar w:fldCharType="end"/>
      </w:r>
    </w:p>
    <w:p w14:paraId="6BBD836D" w14:textId="77777777" w:rsidR="000B798B" w:rsidRPr="00606E51" w:rsidRDefault="00631B9C">
      <w:pPr>
        <w:pStyle w:val="TableofFigures"/>
        <w:tabs>
          <w:tab w:val="right" w:leader="dot" w:pos="9350"/>
        </w:tabs>
        <w:rPr>
          <w:rFonts w:cs="Times New Roman"/>
          <w:lang w:val="es-CO"/>
        </w:rPr>
      </w:pPr>
      <w:r w:rsidRPr="00606E51">
        <w:rPr>
          <w:rFonts w:cs="Times New Roman"/>
          <w:lang w:val="es-CO"/>
        </w:rPr>
        <w:fldChar w:fldCharType="end"/>
      </w:r>
    </w:p>
    <w:p w14:paraId="6067E2FC" w14:textId="77777777" w:rsidR="000B798B" w:rsidRPr="00606E51" w:rsidRDefault="00E14040" w:rsidP="00C04843">
      <w:pPr>
        <w:spacing w:after="200" w:line="252" w:lineRule="auto"/>
        <w:rPr>
          <w:rFonts w:cs="Times New Roman"/>
          <w:lang w:val="es-CO"/>
        </w:rPr>
      </w:pPr>
      <w:r w:rsidRPr="00606E51">
        <w:rPr>
          <w:rFonts w:cs="Times New Roman"/>
          <w:lang w:val="es-CO"/>
        </w:rPr>
        <w:br w:type="page"/>
      </w:r>
    </w:p>
    <w:p w14:paraId="0C7BB717" w14:textId="77777777" w:rsidR="00FC31CE" w:rsidRPr="00606E51" w:rsidRDefault="000B133B" w:rsidP="001B5600">
      <w:pPr>
        <w:rPr>
          <w:lang w:val="es-CO"/>
        </w:rPr>
      </w:pPr>
      <w:bookmarkStart w:id="2" w:name="_Toc481101218"/>
      <w:r w:rsidRPr="00606E51">
        <w:rPr>
          <w:color w:val="234F77" w:themeColor="accent2" w:themeShade="80"/>
          <w:sz w:val="26"/>
          <w:szCs w:val="26"/>
          <w:lang w:val="es-CO"/>
        </w:rPr>
        <w:lastRenderedPageBreak/>
        <w:t>Resumen Ejecutivo</w:t>
      </w:r>
      <w:bookmarkEnd w:id="2"/>
    </w:p>
    <w:p w14:paraId="012BA328" w14:textId="77777777" w:rsidR="000D4C9D" w:rsidRPr="00606E51" w:rsidRDefault="000D4C9D" w:rsidP="00285C40">
      <w:pPr>
        <w:jc w:val="both"/>
        <w:rPr>
          <w:rFonts w:cs="Times New Roman"/>
          <w:color w:val="FF0000"/>
          <w:lang w:val="es-CO"/>
        </w:rPr>
      </w:pPr>
    </w:p>
    <w:p w14:paraId="021EF90C" w14:textId="77777777" w:rsidR="00C5786E" w:rsidRPr="00720146" w:rsidRDefault="00C5786E" w:rsidP="00D63B39">
      <w:pPr>
        <w:jc w:val="both"/>
        <w:rPr>
          <w:rFonts w:cs="Times New Roman"/>
          <w:b/>
          <w:lang w:val="es-CO"/>
        </w:rPr>
      </w:pPr>
      <w:r w:rsidRPr="00720146">
        <w:rPr>
          <w:rFonts w:cs="Times New Roman"/>
          <w:b/>
          <w:lang w:val="es-CO"/>
        </w:rPr>
        <w:t>Propósito</w:t>
      </w:r>
    </w:p>
    <w:p w14:paraId="7944E7B8" w14:textId="77777777" w:rsidR="00D63B39" w:rsidRPr="00720146" w:rsidRDefault="00C04843" w:rsidP="00D63B39">
      <w:pPr>
        <w:jc w:val="both"/>
        <w:rPr>
          <w:rFonts w:cs="Times New Roman"/>
          <w:lang w:val="es-CO"/>
        </w:rPr>
      </w:pPr>
      <w:r w:rsidRPr="008C014E">
        <w:rPr>
          <w:rFonts w:cs="Times New Roman"/>
          <w:lang w:val="es-CO"/>
        </w:rPr>
        <w:t xml:space="preserve">Esta evaluación </w:t>
      </w:r>
      <w:r w:rsidR="0018231D" w:rsidRPr="008C014E">
        <w:rPr>
          <w:rFonts w:cs="Times New Roman"/>
          <w:lang w:val="es-CO"/>
        </w:rPr>
        <w:t>tiene</w:t>
      </w:r>
      <w:r w:rsidRPr="008C014E">
        <w:rPr>
          <w:rFonts w:cs="Times New Roman"/>
          <w:lang w:val="es-CO"/>
        </w:rPr>
        <w:t xml:space="preserve"> como propósito determinar el grado de </w:t>
      </w:r>
      <w:r w:rsidRPr="00720146">
        <w:rPr>
          <w:rFonts w:cs="Times New Roman"/>
          <w:i/>
          <w:lang w:val="es-CO"/>
        </w:rPr>
        <w:t>costo-efectividad</w:t>
      </w:r>
      <w:r w:rsidRPr="008C014E">
        <w:rPr>
          <w:rFonts w:cs="Times New Roman"/>
          <w:lang w:val="es-CO"/>
        </w:rPr>
        <w:t xml:space="preserve"> </w:t>
      </w:r>
      <w:r w:rsidR="003767F6" w:rsidRPr="008C014E">
        <w:rPr>
          <w:rFonts w:cs="Times New Roman"/>
          <w:lang w:val="es-CO"/>
        </w:rPr>
        <w:t xml:space="preserve">y el nivel de </w:t>
      </w:r>
      <w:r w:rsidR="003767F6" w:rsidRPr="00720146">
        <w:rPr>
          <w:rFonts w:cs="Times New Roman"/>
          <w:i/>
          <w:lang w:val="es-CO"/>
        </w:rPr>
        <w:t>adherencia</w:t>
      </w:r>
      <w:r w:rsidR="003767F6" w:rsidRPr="00720146">
        <w:rPr>
          <w:rFonts w:cs="Times New Roman"/>
          <w:lang w:val="es-CO"/>
        </w:rPr>
        <w:t xml:space="preserve"> </w:t>
      </w:r>
      <w:r w:rsidRPr="00720146">
        <w:rPr>
          <w:rFonts w:cs="Times New Roman"/>
          <w:lang w:val="es-CO"/>
        </w:rPr>
        <w:t xml:space="preserve">de la aplicación </w:t>
      </w:r>
      <w:r w:rsidR="00644570" w:rsidRPr="00720146">
        <w:rPr>
          <w:rFonts w:cs="Times New Roman"/>
          <w:lang w:val="es-CO"/>
        </w:rPr>
        <w:t xml:space="preserve">del </w:t>
      </w:r>
      <w:r w:rsidR="00ED5436" w:rsidRPr="00720146">
        <w:rPr>
          <w:rFonts w:cs="Times New Roman"/>
          <w:sz w:val="21"/>
          <w:lang w:val="es-CO"/>
        </w:rPr>
        <w:t>L</w:t>
      </w:r>
      <w:r w:rsidR="00644570" w:rsidRPr="00720146">
        <w:rPr>
          <w:rFonts w:cs="Times New Roman"/>
          <w:sz w:val="21"/>
          <w:lang w:val="es-CO"/>
        </w:rPr>
        <w:t xml:space="preserve">ineamiento </w:t>
      </w:r>
      <w:r w:rsidR="00FD3315" w:rsidRPr="00720146">
        <w:rPr>
          <w:rFonts w:cs="Times New Roman"/>
          <w:sz w:val="21"/>
          <w:lang w:val="es-CO"/>
        </w:rPr>
        <w:t xml:space="preserve">nacional </w:t>
      </w:r>
      <w:r w:rsidR="00644570" w:rsidRPr="00720146">
        <w:rPr>
          <w:rFonts w:cs="Times New Roman"/>
          <w:sz w:val="21"/>
          <w:lang w:val="es-CO"/>
        </w:rPr>
        <w:t>para el manejo integrado de la desnutrición aguda</w:t>
      </w:r>
      <w:r w:rsidR="00662B7B" w:rsidRPr="00720146">
        <w:rPr>
          <w:rFonts w:cs="Times New Roman"/>
          <w:sz w:val="21"/>
          <w:lang w:val="es-CO"/>
        </w:rPr>
        <w:t xml:space="preserve"> moderada o severa</w:t>
      </w:r>
      <w:r w:rsidR="00644570" w:rsidRPr="00720146">
        <w:rPr>
          <w:rFonts w:cs="Times New Roman"/>
          <w:sz w:val="21"/>
          <w:lang w:val="es-CO"/>
        </w:rPr>
        <w:t xml:space="preserve"> en niños y niñas de 0 a 59 meses</w:t>
      </w:r>
      <w:r w:rsidR="00644570" w:rsidRPr="008C014E">
        <w:rPr>
          <w:rFonts w:cs="Times New Roman"/>
          <w:sz w:val="21"/>
          <w:lang w:val="es-CO"/>
        </w:rPr>
        <w:t xml:space="preserve"> de edad</w:t>
      </w:r>
      <w:r w:rsidR="007877F8" w:rsidRPr="008C014E">
        <w:rPr>
          <w:rFonts w:cs="Times New Roman"/>
          <w:sz w:val="21"/>
          <w:lang w:val="es-CO"/>
        </w:rPr>
        <w:t xml:space="preserve"> (en adelante, el Lineamiento</w:t>
      </w:r>
      <w:r w:rsidR="00ED5436" w:rsidRPr="008C014E">
        <w:rPr>
          <w:rStyle w:val="FootnoteReference"/>
          <w:rFonts w:cs="Times New Roman"/>
          <w:sz w:val="21"/>
          <w:lang w:val="es-CO"/>
        </w:rPr>
        <w:footnoteReference w:id="2"/>
      </w:r>
      <w:r w:rsidR="007877F8" w:rsidRPr="008C014E">
        <w:rPr>
          <w:rFonts w:cs="Times New Roman"/>
          <w:sz w:val="21"/>
          <w:lang w:val="es-CO"/>
        </w:rPr>
        <w:t>)</w:t>
      </w:r>
      <w:r w:rsidRPr="008C014E">
        <w:rPr>
          <w:rFonts w:cs="Times New Roman"/>
          <w:lang w:val="es-CO"/>
        </w:rPr>
        <w:t xml:space="preserve">, </w:t>
      </w:r>
      <w:r w:rsidR="003767F6" w:rsidRPr="008C014E">
        <w:rPr>
          <w:rFonts w:cs="Times New Roman"/>
          <w:bCs/>
          <w:lang w:val="es-CO"/>
        </w:rPr>
        <w:t>en los municipios de Maicao, Manaure, Riohacha y Uribia del departamento de La Guajira</w:t>
      </w:r>
      <w:r w:rsidR="00FD3315" w:rsidRPr="00101D3A">
        <w:rPr>
          <w:rFonts w:cs="Times New Roman"/>
          <w:bCs/>
          <w:lang w:val="es-CO"/>
        </w:rPr>
        <w:t>, durante los años 2016 y 2017</w:t>
      </w:r>
      <w:r w:rsidR="003767F6" w:rsidRPr="00101D3A">
        <w:rPr>
          <w:rFonts w:cs="Times New Roman"/>
          <w:sz w:val="21"/>
          <w:lang w:val="es-CO"/>
        </w:rPr>
        <w:t>.</w:t>
      </w:r>
      <w:r w:rsidR="00450A3E" w:rsidRPr="00101D3A">
        <w:rPr>
          <w:rFonts w:cs="Times New Roman"/>
          <w:sz w:val="21"/>
          <w:lang w:val="es-CO"/>
        </w:rPr>
        <w:t xml:space="preserve">  </w:t>
      </w:r>
      <w:r w:rsidR="00D63B39" w:rsidRPr="00101D3A">
        <w:rPr>
          <w:rFonts w:cs="Times New Roman"/>
          <w:sz w:val="21"/>
          <w:lang w:val="es-CO"/>
        </w:rPr>
        <w:t xml:space="preserve">Dicho Lineamiento, constituye una </w:t>
      </w:r>
      <w:r w:rsidR="00D63B39" w:rsidRPr="00720146">
        <w:rPr>
          <w:rFonts w:cs="Times New Roman"/>
          <w:sz w:val="21"/>
          <w:lang w:val="es-CO"/>
        </w:rPr>
        <w:t xml:space="preserve">herramienta de </w:t>
      </w:r>
      <w:r w:rsidR="00ED5436" w:rsidRPr="00720146">
        <w:rPr>
          <w:rFonts w:cs="Times New Roman"/>
          <w:sz w:val="21"/>
          <w:lang w:val="es-CO"/>
        </w:rPr>
        <w:t>obligatorio cumplimiento</w:t>
      </w:r>
      <w:r w:rsidR="00ED5436" w:rsidRPr="008C014E">
        <w:rPr>
          <w:rFonts w:cs="Times New Roman"/>
          <w:sz w:val="21"/>
          <w:lang w:val="es-CO"/>
        </w:rPr>
        <w:t xml:space="preserve"> para que </w:t>
      </w:r>
      <w:r w:rsidR="00D63B39" w:rsidRPr="008C014E">
        <w:rPr>
          <w:rFonts w:cs="Times New Roman"/>
          <w:sz w:val="21"/>
          <w:lang w:val="es-CO"/>
        </w:rPr>
        <w:t>los trabaja</w:t>
      </w:r>
      <w:r w:rsidR="00ED5436" w:rsidRPr="00101D3A">
        <w:rPr>
          <w:rFonts w:cs="Times New Roman"/>
          <w:sz w:val="21"/>
          <w:lang w:val="es-CO"/>
        </w:rPr>
        <w:t xml:space="preserve">dores del sector </w:t>
      </w:r>
      <w:r w:rsidR="00D63B39" w:rsidRPr="00101D3A">
        <w:rPr>
          <w:rFonts w:cs="Times New Roman"/>
          <w:sz w:val="21"/>
          <w:lang w:val="es-CO"/>
        </w:rPr>
        <w:t xml:space="preserve">salud </w:t>
      </w:r>
      <w:r w:rsidR="00ED5436" w:rsidRPr="00101D3A">
        <w:rPr>
          <w:rFonts w:cs="Times New Roman"/>
          <w:sz w:val="21"/>
          <w:lang w:val="es-CO"/>
        </w:rPr>
        <w:t xml:space="preserve">realicen una </w:t>
      </w:r>
      <w:r w:rsidR="00D63B39" w:rsidRPr="00101D3A">
        <w:rPr>
          <w:rFonts w:cs="Times New Roman"/>
          <w:sz w:val="21"/>
          <w:lang w:val="es-CO"/>
        </w:rPr>
        <w:t>adecuada identificación, tratamiento y seguimiento de la desnutrición aguda moderada y severa</w:t>
      </w:r>
      <w:r w:rsidR="00ED5436" w:rsidRPr="008A61FD">
        <w:rPr>
          <w:rFonts w:cs="Times New Roman"/>
          <w:sz w:val="21"/>
          <w:lang w:val="es-CO"/>
        </w:rPr>
        <w:t>, tanto en el ámbito del hogar como intra-hospitalario</w:t>
      </w:r>
      <w:r w:rsidR="00D63B39" w:rsidRPr="0022109F">
        <w:rPr>
          <w:rFonts w:cs="Times New Roman"/>
          <w:sz w:val="21"/>
          <w:lang w:val="es-CO"/>
        </w:rPr>
        <w:t>.</w:t>
      </w:r>
    </w:p>
    <w:p w14:paraId="637A898B" w14:textId="77777777" w:rsidR="00D63B39" w:rsidRPr="00720146" w:rsidRDefault="00D63B39" w:rsidP="00285C40">
      <w:pPr>
        <w:jc w:val="both"/>
        <w:rPr>
          <w:rFonts w:cs="Times New Roman"/>
          <w:sz w:val="21"/>
          <w:lang w:val="es-CO"/>
        </w:rPr>
      </w:pPr>
    </w:p>
    <w:p w14:paraId="6EFB8936" w14:textId="77777777" w:rsidR="00164755" w:rsidRPr="00720146" w:rsidRDefault="00164755" w:rsidP="0018231D">
      <w:pPr>
        <w:jc w:val="both"/>
        <w:rPr>
          <w:b/>
          <w:lang w:val="es-CO"/>
        </w:rPr>
      </w:pPr>
      <w:r w:rsidRPr="008C014E">
        <w:rPr>
          <w:b/>
          <w:lang w:val="es-CO"/>
        </w:rPr>
        <w:t>Enfoque y m</w:t>
      </w:r>
      <w:r w:rsidRPr="00720146">
        <w:rPr>
          <w:b/>
          <w:lang w:val="es-CO"/>
        </w:rPr>
        <w:t>etodología</w:t>
      </w:r>
    </w:p>
    <w:p w14:paraId="42CBD627" w14:textId="77777777" w:rsidR="00FD3315" w:rsidRPr="00101D3A" w:rsidRDefault="00FD3315" w:rsidP="0018231D">
      <w:pPr>
        <w:jc w:val="both"/>
        <w:rPr>
          <w:lang w:val="es-CO"/>
        </w:rPr>
      </w:pPr>
      <w:r w:rsidRPr="008C014E">
        <w:rPr>
          <w:lang w:val="es-CO"/>
        </w:rPr>
        <w:t xml:space="preserve">La evaluación diseñó y aplicó una serie de </w:t>
      </w:r>
      <w:r w:rsidR="0018231D" w:rsidRPr="008C014E">
        <w:rPr>
          <w:lang w:val="es-CO"/>
        </w:rPr>
        <w:t xml:space="preserve">instrumentos </w:t>
      </w:r>
      <w:r w:rsidRPr="008C014E">
        <w:rPr>
          <w:lang w:val="es-CO"/>
        </w:rPr>
        <w:t xml:space="preserve">para </w:t>
      </w:r>
      <w:r w:rsidR="00D63B39" w:rsidRPr="00101D3A">
        <w:rPr>
          <w:lang w:val="es-CO"/>
        </w:rPr>
        <w:t xml:space="preserve">la </w:t>
      </w:r>
      <w:r w:rsidR="0018231D" w:rsidRPr="00101D3A">
        <w:rPr>
          <w:lang w:val="es-CO"/>
        </w:rPr>
        <w:t xml:space="preserve">recolección de información </w:t>
      </w:r>
      <w:r w:rsidRPr="00720146">
        <w:rPr>
          <w:lang w:val="es-CO"/>
        </w:rPr>
        <w:t>cualitativa,</w:t>
      </w:r>
      <w:r w:rsidRPr="008C014E">
        <w:rPr>
          <w:lang w:val="es-CO"/>
        </w:rPr>
        <w:t xml:space="preserve"> </w:t>
      </w:r>
      <w:r w:rsidR="00D63B39" w:rsidRPr="008C014E">
        <w:rPr>
          <w:lang w:val="es-CO"/>
        </w:rPr>
        <w:t>así como el análisis de datos c</w:t>
      </w:r>
      <w:r w:rsidR="00D63B39" w:rsidRPr="00720146">
        <w:rPr>
          <w:lang w:val="es-CO"/>
        </w:rPr>
        <w:t>uantitativos</w:t>
      </w:r>
      <w:r w:rsidR="00D63B39" w:rsidRPr="008C014E">
        <w:rPr>
          <w:lang w:val="es-CO"/>
        </w:rPr>
        <w:t xml:space="preserve"> disponibles, </w:t>
      </w:r>
      <w:r w:rsidRPr="008C014E">
        <w:rPr>
          <w:lang w:val="es-CO"/>
        </w:rPr>
        <w:t xml:space="preserve">con el fin de </w:t>
      </w:r>
      <w:r w:rsidR="0018231D" w:rsidRPr="008C014E">
        <w:rPr>
          <w:lang w:val="es-CO"/>
        </w:rPr>
        <w:t>indagar la forma en la cual las instrucciones contenidas en la Resolución</w:t>
      </w:r>
      <w:r w:rsidRPr="00101D3A">
        <w:rPr>
          <w:lang w:val="es-CO"/>
        </w:rPr>
        <w:t xml:space="preserve"> 5406 de 2015</w:t>
      </w:r>
      <w:r w:rsidR="0018231D" w:rsidRPr="00101D3A">
        <w:rPr>
          <w:lang w:val="es-CO"/>
        </w:rPr>
        <w:t xml:space="preserve">, de la cual el Lineamiento es parte integral, son aplicadas en los municipios objeto de esta evaluación. De esta manera, </w:t>
      </w:r>
      <w:r w:rsidR="009321D7" w:rsidRPr="00101D3A">
        <w:rPr>
          <w:lang w:val="es-CO"/>
        </w:rPr>
        <w:t xml:space="preserve">se busca </w:t>
      </w:r>
      <w:r w:rsidR="0018231D" w:rsidRPr="00720146">
        <w:rPr>
          <w:lang w:val="es-CO"/>
        </w:rPr>
        <w:t>caracterizar las brechas en la implementación</w:t>
      </w:r>
      <w:r w:rsidR="0018231D" w:rsidRPr="008C014E">
        <w:rPr>
          <w:lang w:val="es-CO"/>
        </w:rPr>
        <w:t xml:space="preserve"> de la Resolución y conocer los logros, retos y lecciones aprendidas de los actores del sistema de salud en los</w:t>
      </w:r>
      <w:r w:rsidR="0018231D" w:rsidRPr="00101D3A">
        <w:rPr>
          <w:lang w:val="es-CO"/>
        </w:rPr>
        <w:t xml:space="preserve"> municipios evaluados. </w:t>
      </w:r>
      <w:r w:rsidR="009321D7" w:rsidRPr="00101D3A">
        <w:rPr>
          <w:lang w:val="es-CO"/>
        </w:rPr>
        <w:t xml:space="preserve"> </w:t>
      </w:r>
    </w:p>
    <w:p w14:paraId="20E3619F" w14:textId="77777777" w:rsidR="00FD3315" w:rsidRPr="008A61FD" w:rsidRDefault="00FD3315" w:rsidP="0018231D">
      <w:pPr>
        <w:jc w:val="both"/>
        <w:rPr>
          <w:lang w:val="es-CO"/>
        </w:rPr>
      </w:pPr>
    </w:p>
    <w:p w14:paraId="4E24E73A" w14:textId="77777777" w:rsidR="00FD3315" w:rsidRPr="00101D3A" w:rsidRDefault="005C189B" w:rsidP="0018231D">
      <w:pPr>
        <w:jc w:val="both"/>
        <w:rPr>
          <w:rFonts w:cs="Times New Roman"/>
          <w:bCs/>
          <w:lang w:val="es-CO"/>
        </w:rPr>
      </w:pPr>
      <w:r w:rsidRPr="0022109F">
        <w:rPr>
          <w:rFonts w:cs="Times New Roman"/>
          <w:bCs/>
          <w:lang w:val="es-CO"/>
        </w:rPr>
        <w:t xml:space="preserve">El </w:t>
      </w:r>
      <w:r w:rsidR="009321D7" w:rsidRPr="00720146">
        <w:rPr>
          <w:rFonts w:cs="Times New Roman"/>
          <w:bCs/>
          <w:lang w:val="es-CO"/>
        </w:rPr>
        <w:t>a</w:t>
      </w:r>
      <w:r w:rsidRPr="00720146">
        <w:rPr>
          <w:rFonts w:cs="Times New Roman"/>
          <w:bCs/>
          <w:lang w:val="es-CO"/>
        </w:rPr>
        <w:t xml:space="preserve">nálisis de </w:t>
      </w:r>
      <w:r w:rsidR="009321D7" w:rsidRPr="00720146">
        <w:rPr>
          <w:rFonts w:cs="Times New Roman"/>
          <w:bCs/>
          <w:i/>
          <w:lang w:val="es-CO"/>
        </w:rPr>
        <w:t>costo-e</w:t>
      </w:r>
      <w:r w:rsidRPr="00720146">
        <w:rPr>
          <w:rFonts w:cs="Times New Roman"/>
          <w:bCs/>
          <w:i/>
          <w:lang w:val="es-CO"/>
        </w:rPr>
        <w:t>fectividad</w:t>
      </w:r>
      <w:r w:rsidRPr="00720146">
        <w:rPr>
          <w:rFonts w:cs="Times New Roman"/>
          <w:bCs/>
          <w:lang w:val="es-CO"/>
        </w:rPr>
        <w:t xml:space="preserve"> de la implementación del Lineamiento estima el costo incremental de su implementación y el cambio asociado en unos indicadores seleccionados de efectividad</w:t>
      </w:r>
      <w:r w:rsidRPr="008C014E">
        <w:rPr>
          <w:rFonts w:cs="Times New Roman"/>
          <w:bCs/>
          <w:lang w:val="es-CO"/>
        </w:rPr>
        <w:t xml:space="preserve">, </w:t>
      </w:r>
      <w:r w:rsidR="00023F13" w:rsidRPr="008C014E">
        <w:rPr>
          <w:rFonts w:cs="Times New Roman"/>
          <w:bCs/>
          <w:lang w:val="es-CO"/>
        </w:rPr>
        <w:t>tomando en cuenta</w:t>
      </w:r>
      <w:r w:rsidRPr="008C014E">
        <w:rPr>
          <w:rFonts w:cs="Times New Roman"/>
          <w:bCs/>
          <w:lang w:val="es-CO"/>
        </w:rPr>
        <w:t xml:space="preserve"> el </w:t>
      </w:r>
      <w:r w:rsidRPr="00720146">
        <w:rPr>
          <w:rFonts w:cs="Times New Roman"/>
          <w:bCs/>
          <w:lang w:val="es-CO"/>
        </w:rPr>
        <w:t>manejo en el hogar</w:t>
      </w:r>
      <w:r w:rsidRPr="008C014E">
        <w:rPr>
          <w:rFonts w:cs="Times New Roman"/>
          <w:bCs/>
          <w:lang w:val="es-CO"/>
        </w:rPr>
        <w:t xml:space="preserve"> en el marco de la atención extramural de las I</w:t>
      </w:r>
      <w:r w:rsidR="00FD3315" w:rsidRPr="008C014E">
        <w:rPr>
          <w:rFonts w:cs="Times New Roman"/>
          <w:bCs/>
          <w:lang w:val="es-CO"/>
        </w:rPr>
        <w:t xml:space="preserve">nstituciones Prestadoras de Salud (IPS) </w:t>
      </w:r>
      <w:r w:rsidRPr="008C014E">
        <w:rPr>
          <w:rFonts w:cs="Times New Roman"/>
          <w:bCs/>
          <w:lang w:val="es-CO"/>
        </w:rPr>
        <w:t>de baja complejidad y la atención intrahospitalaria en IPS de mediana/alta complejidad.</w:t>
      </w:r>
      <w:r w:rsidR="00023F13" w:rsidRPr="00101D3A">
        <w:rPr>
          <w:rFonts w:cs="Times New Roman"/>
          <w:bCs/>
          <w:lang w:val="es-CO"/>
        </w:rPr>
        <w:t xml:space="preserve">  El </w:t>
      </w:r>
      <w:r w:rsidR="00023F13" w:rsidRPr="00720146">
        <w:rPr>
          <w:rFonts w:cs="Times New Roman"/>
          <w:bCs/>
          <w:lang w:val="es-CO"/>
        </w:rPr>
        <w:t>indicador de efectividad</w:t>
      </w:r>
      <w:r w:rsidR="00023F13" w:rsidRPr="008C014E">
        <w:rPr>
          <w:rFonts w:cs="Times New Roman"/>
          <w:bCs/>
          <w:lang w:val="es-CO"/>
        </w:rPr>
        <w:t xml:space="preserve"> seleccionado fue el de </w:t>
      </w:r>
      <w:r w:rsidR="00023F13" w:rsidRPr="00720146">
        <w:rPr>
          <w:rFonts w:cs="Times New Roman"/>
          <w:bCs/>
          <w:i/>
          <w:lang w:val="es-CO"/>
        </w:rPr>
        <w:t>Años de Vida Ajustados por Discapacidad</w:t>
      </w:r>
      <w:r w:rsidR="00023F13" w:rsidRPr="00720146">
        <w:rPr>
          <w:rFonts w:cs="Times New Roman"/>
          <w:bCs/>
          <w:lang w:val="es-CO"/>
        </w:rPr>
        <w:t xml:space="preserve"> – AVAD.</w:t>
      </w:r>
      <w:r w:rsidR="00E3278C" w:rsidRPr="008C014E">
        <w:rPr>
          <w:rStyle w:val="FootnoteReference"/>
          <w:rFonts w:cs="Times New Roman"/>
          <w:bCs/>
          <w:lang w:val="es-CO"/>
        </w:rPr>
        <w:footnoteReference w:id="3"/>
      </w:r>
      <w:r w:rsidR="00023F13" w:rsidRPr="008C014E">
        <w:rPr>
          <w:rFonts w:cs="Times New Roman"/>
          <w:bCs/>
          <w:lang w:val="es-CO"/>
        </w:rPr>
        <w:t xml:space="preserve">  Para efectos de esta evaluación, se consideraron solamente los AVAD por mortalidad, ya que </w:t>
      </w:r>
      <w:r w:rsidR="00023F13" w:rsidRPr="00720146">
        <w:rPr>
          <w:rFonts w:cs="Times New Roman"/>
          <w:bCs/>
          <w:lang w:val="es-CO"/>
        </w:rPr>
        <w:t>no se asumía un efecto sobre la morbilidad</w:t>
      </w:r>
      <w:r w:rsidR="00023F13" w:rsidRPr="008C014E">
        <w:rPr>
          <w:rFonts w:cs="Times New Roman"/>
          <w:bCs/>
          <w:lang w:val="es-CO"/>
        </w:rPr>
        <w:t>, pues se trata de un Lineamiento para el manejo de la desnutrición y no para su prevención.</w:t>
      </w:r>
    </w:p>
    <w:p w14:paraId="78C78D6F" w14:textId="77777777" w:rsidR="00FD3315" w:rsidRPr="008A61FD" w:rsidRDefault="00FD3315" w:rsidP="0018231D">
      <w:pPr>
        <w:jc w:val="both"/>
        <w:rPr>
          <w:rFonts w:cs="Times New Roman"/>
          <w:bCs/>
          <w:lang w:val="es-CO"/>
        </w:rPr>
      </w:pPr>
    </w:p>
    <w:p w14:paraId="1A89D4B6" w14:textId="77777777" w:rsidR="005C189B" w:rsidRPr="00720146" w:rsidRDefault="00FD3315" w:rsidP="0018231D">
      <w:pPr>
        <w:jc w:val="both"/>
        <w:rPr>
          <w:rFonts w:cs="Times New Roman"/>
          <w:bCs/>
          <w:lang w:val="es-CO"/>
        </w:rPr>
      </w:pPr>
      <w:r w:rsidRPr="0022109F">
        <w:rPr>
          <w:rFonts w:cs="Times New Roman"/>
          <w:bCs/>
          <w:lang w:val="es-CO"/>
        </w:rPr>
        <w:t>Por su part</w:t>
      </w:r>
      <w:r w:rsidRPr="00720146">
        <w:rPr>
          <w:rFonts w:cs="Times New Roman"/>
          <w:bCs/>
          <w:lang w:val="es-CO"/>
        </w:rPr>
        <w:t xml:space="preserve">e, </w:t>
      </w:r>
      <w:r w:rsidRPr="00720146">
        <w:rPr>
          <w:lang w:val="es-CO"/>
        </w:rPr>
        <w:t xml:space="preserve">el análisis de la </w:t>
      </w:r>
      <w:r w:rsidRPr="00720146">
        <w:rPr>
          <w:i/>
          <w:lang w:val="es-CO"/>
        </w:rPr>
        <w:t>adherencia</w:t>
      </w:r>
      <w:r w:rsidRPr="008C014E">
        <w:rPr>
          <w:lang w:val="es-CO"/>
        </w:rPr>
        <w:t xml:space="preserve"> del Lineamiento se propone examinar el grado de </w:t>
      </w:r>
      <w:r w:rsidRPr="00720146">
        <w:rPr>
          <w:lang w:val="es-CO"/>
        </w:rPr>
        <w:t>apropiación y aceptación de sus contenidos y recomendaciones</w:t>
      </w:r>
      <w:r w:rsidRPr="008C014E">
        <w:rPr>
          <w:lang w:val="es-CO"/>
        </w:rPr>
        <w:t>, por parte de los trabajadores de las instituciones prestadoras de servicios de salud, así como de los padres, ma</w:t>
      </w:r>
      <w:r w:rsidRPr="00101D3A">
        <w:rPr>
          <w:lang w:val="es-CO"/>
        </w:rPr>
        <w:t xml:space="preserve">dres y/o cuidadores de los niños con desnutrición aguda.  La adherencia también estudia los cambios en los procesos por parte de las </w:t>
      </w:r>
      <w:r w:rsidR="00D63B39" w:rsidRPr="008A61FD">
        <w:rPr>
          <w:rFonts w:cs="Times New Roman"/>
          <w:sz w:val="21"/>
          <w:lang w:val="es-CO"/>
        </w:rPr>
        <w:t>Empresas administradoras de planes de beneficio</w:t>
      </w:r>
      <w:r w:rsidR="00D63B39" w:rsidRPr="0022109F">
        <w:rPr>
          <w:b/>
          <w:sz w:val="21"/>
          <w:lang w:val="es-CO"/>
        </w:rPr>
        <w:t xml:space="preserve"> (</w:t>
      </w:r>
      <w:r w:rsidR="00651911" w:rsidRPr="00720146">
        <w:rPr>
          <w:sz w:val="21"/>
          <w:lang w:val="es-CO"/>
        </w:rPr>
        <w:t>en adelante,</w:t>
      </w:r>
      <w:r w:rsidR="00651911" w:rsidRPr="00720146">
        <w:rPr>
          <w:b/>
          <w:sz w:val="21"/>
          <w:lang w:val="es-CO"/>
        </w:rPr>
        <w:t xml:space="preserve"> </w:t>
      </w:r>
      <w:r w:rsidR="00D63B39" w:rsidRPr="00720146">
        <w:rPr>
          <w:rFonts w:eastAsia="Times New Roman"/>
          <w:lang w:val="es-CO"/>
        </w:rPr>
        <w:t xml:space="preserve">EAPB) </w:t>
      </w:r>
      <w:r w:rsidRPr="00720146">
        <w:rPr>
          <w:lang w:val="es-CO"/>
        </w:rPr>
        <w:t>y las entidades territoriales frente a las órdenes de la Resolución 5406 de 2015.</w:t>
      </w:r>
    </w:p>
    <w:p w14:paraId="34B2077C" w14:textId="77777777" w:rsidR="005C189B" w:rsidRPr="00720146" w:rsidRDefault="005C189B" w:rsidP="0018231D">
      <w:pPr>
        <w:jc w:val="both"/>
        <w:rPr>
          <w:rFonts w:cs="Times New Roman"/>
          <w:bCs/>
          <w:lang w:val="es-CO"/>
        </w:rPr>
      </w:pPr>
    </w:p>
    <w:p w14:paraId="2CD5F0D2" w14:textId="77777777" w:rsidR="00164755" w:rsidRPr="00720146" w:rsidRDefault="00164755" w:rsidP="00D63B39">
      <w:pPr>
        <w:jc w:val="both"/>
        <w:rPr>
          <w:b/>
          <w:lang w:val="es-CO"/>
        </w:rPr>
      </w:pPr>
      <w:r w:rsidRPr="00720146">
        <w:rPr>
          <w:b/>
          <w:lang w:val="es-CO"/>
        </w:rPr>
        <w:t>Hallazgos</w:t>
      </w:r>
    </w:p>
    <w:p w14:paraId="26847AC9" w14:textId="77777777" w:rsidR="00286A88" w:rsidRPr="008A61FD" w:rsidRDefault="005C189B" w:rsidP="00D63B39">
      <w:pPr>
        <w:jc w:val="both"/>
        <w:rPr>
          <w:lang w:val="es-CO"/>
        </w:rPr>
      </w:pPr>
      <w:r w:rsidRPr="008C014E">
        <w:rPr>
          <w:lang w:val="es-CO"/>
        </w:rPr>
        <w:t xml:space="preserve">La </w:t>
      </w:r>
      <w:r w:rsidR="009321D7" w:rsidRPr="008C014E">
        <w:rPr>
          <w:lang w:val="es-CO"/>
        </w:rPr>
        <w:t xml:space="preserve">presente evaluación permite concluir que la </w:t>
      </w:r>
      <w:r w:rsidRPr="008C014E">
        <w:rPr>
          <w:lang w:val="es-CO"/>
        </w:rPr>
        <w:t xml:space="preserve">implementación del Lineamiento en los municipios analizados </w:t>
      </w:r>
      <w:r w:rsidR="009321D7" w:rsidRPr="008C014E">
        <w:rPr>
          <w:lang w:val="es-CO"/>
        </w:rPr>
        <w:t xml:space="preserve">es </w:t>
      </w:r>
      <w:r w:rsidRPr="00720146">
        <w:rPr>
          <w:lang w:val="es-CO"/>
        </w:rPr>
        <w:t>una intervención costo-efectiva en cada uno de los indicadores de efectividad utilizados</w:t>
      </w:r>
      <w:r w:rsidRPr="008C014E">
        <w:rPr>
          <w:lang w:val="es-CO"/>
        </w:rPr>
        <w:t>.</w:t>
      </w:r>
      <w:r w:rsidR="00D63B39" w:rsidRPr="008C014E">
        <w:rPr>
          <w:lang w:val="es-CO"/>
        </w:rPr>
        <w:t xml:space="preserve"> De acuerdo con la metodología aplicada, </w:t>
      </w:r>
      <w:r w:rsidR="00D63B39" w:rsidRPr="00720146">
        <w:rPr>
          <w:lang w:val="es-CO"/>
        </w:rPr>
        <w:t>la aplicación del lineamiento genera una disminución en los costos totales de atención</w:t>
      </w:r>
      <w:r w:rsidR="00D63B39" w:rsidRPr="008C014E">
        <w:rPr>
          <w:lang w:val="es-CO"/>
        </w:rPr>
        <w:t xml:space="preserve">, debido a la </w:t>
      </w:r>
      <w:r w:rsidR="00D63B39" w:rsidRPr="00720146">
        <w:rPr>
          <w:lang w:val="es-CO"/>
        </w:rPr>
        <w:t>disminución en la tasa de atención intrahospitalaria</w:t>
      </w:r>
      <w:r w:rsidR="00D63B39" w:rsidRPr="008C014E">
        <w:rPr>
          <w:lang w:val="es-CO"/>
        </w:rPr>
        <w:t xml:space="preserve">.  Esta reducción logra contrarrestar el eventual aumento en el costo que implica </w:t>
      </w:r>
      <w:r w:rsidR="00D63B39" w:rsidRPr="00101D3A">
        <w:rPr>
          <w:lang w:val="es-CO"/>
        </w:rPr>
        <w:t xml:space="preserve">el tratamiento según el lineamiento, particularmente en el manejo en el hogar.  </w:t>
      </w:r>
    </w:p>
    <w:p w14:paraId="43674A56" w14:textId="77777777" w:rsidR="00286A88" w:rsidRPr="0022109F" w:rsidRDefault="00286A88" w:rsidP="00D63B39">
      <w:pPr>
        <w:jc w:val="both"/>
        <w:rPr>
          <w:lang w:val="es-CO"/>
        </w:rPr>
      </w:pPr>
    </w:p>
    <w:p w14:paraId="6C9B8C7F" w14:textId="77777777" w:rsidR="00286A88" w:rsidRPr="008C014E" w:rsidRDefault="00286A88" w:rsidP="00D63B39">
      <w:pPr>
        <w:jc w:val="both"/>
        <w:rPr>
          <w:rFonts w:cs="Times New Roman"/>
          <w:bCs/>
          <w:lang w:val="es-CO"/>
        </w:rPr>
      </w:pPr>
      <w:r w:rsidRPr="00720146">
        <w:rPr>
          <w:rFonts w:cs="Times New Roman"/>
          <w:bCs/>
          <w:lang w:val="es-CO"/>
        </w:rPr>
        <w:t>En particular, se estima que la implementación del Lineamiento recuperaría a 66 niños y evitaría la pérdida de 147 años de vida ajustados por discapacidad (AVAD). Adicionalmente, se encuentra que generaría un ahorro respecto al escenario sin lineamiento.</w:t>
      </w:r>
      <w:r w:rsidRPr="008C014E">
        <w:rPr>
          <w:rFonts w:cs="Times New Roman"/>
          <w:bCs/>
          <w:lang w:val="es-CO"/>
        </w:rPr>
        <w:t xml:space="preserve"> Finalmente, la razón costo efectividad </w:t>
      </w:r>
      <w:r w:rsidRPr="008C014E">
        <w:rPr>
          <w:rFonts w:cs="Times New Roman"/>
          <w:bCs/>
          <w:lang w:val="es-CO"/>
        </w:rPr>
        <w:lastRenderedPageBreak/>
        <w:t>incremental (RCEI) para cada uno de los indicadores de efectividad m</w:t>
      </w:r>
      <w:r w:rsidRPr="00101D3A">
        <w:rPr>
          <w:rFonts w:cs="Times New Roman"/>
          <w:bCs/>
          <w:lang w:val="es-CO"/>
        </w:rPr>
        <w:t>uestran importantes ahorros</w:t>
      </w:r>
      <w:r w:rsidRPr="008B49A7">
        <w:rPr>
          <w:rFonts w:cs="Times New Roman"/>
          <w:bCs/>
          <w:lang w:val="es-CO"/>
        </w:rPr>
        <w:t xml:space="preserve"> </w:t>
      </w:r>
      <w:r w:rsidRPr="008A61FD">
        <w:rPr>
          <w:rFonts w:cs="Times New Roman"/>
          <w:bCs/>
          <w:lang w:val="es-CO"/>
        </w:rPr>
        <w:t>por cada niño recuperado, mejorado y AVA</w:t>
      </w:r>
      <w:r w:rsidRPr="0022109F">
        <w:rPr>
          <w:rFonts w:cs="Times New Roman"/>
          <w:bCs/>
          <w:lang w:val="es-CO"/>
        </w:rPr>
        <w:t xml:space="preserve">D </w:t>
      </w:r>
      <w:r w:rsidRPr="00720146">
        <w:rPr>
          <w:rFonts w:cs="Times New Roman"/>
          <w:bCs/>
          <w:lang w:val="es-CO"/>
        </w:rPr>
        <w:t>ganado respectivamente.</w:t>
      </w:r>
    </w:p>
    <w:p w14:paraId="2669DA60" w14:textId="77777777" w:rsidR="00D63B39" w:rsidRPr="00101D3A" w:rsidRDefault="00D63B39" w:rsidP="00D63B39">
      <w:pPr>
        <w:jc w:val="both"/>
        <w:rPr>
          <w:lang w:val="es-CO"/>
        </w:rPr>
      </w:pPr>
    </w:p>
    <w:p w14:paraId="45EB60A1" w14:textId="32000906" w:rsidR="004F3AF5" w:rsidRPr="008C014E" w:rsidRDefault="009321D7" w:rsidP="004F3AF5">
      <w:pPr>
        <w:jc w:val="both"/>
        <w:rPr>
          <w:lang w:val="es-CO"/>
        </w:rPr>
      </w:pPr>
      <w:r w:rsidRPr="008C014E">
        <w:rPr>
          <w:lang w:val="es-CO"/>
        </w:rPr>
        <w:t xml:space="preserve">A su vez, </w:t>
      </w:r>
      <w:r w:rsidR="00A5779F" w:rsidRPr="008C014E">
        <w:rPr>
          <w:lang w:val="es-CO"/>
        </w:rPr>
        <w:t xml:space="preserve">el análisis de </w:t>
      </w:r>
      <w:r w:rsidRPr="008C014E">
        <w:rPr>
          <w:lang w:val="es-CO"/>
        </w:rPr>
        <w:t>la información disponible</w:t>
      </w:r>
      <w:r w:rsidR="001752D9" w:rsidRPr="008C014E">
        <w:rPr>
          <w:rStyle w:val="FootnoteReference"/>
          <w:lang w:val="es-CO"/>
        </w:rPr>
        <w:footnoteReference w:id="4"/>
      </w:r>
      <w:r w:rsidRPr="008C014E">
        <w:rPr>
          <w:lang w:val="es-CO"/>
        </w:rPr>
        <w:t xml:space="preserve"> </w:t>
      </w:r>
      <w:r w:rsidR="007877F8" w:rsidRPr="008C014E">
        <w:rPr>
          <w:lang w:val="es-CO"/>
        </w:rPr>
        <w:t xml:space="preserve">permite afirmar </w:t>
      </w:r>
      <w:r w:rsidRPr="008C014E">
        <w:rPr>
          <w:lang w:val="es-CO"/>
        </w:rPr>
        <w:t xml:space="preserve">que </w:t>
      </w:r>
      <w:r w:rsidRPr="00720146">
        <w:rPr>
          <w:lang w:val="es-CO"/>
        </w:rPr>
        <w:t xml:space="preserve">el Lineamiento </w:t>
      </w:r>
      <w:r w:rsidR="00A5779F" w:rsidRPr="00720146">
        <w:rPr>
          <w:lang w:val="es-CO"/>
        </w:rPr>
        <w:t xml:space="preserve">muestra una </w:t>
      </w:r>
      <w:r w:rsidR="00D63B39" w:rsidRPr="00720146">
        <w:rPr>
          <w:lang w:val="es-CO"/>
        </w:rPr>
        <w:t xml:space="preserve">adherencia </w:t>
      </w:r>
      <w:r w:rsidR="00A5779F" w:rsidRPr="00720146">
        <w:rPr>
          <w:lang w:val="es-CO"/>
        </w:rPr>
        <w:t xml:space="preserve">“mixta” </w:t>
      </w:r>
      <w:r w:rsidR="00E3278C" w:rsidRPr="00720146">
        <w:rPr>
          <w:lang w:val="es-CO"/>
        </w:rPr>
        <w:t>o desigual</w:t>
      </w:r>
      <w:r w:rsidR="00E3278C" w:rsidRPr="008C014E">
        <w:rPr>
          <w:lang w:val="es-CO"/>
        </w:rPr>
        <w:t xml:space="preserve">.  </w:t>
      </w:r>
      <w:r w:rsidR="00A5779F" w:rsidRPr="008C014E">
        <w:rPr>
          <w:lang w:val="es-CO"/>
        </w:rPr>
        <w:t xml:space="preserve">Por una parte, </w:t>
      </w:r>
      <w:r w:rsidRPr="008C014E">
        <w:rPr>
          <w:lang w:val="es-CO"/>
        </w:rPr>
        <w:t>el tratamiento ambulatorio en zona</w:t>
      </w:r>
      <w:r w:rsidR="00D63B39" w:rsidRPr="00101D3A">
        <w:rPr>
          <w:lang w:val="es-CO"/>
        </w:rPr>
        <w:t>s</w:t>
      </w:r>
      <w:r w:rsidRPr="00101D3A">
        <w:rPr>
          <w:lang w:val="es-CO"/>
        </w:rPr>
        <w:t xml:space="preserve"> rural</w:t>
      </w:r>
      <w:r w:rsidR="00D63B39" w:rsidRPr="00101D3A">
        <w:rPr>
          <w:lang w:val="es-CO"/>
        </w:rPr>
        <w:t>es</w:t>
      </w:r>
      <w:r w:rsidRPr="00101D3A">
        <w:rPr>
          <w:lang w:val="es-CO"/>
        </w:rPr>
        <w:t xml:space="preserve"> dispersa</w:t>
      </w:r>
      <w:r w:rsidR="00D63B39" w:rsidRPr="008B49A7">
        <w:rPr>
          <w:lang w:val="es-CO"/>
        </w:rPr>
        <w:t>s,</w:t>
      </w:r>
      <w:r w:rsidRPr="008A61FD">
        <w:rPr>
          <w:lang w:val="es-CO"/>
        </w:rPr>
        <w:t xml:space="preserve"> donde el Ministerio de Salu</w:t>
      </w:r>
      <w:r w:rsidRPr="0022109F">
        <w:rPr>
          <w:lang w:val="es-CO"/>
        </w:rPr>
        <w:t xml:space="preserve">d </w:t>
      </w:r>
      <w:r w:rsidRPr="00720146">
        <w:rPr>
          <w:lang w:val="es-CO"/>
        </w:rPr>
        <w:t xml:space="preserve">y Protección Social (MSPS) </w:t>
      </w:r>
      <w:r w:rsidR="00D63B39" w:rsidRPr="00720146">
        <w:rPr>
          <w:lang w:val="es-CO"/>
        </w:rPr>
        <w:t xml:space="preserve">implementa </w:t>
      </w:r>
      <w:r w:rsidRPr="00720146">
        <w:rPr>
          <w:lang w:val="es-CO"/>
        </w:rPr>
        <w:t xml:space="preserve">el Programa </w:t>
      </w:r>
      <w:r w:rsidRPr="00720146">
        <w:rPr>
          <w:rFonts w:cs="Times New Roman"/>
          <w:sz w:val="21"/>
          <w:lang w:val="es-CO"/>
        </w:rPr>
        <w:t>de Atención Integral en Salud y Nut</w:t>
      </w:r>
      <w:r w:rsidR="001752D9" w:rsidRPr="00720146">
        <w:rPr>
          <w:rFonts w:cs="Times New Roman"/>
          <w:sz w:val="21"/>
          <w:lang w:val="es-CO"/>
        </w:rPr>
        <w:t>rición con Enfoque Comunitario,</w:t>
      </w:r>
      <w:r w:rsidRPr="00720146">
        <w:rPr>
          <w:rFonts w:cs="Times New Roman"/>
          <w:sz w:val="21"/>
          <w:lang w:val="es-CO"/>
        </w:rPr>
        <w:t xml:space="preserve"> en la Alta Guajira</w:t>
      </w:r>
      <w:r w:rsidR="00A5779F" w:rsidRPr="00720146">
        <w:rPr>
          <w:lang w:val="es-CO"/>
        </w:rPr>
        <w:t>, la adherencia tiende a ser alta</w:t>
      </w:r>
      <w:r w:rsidR="004F3AF5" w:rsidRPr="00720146">
        <w:rPr>
          <w:lang w:val="es-CO"/>
        </w:rPr>
        <w:t xml:space="preserve">.  En efecto, la mejor atención ambulatoria para los niños y niñas menores de cinco años diagnosticados con desnutrición aguda en las zonas rurales dispersas de los municipios objeto de esta evaluación fue la prestada por los grupos extramurales del Programa de salud y nutrición del MSPS.  Así mismo, la Resolución que contiene el Lineamiento propició un mejoramiento </w:t>
      </w:r>
      <w:r w:rsidR="00E3278C" w:rsidRPr="00720146">
        <w:rPr>
          <w:lang w:val="es-CO"/>
        </w:rPr>
        <w:t xml:space="preserve">parcial </w:t>
      </w:r>
      <w:r w:rsidR="004F3AF5" w:rsidRPr="00720146">
        <w:rPr>
          <w:lang w:val="es-CO"/>
        </w:rPr>
        <w:t>en los procesos de reporte, seguimiento e implementación para la atención a los niños y niñas con desnutrición aguda.</w:t>
      </w:r>
    </w:p>
    <w:p w14:paraId="71E6CC76" w14:textId="77777777" w:rsidR="00E3278C" w:rsidRPr="00101D3A" w:rsidRDefault="00E3278C" w:rsidP="004F3AF5">
      <w:pPr>
        <w:jc w:val="both"/>
        <w:rPr>
          <w:lang w:val="es-CO"/>
        </w:rPr>
      </w:pPr>
    </w:p>
    <w:p w14:paraId="3E3ED21D" w14:textId="77777777" w:rsidR="006E2C79" w:rsidRPr="00720146" w:rsidRDefault="007877F8" w:rsidP="006E2C79">
      <w:pPr>
        <w:jc w:val="both"/>
        <w:rPr>
          <w:rFonts w:eastAsia="Times New Roman"/>
          <w:lang w:val="es-CO"/>
        </w:rPr>
      </w:pPr>
      <w:r w:rsidRPr="00101D3A">
        <w:rPr>
          <w:rFonts w:eastAsia="Times New Roman"/>
          <w:lang w:val="es-CO"/>
        </w:rPr>
        <w:t>No obstante, e</w:t>
      </w:r>
      <w:r w:rsidR="001D61C3" w:rsidRPr="00101D3A">
        <w:rPr>
          <w:rFonts w:eastAsia="Times New Roman"/>
          <w:lang w:val="es-CO"/>
        </w:rPr>
        <w:t xml:space="preserve">l Lineamiento tiene </w:t>
      </w:r>
      <w:r w:rsidR="001D61C3" w:rsidRPr="00720146">
        <w:rPr>
          <w:rFonts w:eastAsia="Times New Roman"/>
          <w:lang w:val="es-CO"/>
        </w:rPr>
        <w:t>una adherencia incompleta entre los prestadores de salud y los cuidadores</w:t>
      </w:r>
      <w:r w:rsidR="001D61C3" w:rsidRPr="008C014E">
        <w:rPr>
          <w:rFonts w:eastAsia="Times New Roman"/>
          <w:lang w:val="es-CO"/>
        </w:rPr>
        <w:t xml:space="preserve"> de los niños diagnosticados con desnutrición aguda que son </w:t>
      </w:r>
      <w:r w:rsidR="001D61C3" w:rsidRPr="00720146">
        <w:rPr>
          <w:rFonts w:eastAsia="Times New Roman"/>
          <w:lang w:val="es-CO"/>
        </w:rPr>
        <w:t>atendidos por las EAPB</w:t>
      </w:r>
      <w:r w:rsidR="001D61C3" w:rsidRPr="008C014E">
        <w:rPr>
          <w:rFonts w:eastAsia="Times New Roman"/>
          <w:lang w:val="es-CO"/>
        </w:rPr>
        <w:t xml:space="preserve"> y su red prestadora en las zonas urbanas y rurales de los municipios objeto de esta evaluación. </w:t>
      </w:r>
      <w:r w:rsidR="00E3278C" w:rsidRPr="00101D3A">
        <w:rPr>
          <w:rFonts w:eastAsia="Times New Roman"/>
          <w:lang w:val="es-CO"/>
        </w:rPr>
        <w:t xml:space="preserve"> </w:t>
      </w:r>
      <w:r w:rsidR="001D61C3" w:rsidRPr="00101D3A">
        <w:rPr>
          <w:rFonts w:eastAsia="Times New Roman"/>
          <w:lang w:val="es-CO"/>
        </w:rPr>
        <w:t xml:space="preserve">Las </w:t>
      </w:r>
      <w:r w:rsidR="00E3278C" w:rsidRPr="00101D3A">
        <w:rPr>
          <w:rFonts w:eastAsia="Times New Roman"/>
          <w:lang w:val="es-CO"/>
        </w:rPr>
        <w:t xml:space="preserve">instrucciones </w:t>
      </w:r>
      <w:r w:rsidR="001D61C3" w:rsidRPr="00101D3A">
        <w:rPr>
          <w:rFonts w:eastAsia="Times New Roman"/>
          <w:lang w:val="es-CO"/>
        </w:rPr>
        <w:t xml:space="preserve">de la Resolución y los protocolos del Lineamiento </w:t>
      </w:r>
      <w:r w:rsidR="001D61C3" w:rsidRPr="00720146">
        <w:rPr>
          <w:rFonts w:eastAsia="Times New Roman"/>
          <w:lang w:val="es-CO"/>
        </w:rPr>
        <w:t xml:space="preserve">no </w:t>
      </w:r>
      <w:r w:rsidR="00E3278C" w:rsidRPr="00720146">
        <w:rPr>
          <w:rFonts w:eastAsia="Times New Roman"/>
          <w:lang w:val="es-CO"/>
        </w:rPr>
        <w:t xml:space="preserve">se implementan por completo </w:t>
      </w:r>
      <w:r w:rsidR="001D61C3" w:rsidRPr="00720146">
        <w:rPr>
          <w:rFonts w:eastAsia="Times New Roman"/>
          <w:lang w:val="es-CO"/>
        </w:rPr>
        <w:t>en los procesos de las EAPB</w:t>
      </w:r>
      <w:r w:rsidR="001D61C3" w:rsidRPr="008C014E">
        <w:rPr>
          <w:rFonts w:eastAsia="Times New Roman"/>
          <w:lang w:val="es-CO"/>
        </w:rPr>
        <w:t xml:space="preserve"> que operan en los municipios evaluados.</w:t>
      </w:r>
      <w:r w:rsidR="00A8308C" w:rsidRPr="008C014E">
        <w:rPr>
          <w:rFonts w:eastAsia="Times New Roman"/>
          <w:lang w:val="es-CO"/>
        </w:rPr>
        <w:t xml:space="preserve"> </w:t>
      </w:r>
      <w:r w:rsidR="006E2C79" w:rsidRPr="008C014E">
        <w:rPr>
          <w:rFonts w:eastAsia="Times New Roman"/>
          <w:lang w:val="es-CO"/>
        </w:rPr>
        <w:t xml:space="preserve"> </w:t>
      </w:r>
      <w:r w:rsidR="004F3AF5" w:rsidRPr="00101D3A">
        <w:rPr>
          <w:rFonts w:eastAsia="Times New Roman"/>
          <w:lang w:val="es-CO"/>
        </w:rPr>
        <w:t xml:space="preserve">A su vez, la </w:t>
      </w:r>
      <w:r w:rsidR="00E3278C" w:rsidRPr="00101D3A">
        <w:rPr>
          <w:rFonts w:eastAsia="Times New Roman"/>
          <w:lang w:val="es-CO"/>
        </w:rPr>
        <w:t>apropiación</w:t>
      </w:r>
      <w:r w:rsidR="00A8308C" w:rsidRPr="00101D3A">
        <w:rPr>
          <w:rFonts w:eastAsia="Times New Roman"/>
          <w:lang w:val="es-CO"/>
        </w:rPr>
        <w:t xml:space="preserve"> de </w:t>
      </w:r>
      <w:r w:rsidR="006E2C79" w:rsidRPr="00101D3A">
        <w:rPr>
          <w:rFonts w:eastAsia="Times New Roman"/>
          <w:lang w:val="es-CO"/>
        </w:rPr>
        <w:t xml:space="preserve">la Resolución </w:t>
      </w:r>
      <w:r w:rsidR="00E3278C" w:rsidRPr="008A61FD">
        <w:rPr>
          <w:rFonts w:eastAsia="Times New Roman"/>
          <w:lang w:val="es-CO"/>
        </w:rPr>
        <w:t>por parte de</w:t>
      </w:r>
      <w:r w:rsidR="006E2C79" w:rsidRPr="0022109F">
        <w:rPr>
          <w:rFonts w:eastAsia="Times New Roman"/>
          <w:lang w:val="es-CO"/>
        </w:rPr>
        <w:t xml:space="preserve"> las secretarías de salud departamental y municipal</w:t>
      </w:r>
      <w:r w:rsidR="00A8308C" w:rsidRPr="00720146">
        <w:rPr>
          <w:rFonts w:eastAsia="Times New Roman"/>
          <w:lang w:val="es-CO"/>
        </w:rPr>
        <w:t>, es, todavía, insuficiente</w:t>
      </w:r>
      <w:r w:rsidR="006E2C79" w:rsidRPr="00720146">
        <w:rPr>
          <w:rFonts w:eastAsia="Times New Roman"/>
          <w:lang w:val="es-CO"/>
        </w:rPr>
        <w:t>.</w:t>
      </w:r>
    </w:p>
    <w:p w14:paraId="0B0F7722" w14:textId="77777777" w:rsidR="00925B47" w:rsidRPr="00720146" w:rsidRDefault="00925B47" w:rsidP="006E2C79">
      <w:pPr>
        <w:jc w:val="both"/>
        <w:rPr>
          <w:rFonts w:eastAsia="Times New Roman"/>
          <w:lang w:val="es-CO"/>
        </w:rPr>
      </w:pPr>
    </w:p>
    <w:p w14:paraId="6B5A0999" w14:textId="77777777" w:rsidR="00164755" w:rsidRPr="00720146" w:rsidRDefault="00164755" w:rsidP="005C189B">
      <w:pPr>
        <w:jc w:val="both"/>
        <w:rPr>
          <w:rFonts w:cs="Times New Roman"/>
          <w:b/>
          <w:lang w:val="es-CO"/>
        </w:rPr>
      </w:pPr>
      <w:r w:rsidRPr="00720146">
        <w:rPr>
          <w:rFonts w:cs="Times New Roman"/>
          <w:b/>
          <w:lang w:val="es-CO"/>
        </w:rPr>
        <w:t>Recomendaciones</w:t>
      </w:r>
    </w:p>
    <w:p w14:paraId="782F1FE6" w14:textId="77777777" w:rsidR="00762961" w:rsidRPr="008C014E" w:rsidRDefault="00762961" w:rsidP="005C189B">
      <w:pPr>
        <w:jc w:val="both"/>
        <w:rPr>
          <w:rFonts w:cs="Times New Roman"/>
          <w:lang w:val="es-CO"/>
        </w:rPr>
      </w:pPr>
      <w:r w:rsidRPr="008C014E">
        <w:rPr>
          <w:rFonts w:cs="Times New Roman"/>
          <w:lang w:val="es-CO"/>
        </w:rPr>
        <w:t xml:space="preserve">Los resultados y conclusiones de esta evaluación pemirten </w:t>
      </w:r>
      <w:r w:rsidRPr="00720146">
        <w:rPr>
          <w:rFonts w:cs="Times New Roman"/>
          <w:lang w:val="es-CO"/>
        </w:rPr>
        <w:t>recomendar</w:t>
      </w:r>
      <w:r w:rsidRPr="008C014E">
        <w:rPr>
          <w:rFonts w:cs="Times New Roman"/>
          <w:lang w:val="es-CO"/>
        </w:rPr>
        <w:t xml:space="preserve"> las siguientes acciones entre agentes nacionales y locales del sistema de salud en Colombia.</w:t>
      </w:r>
    </w:p>
    <w:p w14:paraId="42E7BB5B" w14:textId="77777777" w:rsidR="00762961" w:rsidRPr="00101D3A" w:rsidRDefault="00762961" w:rsidP="005C189B">
      <w:pPr>
        <w:jc w:val="both"/>
        <w:rPr>
          <w:rFonts w:cs="Times New Roman"/>
          <w:lang w:val="es-CO"/>
        </w:rPr>
      </w:pPr>
    </w:p>
    <w:p w14:paraId="4F0B7530" w14:textId="77777777" w:rsidR="00762961" w:rsidRPr="0022109F" w:rsidRDefault="00762961" w:rsidP="005C189B">
      <w:pPr>
        <w:jc w:val="both"/>
        <w:rPr>
          <w:rFonts w:cs="Times New Roman"/>
          <w:lang w:val="es-CO"/>
        </w:rPr>
      </w:pPr>
      <w:r w:rsidRPr="00101D3A">
        <w:rPr>
          <w:rFonts w:cs="Times New Roman"/>
          <w:lang w:val="es-CO"/>
        </w:rPr>
        <w:t xml:space="preserve">Para el MSPS, se </w:t>
      </w:r>
      <w:r w:rsidR="0064044E" w:rsidRPr="00101D3A">
        <w:rPr>
          <w:rFonts w:cs="Times New Roman"/>
          <w:lang w:val="es-CO"/>
        </w:rPr>
        <w:t xml:space="preserve">hace </w:t>
      </w:r>
      <w:r w:rsidR="0064044E" w:rsidRPr="00720146">
        <w:rPr>
          <w:rFonts w:cs="Times New Roman"/>
          <w:lang w:val="es-CO"/>
        </w:rPr>
        <w:t>necesario avanzar</w:t>
      </w:r>
      <w:r w:rsidR="0064044E" w:rsidRPr="008C014E">
        <w:rPr>
          <w:rFonts w:cs="Times New Roman"/>
          <w:lang w:val="es-CO"/>
        </w:rPr>
        <w:t xml:space="preserve">, en el corto plazo, </w:t>
      </w:r>
      <w:r w:rsidRPr="008C014E">
        <w:rPr>
          <w:rFonts w:cs="Times New Roman"/>
          <w:lang w:val="es-CO"/>
        </w:rPr>
        <w:t xml:space="preserve">en la </w:t>
      </w:r>
      <w:r w:rsidRPr="00720146">
        <w:rPr>
          <w:rFonts w:cs="Times New Roman"/>
          <w:lang w:val="es-CO"/>
        </w:rPr>
        <w:t xml:space="preserve">construcción de un </w:t>
      </w:r>
      <w:r w:rsidR="003369CE" w:rsidRPr="00720146">
        <w:rPr>
          <w:rFonts w:cs="Times New Roman"/>
          <w:lang w:val="es-CO"/>
        </w:rPr>
        <w:t xml:space="preserve">único </w:t>
      </w:r>
      <w:r w:rsidR="00E3278C" w:rsidRPr="00720146">
        <w:rPr>
          <w:rFonts w:cs="Times New Roman"/>
          <w:lang w:val="es-CO"/>
        </w:rPr>
        <w:t>tablero de control o esquema</w:t>
      </w:r>
      <w:r w:rsidR="004A3C54" w:rsidRPr="00720146">
        <w:rPr>
          <w:rFonts w:cs="Times New Roman"/>
          <w:lang w:val="es-CO"/>
        </w:rPr>
        <w:t>s</w:t>
      </w:r>
      <w:r w:rsidR="00E3278C" w:rsidRPr="00720146">
        <w:rPr>
          <w:rFonts w:cs="Times New Roman"/>
          <w:lang w:val="es-CO"/>
        </w:rPr>
        <w:t xml:space="preserve"> de monitoreo </w:t>
      </w:r>
      <w:r w:rsidR="004A3C54" w:rsidRPr="00720146">
        <w:rPr>
          <w:rFonts w:cs="Times New Roman"/>
          <w:lang w:val="es-CO"/>
        </w:rPr>
        <w:t>alternativos</w:t>
      </w:r>
      <w:r w:rsidR="004A3C54" w:rsidRPr="008C014E">
        <w:rPr>
          <w:rFonts w:cs="Times New Roman"/>
          <w:lang w:val="es-CO"/>
        </w:rPr>
        <w:t xml:space="preserve"> </w:t>
      </w:r>
      <w:r w:rsidR="00E3278C" w:rsidRPr="008C014E">
        <w:rPr>
          <w:rFonts w:cs="Times New Roman"/>
          <w:lang w:val="es-CO"/>
        </w:rPr>
        <w:t>– que incluya</w:t>
      </w:r>
      <w:r w:rsidR="004A3C54" w:rsidRPr="008C014E">
        <w:rPr>
          <w:rFonts w:cs="Times New Roman"/>
          <w:lang w:val="es-CO"/>
        </w:rPr>
        <w:t>n</w:t>
      </w:r>
      <w:r w:rsidR="00E3278C" w:rsidRPr="00101D3A">
        <w:rPr>
          <w:rFonts w:cs="Times New Roman"/>
          <w:lang w:val="es-CO"/>
        </w:rPr>
        <w:t xml:space="preserve">, </w:t>
      </w:r>
      <w:r w:rsidR="004A3C54" w:rsidRPr="00101D3A">
        <w:rPr>
          <w:rFonts w:cs="Times New Roman"/>
          <w:lang w:val="es-CO"/>
        </w:rPr>
        <w:t>cómo mínimo</w:t>
      </w:r>
      <w:r w:rsidR="00E3278C" w:rsidRPr="00101D3A">
        <w:rPr>
          <w:rFonts w:cs="Times New Roman"/>
          <w:lang w:val="es-CO"/>
        </w:rPr>
        <w:t xml:space="preserve">, </w:t>
      </w:r>
      <w:r w:rsidRPr="00101D3A">
        <w:rPr>
          <w:rFonts w:cs="Times New Roman"/>
          <w:lang w:val="es-CO"/>
        </w:rPr>
        <w:t>indicadores de proceso, producto y resultado</w:t>
      </w:r>
      <w:r w:rsidR="00E3278C" w:rsidRPr="008A61FD">
        <w:rPr>
          <w:rFonts w:cs="Times New Roman"/>
          <w:lang w:val="es-CO"/>
        </w:rPr>
        <w:t xml:space="preserve"> –</w:t>
      </w:r>
      <w:r w:rsidR="004A3C54" w:rsidRPr="0022109F">
        <w:rPr>
          <w:rFonts w:cs="Times New Roman"/>
          <w:lang w:val="es-CO"/>
        </w:rPr>
        <w:t xml:space="preserve"> que permitan </w:t>
      </w:r>
      <w:r w:rsidR="00E3278C" w:rsidRPr="00720146">
        <w:rPr>
          <w:rFonts w:cs="Times New Roman"/>
          <w:lang w:val="es-CO"/>
        </w:rPr>
        <w:t xml:space="preserve">hacer seguimiento, </w:t>
      </w:r>
      <w:r w:rsidR="0064044E" w:rsidRPr="00720146">
        <w:rPr>
          <w:rFonts w:cs="Times New Roman"/>
          <w:lang w:val="es-CO"/>
        </w:rPr>
        <w:t xml:space="preserve">de forma más eficiente y efectiva, la implementación del Lineamiento.  Igualmente, </w:t>
      </w:r>
      <w:r w:rsidR="003369CE" w:rsidRPr="00720146">
        <w:rPr>
          <w:rFonts w:cs="Times New Roman"/>
          <w:lang w:val="es-CO"/>
        </w:rPr>
        <w:t xml:space="preserve">el Ministerio </w:t>
      </w:r>
      <w:r w:rsidR="0064044E" w:rsidRPr="00720146">
        <w:rPr>
          <w:rFonts w:cs="Times New Roman"/>
          <w:lang w:val="es-CO"/>
        </w:rPr>
        <w:t xml:space="preserve">debe hacer un </w:t>
      </w:r>
      <w:r w:rsidR="00E3278C" w:rsidRPr="00720146">
        <w:rPr>
          <w:rFonts w:cs="Times New Roman"/>
          <w:lang w:val="es-CO"/>
        </w:rPr>
        <w:t>rastreo</w:t>
      </w:r>
      <w:r w:rsidR="0064044E" w:rsidRPr="00720146">
        <w:rPr>
          <w:rFonts w:cs="Times New Roman"/>
          <w:lang w:val="es-CO"/>
        </w:rPr>
        <w:t xml:space="preserve"> más estricto a </w:t>
      </w:r>
      <w:r w:rsidRPr="00720146">
        <w:rPr>
          <w:rFonts w:cs="Times New Roman"/>
          <w:lang w:val="es-CO"/>
        </w:rPr>
        <w:t>la adopción de la aplicación del Lineamiento</w:t>
      </w:r>
      <w:r w:rsidRPr="008C014E">
        <w:rPr>
          <w:rFonts w:cs="Times New Roman"/>
          <w:lang w:val="es-CO"/>
        </w:rPr>
        <w:t xml:space="preserve"> por parte de las EAPB</w:t>
      </w:r>
      <w:r w:rsidR="0064044E" w:rsidRPr="008C014E">
        <w:rPr>
          <w:rFonts w:cs="Times New Roman"/>
          <w:lang w:val="es-CO"/>
        </w:rPr>
        <w:t xml:space="preserve">, promoviendo, sobre todo, el </w:t>
      </w:r>
      <w:r w:rsidRPr="00101D3A">
        <w:rPr>
          <w:rFonts w:cs="Times New Roman"/>
          <w:lang w:val="es-CO"/>
        </w:rPr>
        <w:t xml:space="preserve">tratamiento ambulatorio </w:t>
      </w:r>
      <w:r w:rsidR="003369CE" w:rsidRPr="00101D3A">
        <w:rPr>
          <w:rFonts w:cs="Times New Roman"/>
          <w:lang w:val="es-CO"/>
        </w:rPr>
        <w:t xml:space="preserve">oportuno y de calidad, </w:t>
      </w:r>
      <w:r w:rsidR="0064044E" w:rsidRPr="00101D3A">
        <w:rPr>
          <w:rFonts w:cs="Times New Roman"/>
          <w:lang w:val="es-CO"/>
        </w:rPr>
        <w:t xml:space="preserve">por parte de </w:t>
      </w:r>
      <w:r w:rsidR="002B5E09" w:rsidRPr="00101D3A">
        <w:rPr>
          <w:rFonts w:cs="Times New Roman"/>
          <w:lang w:val="es-CO"/>
        </w:rPr>
        <w:t xml:space="preserve">sus </w:t>
      </w:r>
      <w:r w:rsidRPr="008B49A7">
        <w:rPr>
          <w:rFonts w:cs="Times New Roman"/>
          <w:lang w:val="es-CO"/>
        </w:rPr>
        <w:t>equipos extramulares y su red prestadora</w:t>
      </w:r>
      <w:r w:rsidR="0064044E" w:rsidRPr="008A61FD">
        <w:rPr>
          <w:rFonts w:cs="Times New Roman"/>
          <w:lang w:val="es-CO"/>
        </w:rPr>
        <w:t xml:space="preserve"> de servicios.</w:t>
      </w:r>
    </w:p>
    <w:p w14:paraId="059B9832" w14:textId="77777777" w:rsidR="0064044E" w:rsidRPr="00720146" w:rsidRDefault="0064044E" w:rsidP="005C189B">
      <w:pPr>
        <w:jc w:val="both"/>
        <w:rPr>
          <w:rFonts w:cs="Times New Roman"/>
          <w:lang w:val="es-CO"/>
        </w:rPr>
      </w:pPr>
    </w:p>
    <w:p w14:paraId="3D2A5CE7" w14:textId="46670671" w:rsidR="0077104B" w:rsidRPr="0022109F" w:rsidRDefault="0064044E" w:rsidP="005C189B">
      <w:pPr>
        <w:jc w:val="both"/>
        <w:rPr>
          <w:rFonts w:cs="Times New Roman"/>
          <w:lang w:val="es-CO"/>
        </w:rPr>
      </w:pPr>
      <w:r w:rsidRPr="00720146">
        <w:rPr>
          <w:rFonts w:cs="Times New Roman"/>
          <w:lang w:val="es-CO"/>
        </w:rPr>
        <w:t xml:space="preserve">Hacia el </w:t>
      </w:r>
      <w:r w:rsidR="002B5E09" w:rsidRPr="00720146">
        <w:rPr>
          <w:rFonts w:cs="Times New Roman"/>
          <w:lang w:val="es-CO"/>
        </w:rPr>
        <w:t>medi</w:t>
      </w:r>
      <w:r w:rsidR="008C014E">
        <w:rPr>
          <w:rFonts w:cs="Times New Roman"/>
          <w:lang w:val="es-CO"/>
        </w:rPr>
        <w:t>a</w:t>
      </w:r>
      <w:r w:rsidR="002B5E09" w:rsidRPr="00101D3A">
        <w:rPr>
          <w:rFonts w:cs="Times New Roman"/>
          <w:lang w:val="es-CO"/>
        </w:rPr>
        <w:t xml:space="preserve">no plazo, es </w:t>
      </w:r>
      <w:r w:rsidR="002B5E09" w:rsidRPr="00720146">
        <w:rPr>
          <w:rFonts w:cs="Times New Roman"/>
          <w:lang w:val="es-CO"/>
        </w:rPr>
        <w:t xml:space="preserve">recomendable que el Ministerio </w:t>
      </w:r>
      <w:r w:rsidR="0077104B" w:rsidRPr="00720146">
        <w:rPr>
          <w:rFonts w:cs="Times New Roman"/>
          <w:lang w:val="es-CO"/>
        </w:rPr>
        <w:t xml:space="preserve">afine sus </w:t>
      </w:r>
      <w:r w:rsidR="002B5E09" w:rsidRPr="00720146">
        <w:rPr>
          <w:rFonts w:cs="Times New Roman"/>
          <w:lang w:val="es-CO"/>
        </w:rPr>
        <w:t>procedimientos y herramientas para calcuar el costo de las rutas</w:t>
      </w:r>
      <w:r w:rsidR="002B5E09" w:rsidRPr="008C014E">
        <w:rPr>
          <w:rFonts w:cs="Times New Roman"/>
          <w:lang w:val="es-CO"/>
        </w:rPr>
        <w:t xml:space="preserve"> de atención integral en salud priorizando, sobre todo, la Ruta contenida en la Resolución.  Además, debe </w:t>
      </w:r>
      <w:r w:rsidR="0077104B" w:rsidRPr="00101D3A">
        <w:rPr>
          <w:rFonts w:cs="Times New Roman"/>
          <w:lang w:val="es-CO"/>
        </w:rPr>
        <w:t xml:space="preserve">regular </w:t>
      </w:r>
      <w:r w:rsidR="002B5E09" w:rsidRPr="00101D3A">
        <w:rPr>
          <w:rFonts w:cs="Times New Roman"/>
          <w:lang w:val="es-CO"/>
        </w:rPr>
        <w:t xml:space="preserve">la contratación </w:t>
      </w:r>
      <w:r w:rsidR="0077104B" w:rsidRPr="00101D3A">
        <w:rPr>
          <w:rFonts w:cs="Times New Roman"/>
          <w:lang w:val="es-CO"/>
        </w:rPr>
        <w:t xml:space="preserve">de las EAPB que operan en zonas rurales y rurales-dispersas, </w:t>
      </w:r>
      <w:r w:rsidR="002B5E09" w:rsidRPr="008A61FD">
        <w:rPr>
          <w:rFonts w:cs="Times New Roman"/>
          <w:lang w:val="es-CO"/>
        </w:rPr>
        <w:t xml:space="preserve">hacia el logro de </w:t>
      </w:r>
      <w:r w:rsidR="0077104B" w:rsidRPr="0022109F">
        <w:rPr>
          <w:rFonts w:cs="Times New Roman"/>
          <w:lang w:val="es-CO"/>
        </w:rPr>
        <w:t>resultados en salud.</w:t>
      </w:r>
    </w:p>
    <w:p w14:paraId="1D3AE03D" w14:textId="77777777" w:rsidR="0077104B" w:rsidRPr="00720146" w:rsidRDefault="0077104B" w:rsidP="005C189B">
      <w:pPr>
        <w:jc w:val="both"/>
        <w:rPr>
          <w:rFonts w:cs="Times New Roman"/>
          <w:lang w:val="es-CO"/>
        </w:rPr>
      </w:pPr>
    </w:p>
    <w:p w14:paraId="76B94139" w14:textId="77777777" w:rsidR="0064044E" w:rsidRPr="00101D3A" w:rsidRDefault="0077104B" w:rsidP="005C189B">
      <w:pPr>
        <w:jc w:val="both"/>
        <w:rPr>
          <w:rFonts w:cs="Times New Roman"/>
          <w:lang w:val="es-CO"/>
        </w:rPr>
      </w:pPr>
      <w:r w:rsidRPr="00720146">
        <w:rPr>
          <w:rFonts w:cs="Times New Roman"/>
          <w:lang w:val="es-CO"/>
        </w:rPr>
        <w:t>Como recomendación de largo plazo, el Ministerio debe garantizar una implementación efectiva y oportuna</w:t>
      </w:r>
      <w:r w:rsidRPr="008C014E">
        <w:rPr>
          <w:rFonts w:cs="Times New Roman"/>
          <w:lang w:val="es-CO"/>
        </w:rPr>
        <w:t xml:space="preserve"> de la </w:t>
      </w:r>
      <w:r w:rsidRPr="00720146">
        <w:rPr>
          <w:rFonts w:cs="Times New Roman"/>
          <w:lang w:val="es-CO"/>
        </w:rPr>
        <w:t>Política integral de Atención en Salud (PAIS</w:t>
      </w:r>
      <w:r w:rsidRPr="008C014E">
        <w:rPr>
          <w:rFonts w:cs="Times New Roman"/>
          <w:lang w:val="es-CO"/>
        </w:rPr>
        <w:t xml:space="preserve">), en particular, de los lineamientos para la atención de la población que habita en zonas rurales dispersas, tanto de La Guajira como del resto del país </w:t>
      </w:r>
    </w:p>
    <w:p w14:paraId="3C082955" w14:textId="77777777" w:rsidR="00762961" w:rsidRPr="00101D3A" w:rsidRDefault="00762961" w:rsidP="005C189B">
      <w:pPr>
        <w:jc w:val="both"/>
        <w:rPr>
          <w:rFonts w:cs="Times New Roman"/>
          <w:lang w:val="es-CO"/>
        </w:rPr>
      </w:pPr>
    </w:p>
    <w:p w14:paraId="20268503" w14:textId="77777777" w:rsidR="005728E9" w:rsidRPr="00606E51" w:rsidRDefault="0077104B" w:rsidP="005C189B">
      <w:pPr>
        <w:jc w:val="both"/>
        <w:rPr>
          <w:rFonts w:cs="Times New Roman"/>
          <w:lang w:val="es-CO"/>
        </w:rPr>
      </w:pPr>
      <w:r w:rsidRPr="00101D3A">
        <w:rPr>
          <w:rFonts w:cs="Times New Roman"/>
          <w:lang w:val="es-CO"/>
        </w:rPr>
        <w:t xml:space="preserve">En el caso de los actores locales del sistema de salud, la evaluación ha recomendado que las </w:t>
      </w:r>
      <w:r w:rsidRPr="00720146">
        <w:rPr>
          <w:rFonts w:cs="Times New Roman"/>
          <w:lang w:val="es-CO"/>
        </w:rPr>
        <w:t xml:space="preserve">secretarías de salud municipal y departamental, </w:t>
      </w:r>
      <w:r w:rsidR="008A58D3" w:rsidRPr="00720146">
        <w:rPr>
          <w:rFonts w:cs="Times New Roman"/>
          <w:lang w:val="es-CO"/>
        </w:rPr>
        <w:t xml:space="preserve">definan mecanismos e </w:t>
      </w:r>
      <w:r w:rsidRPr="00720146">
        <w:rPr>
          <w:rFonts w:cs="Times New Roman"/>
          <w:lang w:val="es-CO"/>
        </w:rPr>
        <w:t>instrumentos de coordinación</w:t>
      </w:r>
      <w:r w:rsidRPr="008C014E">
        <w:rPr>
          <w:rFonts w:cs="Times New Roman"/>
          <w:lang w:val="es-CO"/>
        </w:rPr>
        <w:t xml:space="preserve"> </w:t>
      </w:r>
      <w:r w:rsidR="008A58D3" w:rsidRPr="008C014E">
        <w:rPr>
          <w:rFonts w:cs="Times New Roman"/>
          <w:lang w:val="es-CO"/>
        </w:rPr>
        <w:t xml:space="preserve">para acciones en </w:t>
      </w:r>
      <w:r w:rsidRPr="008C014E">
        <w:rPr>
          <w:rFonts w:cs="Times New Roman"/>
          <w:lang w:val="es-CO"/>
        </w:rPr>
        <w:t xml:space="preserve">salud pública y de seguridad alimentaria, </w:t>
      </w:r>
      <w:r w:rsidR="00C351B6" w:rsidRPr="008C014E">
        <w:rPr>
          <w:rFonts w:cs="Times New Roman"/>
          <w:lang w:val="es-CO"/>
        </w:rPr>
        <w:t xml:space="preserve">tal y como se </w:t>
      </w:r>
      <w:r w:rsidR="008A58D3" w:rsidRPr="00101D3A">
        <w:rPr>
          <w:rFonts w:cs="Times New Roman"/>
          <w:lang w:val="es-CO"/>
        </w:rPr>
        <w:t xml:space="preserve">ordena </w:t>
      </w:r>
      <w:r w:rsidRPr="00101D3A">
        <w:rPr>
          <w:rFonts w:cs="Times New Roman"/>
          <w:lang w:val="es-CO"/>
        </w:rPr>
        <w:t xml:space="preserve">en la Resolución 5406 </w:t>
      </w:r>
      <w:r w:rsidRPr="00101D3A">
        <w:rPr>
          <w:rFonts w:cs="Times New Roman"/>
          <w:lang w:val="es-CO"/>
        </w:rPr>
        <w:lastRenderedPageBreak/>
        <w:t>y la Ley 1438.</w:t>
      </w:r>
      <w:r w:rsidR="00C351B6" w:rsidRPr="008A61FD">
        <w:rPr>
          <w:rFonts w:cs="Times New Roman"/>
          <w:lang w:val="es-CO"/>
        </w:rPr>
        <w:t xml:space="preserve">  Al mismo tiempo, se ha recomendado que fortalezcan</w:t>
      </w:r>
      <w:r w:rsidR="00C351B6" w:rsidRPr="0022109F">
        <w:rPr>
          <w:rFonts w:cs="Times New Roman"/>
          <w:lang w:val="es-CO"/>
        </w:rPr>
        <w:t xml:space="preserve"> </w:t>
      </w:r>
      <w:r w:rsidR="00C351B6" w:rsidRPr="00720146">
        <w:rPr>
          <w:rFonts w:cs="Times New Roman"/>
          <w:lang w:val="es-CO"/>
        </w:rPr>
        <w:t xml:space="preserve">sus </w:t>
      </w:r>
      <w:r w:rsidRPr="00720146">
        <w:rPr>
          <w:rFonts w:cs="Times New Roman"/>
          <w:lang w:val="es-CO"/>
        </w:rPr>
        <w:t xml:space="preserve">capacidades de inspección y vigilancia </w:t>
      </w:r>
      <w:r w:rsidR="00C351B6" w:rsidRPr="00720146">
        <w:rPr>
          <w:rFonts w:cs="Times New Roman"/>
          <w:lang w:val="es-CO"/>
        </w:rPr>
        <w:t>para una adecuada gestión de los recursos, a favor de la atención de la desnutrición aguda, sobre todo en zonas rurales dispersas.</w:t>
      </w:r>
      <w:r w:rsidR="000D4C9D" w:rsidRPr="00606E51">
        <w:rPr>
          <w:lang w:val="es-CO"/>
        </w:rPr>
        <w:br w:type="page"/>
      </w:r>
    </w:p>
    <w:p w14:paraId="00C9837C" w14:textId="77777777" w:rsidR="00843C37" w:rsidRPr="00606E51" w:rsidRDefault="002D79DE" w:rsidP="001B5600">
      <w:pPr>
        <w:rPr>
          <w:color w:val="234F77" w:themeColor="accent2" w:themeShade="80"/>
          <w:sz w:val="26"/>
          <w:szCs w:val="26"/>
          <w:lang w:val="es-CO"/>
        </w:rPr>
      </w:pPr>
      <w:bookmarkStart w:id="3" w:name="_Toc481101219"/>
      <w:r w:rsidRPr="00606E51">
        <w:rPr>
          <w:color w:val="234F77" w:themeColor="accent2" w:themeShade="80"/>
          <w:sz w:val="26"/>
          <w:szCs w:val="26"/>
          <w:lang w:val="es-CO"/>
        </w:rPr>
        <w:lastRenderedPageBreak/>
        <w:t>Introducción</w:t>
      </w:r>
      <w:bookmarkEnd w:id="3"/>
    </w:p>
    <w:p w14:paraId="4DC5D2C9" w14:textId="77777777" w:rsidR="002B2022" w:rsidRPr="00606E51" w:rsidRDefault="002B2022" w:rsidP="00285C40">
      <w:pPr>
        <w:jc w:val="both"/>
        <w:rPr>
          <w:rFonts w:cs="Times New Roman"/>
          <w:lang w:val="es-CO"/>
        </w:rPr>
      </w:pPr>
    </w:p>
    <w:p w14:paraId="39343F57" w14:textId="77777777" w:rsidR="004A3C54" w:rsidRPr="001E7E37" w:rsidRDefault="002D79DE" w:rsidP="00606E51">
      <w:pPr>
        <w:jc w:val="both"/>
        <w:rPr>
          <w:rFonts w:cs="Times New Roman"/>
          <w:lang w:val="es-CO"/>
        </w:rPr>
      </w:pPr>
      <w:r w:rsidRPr="001E7E37">
        <w:rPr>
          <w:rFonts w:cs="Times New Roman"/>
          <w:lang w:val="es-CO"/>
        </w:rPr>
        <w:t xml:space="preserve">Este informe contiene </w:t>
      </w:r>
      <w:r w:rsidR="009A3875" w:rsidRPr="001E7E37">
        <w:rPr>
          <w:rFonts w:cs="Times New Roman"/>
          <w:lang w:val="es-CO"/>
        </w:rPr>
        <w:t>l</w:t>
      </w:r>
      <w:r w:rsidRPr="001E7E37">
        <w:rPr>
          <w:rFonts w:cs="Times New Roman"/>
          <w:lang w:val="es-CO"/>
        </w:rPr>
        <w:t xml:space="preserve">a evaluación de </w:t>
      </w:r>
      <w:r w:rsidR="00A42271" w:rsidRPr="001E7E37">
        <w:rPr>
          <w:rFonts w:cs="Times New Roman"/>
          <w:lang w:val="es-CO"/>
        </w:rPr>
        <w:t xml:space="preserve">la adherencia </w:t>
      </w:r>
      <w:r w:rsidRPr="001E7E37">
        <w:rPr>
          <w:rFonts w:cs="Times New Roman"/>
          <w:lang w:val="es-CO"/>
        </w:rPr>
        <w:t xml:space="preserve">y costo efectividad del </w:t>
      </w:r>
      <w:r w:rsidR="00437BA2" w:rsidRPr="001E7E37">
        <w:rPr>
          <w:rFonts w:cs="Times New Roman"/>
          <w:lang w:val="es-CO"/>
        </w:rPr>
        <w:t>Lineamiento para el manejo integrado de la desnutrición</w:t>
      </w:r>
      <w:r w:rsidR="00D921DD" w:rsidRPr="001E7E37">
        <w:rPr>
          <w:rFonts w:cs="Times New Roman"/>
          <w:lang w:val="es-CO"/>
        </w:rPr>
        <w:t xml:space="preserve"> (DNT)</w:t>
      </w:r>
      <w:r w:rsidR="00437BA2" w:rsidRPr="001E7E37">
        <w:rPr>
          <w:rFonts w:cs="Times New Roman"/>
          <w:lang w:val="es-CO"/>
        </w:rPr>
        <w:t xml:space="preserve"> aguda en niños y niñas de 0 a 59 meses de edad</w:t>
      </w:r>
      <w:r w:rsidR="00A42271" w:rsidRPr="001E7E37">
        <w:rPr>
          <w:rFonts w:cs="Times New Roman"/>
          <w:lang w:val="es-CO"/>
        </w:rPr>
        <w:t xml:space="preserve"> (en adelante, el Lineamiento)</w:t>
      </w:r>
      <w:r w:rsidR="002825EC" w:rsidRPr="001E7E37">
        <w:rPr>
          <w:rFonts w:cs="Times New Roman"/>
          <w:lang w:val="es-CO"/>
        </w:rPr>
        <w:t xml:space="preserve">, incluido en el Anexo </w:t>
      </w:r>
      <w:r w:rsidR="00AF60C6" w:rsidRPr="001E7E37">
        <w:rPr>
          <w:rFonts w:cs="Times New Roman"/>
          <w:lang w:val="es-CO"/>
        </w:rPr>
        <w:t>1 de la Resolución 5406 de 2015 del Ministerio de Salud y Protección Social</w:t>
      </w:r>
      <w:r w:rsidR="00437BA2" w:rsidRPr="001E7E37">
        <w:rPr>
          <w:rFonts w:cs="Times New Roman"/>
          <w:lang w:val="es-CO"/>
        </w:rPr>
        <w:t xml:space="preserve"> (MSPS)</w:t>
      </w:r>
      <w:r w:rsidR="00B42532" w:rsidRPr="001E7E37">
        <w:rPr>
          <w:rFonts w:cs="Times New Roman"/>
          <w:lang w:val="es-CO"/>
        </w:rPr>
        <w:t xml:space="preserve">. </w:t>
      </w:r>
      <w:r w:rsidR="0099048F" w:rsidRPr="001E7E37">
        <w:rPr>
          <w:rFonts w:cs="Times New Roman"/>
          <w:lang w:val="es-CO"/>
        </w:rPr>
        <w:t xml:space="preserve"> </w:t>
      </w:r>
    </w:p>
    <w:p w14:paraId="246EB523" w14:textId="77777777" w:rsidR="004A3C54" w:rsidRPr="001E7E37" w:rsidRDefault="004A3C54" w:rsidP="00606E51">
      <w:pPr>
        <w:jc w:val="both"/>
        <w:rPr>
          <w:rFonts w:cs="Times New Roman"/>
          <w:lang w:val="es-CO"/>
        </w:rPr>
      </w:pPr>
    </w:p>
    <w:p w14:paraId="4627D2F6" w14:textId="77777777" w:rsidR="00606E51" w:rsidRPr="001E7E37" w:rsidRDefault="004A3C54" w:rsidP="00606E51">
      <w:pPr>
        <w:jc w:val="both"/>
        <w:rPr>
          <w:rFonts w:cs="Times New Roman"/>
          <w:lang w:val="es-CO"/>
        </w:rPr>
      </w:pPr>
      <w:r w:rsidRPr="001E7E37">
        <w:rPr>
          <w:rFonts w:cs="Times New Roman"/>
          <w:lang w:val="es-CO"/>
        </w:rPr>
        <w:t xml:space="preserve">La </w:t>
      </w:r>
      <w:r w:rsidR="008C14A0" w:rsidRPr="001E7E37">
        <w:rPr>
          <w:rFonts w:cs="Times New Roman"/>
          <w:lang w:val="es-CO"/>
        </w:rPr>
        <w:t xml:space="preserve">evaluación </w:t>
      </w:r>
      <w:r w:rsidR="00FE0416" w:rsidRPr="001E7E37">
        <w:rPr>
          <w:rFonts w:cs="Times New Roman"/>
          <w:lang w:val="es-CO"/>
        </w:rPr>
        <w:t xml:space="preserve">fue comisionada por UNICEF </w:t>
      </w:r>
      <w:r w:rsidR="00E4214E" w:rsidRPr="001E7E37">
        <w:rPr>
          <w:rFonts w:cs="Times New Roman"/>
          <w:lang w:val="es-CO"/>
        </w:rPr>
        <w:t xml:space="preserve">en acuerdo con el Ministerio de Salud y Protección Social (MSPS) </w:t>
      </w:r>
      <w:r w:rsidR="00E25CC7" w:rsidRPr="001E7E37">
        <w:rPr>
          <w:rFonts w:cs="Times New Roman"/>
          <w:lang w:val="es-CO"/>
        </w:rPr>
        <w:t xml:space="preserve">con el objetivo de ofrecer nuevas orientaciones prácticas </w:t>
      </w:r>
      <w:r w:rsidR="00606E51" w:rsidRPr="001E7E37">
        <w:rPr>
          <w:rFonts w:cs="Times New Roman"/>
          <w:lang w:val="es-CO"/>
        </w:rPr>
        <w:t xml:space="preserve">a agentes clave del sistema de salud en Colombia, tanto del nivel nacional como local, </w:t>
      </w:r>
      <w:r w:rsidR="00E25CC7" w:rsidRPr="001E7E37">
        <w:rPr>
          <w:rFonts w:cs="Times New Roman"/>
          <w:lang w:val="es-CO"/>
        </w:rPr>
        <w:t>sobre cóm</w:t>
      </w:r>
      <w:r w:rsidR="00606E51" w:rsidRPr="001E7E37">
        <w:rPr>
          <w:rFonts w:cs="Times New Roman"/>
          <w:lang w:val="es-CO"/>
        </w:rPr>
        <w:t>o a</w:t>
      </w:r>
      <w:r w:rsidR="00E25CC7" w:rsidRPr="001E7E37">
        <w:rPr>
          <w:rFonts w:cs="Times New Roman"/>
          <w:lang w:val="es-CO"/>
        </w:rPr>
        <w:t xml:space="preserve">segurar </w:t>
      </w:r>
      <w:r w:rsidR="003B1EF6" w:rsidRPr="001E7E37">
        <w:rPr>
          <w:rFonts w:cs="Times New Roman"/>
          <w:lang w:val="es-CO"/>
        </w:rPr>
        <w:t>la adecuada implementación del L</w:t>
      </w:r>
      <w:r w:rsidR="00E25CC7" w:rsidRPr="001E7E37">
        <w:rPr>
          <w:rFonts w:cs="Times New Roman"/>
          <w:lang w:val="es-CO"/>
        </w:rPr>
        <w:t>ineamiento</w:t>
      </w:r>
      <w:r w:rsidR="00606E51" w:rsidRPr="001E7E37">
        <w:rPr>
          <w:rFonts w:cs="Times New Roman"/>
          <w:lang w:val="es-CO"/>
        </w:rPr>
        <w:t xml:space="preserve"> y propiciar una </w:t>
      </w:r>
      <w:r w:rsidR="00E25CC7" w:rsidRPr="001E7E37">
        <w:rPr>
          <w:rFonts w:cs="Times New Roman"/>
          <w:lang w:val="es-CO"/>
        </w:rPr>
        <w:t xml:space="preserve">asignación </w:t>
      </w:r>
      <w:r w:rsidR="00126EE5" w:rsidRPr="001E7E37">
        <w:rPr>
          <w:rFonts w:cs="Times New Roman"/>
          <w:lang w:val="es-CO"/>
        </w:rPr>
        <w:t xml:space="preserve">racional </w:t>
      </w:r>
      <w:r w:rsidR="00E25CC7" w:rsidRPr="001E7E37">
        <w:rPr>
          <w:rFonts w:cs="Times New Roman"/>
          <w:lang w:val="es-CO"/>
        </w:rPr>
        <w:t xml:space="preserve">de responsabilidades y compromisos entre entidades locales competentes para garantizar el acceso a los servicios de salud, en especial a la atención </w:t>
      </w:r>
      <w:r w:rsidRPr="001E7E37">
        <w:rPr>
          <w:rFonts w:cs="Times New Roman"/>
          <w:lang w:val="es-CO"/>
        </w:rPr>
        <w:t>de la desnutrición aguda</w:t>
      </w:r>
      <w:r w:rsidR="00606E51" w:rsidRPr="001E7E37">
        <w:rPr>
          <w:rFonts w:cs="Times New Roman"/>
          <w:lang w:val="es-CO"/>
        </w:rPr>
        <w:t>.</w:t>
      </w:r>
    </w:p>
    <w:p w14:paraId="00D4F9A5" w14:textId="77777777" w:rsidR="00AF60C6" w:rsidRPr="001E7E37" w:rsidRDefault="00E25CC7" w:rsidP="00285C40">
      <w:pPr>
        <w:jc w:val="both"/>
        <w:rPr>
          <w:rFonts w:cs="Times New Roman"/>
          <w:lang w:val="es-CO"/>
        </w:rPr>
      </w:pPr>
      <w:r w:rsidRPr="001E7E37">
        <w:rPr>
          <w:rFonts w:cs="Times New Roman"/>
          <w:lang w:val="es-CO"/>
        </w:rPr>
        <w:t xml:space="preserve"> </w:t>
      </w:r>
      <w:r w:rsidR="001437F2" w:rsidRPr="001E7E37">
        <w:rPr>
          <w:rFonts w:cs="Times New Roman"/>
          <w:lang w:val="es-CO"/>
        </w:rPr>
        <w:t xml:space="preserve"> </w:t>
      </w:r>
    </w:p>
    <w:p w14:paraId="0579CCFE" w14:textId="796F0007" w:rsidR="0099048F" w:rsidRPr="001E7E37" w:rsidRDefault="00AF60C6" w:rsidP="00285C40">
      <w:pPr>
        <w:jc w:val="both"/>
        <w:rPr>
          <w:rFonts w:cs="Times New Roman"/>
          <w:lang w:val="es-CO"/>
        </w:rPr>
      </w:pPr>
      <w:r w:rsidRPr="001E7E37">
        <w:rPr>
          <w:rFonts w:cs="Times New Roman"/>
          <w:lang w:val="es-CO"/>
        </w:rPr>
        <w:t>La evaluación</w:t>
      </w:r>
      <w:r w:rsidR="00AA025A" w:rsidRPr="001E7E37">
        <w:rPr>
          <w:rFonts w:cs="Times New Roman"/>
          <w:lang w:val="es-CO"/>
        </w:rPr>
        <w:t xml:space="preserve">, realizada por consultores </w:t>
      </w:r>
      <w:r w:rsidR="00984FE8" w:rsidRPr="001E7E37">
        <w:rPr>
          <w:rFonts w:cs="Times New Roman"/>
          <w:lang w:val="es-CO"/>
        </w:rPr>
        <w:t>externos</w:t>
      </w:r>
      <w:r w:rsidR="00AA025A" w:rsidRPr="001E7E37">
        <w:rPr>
          <w:rFonts w:cs="Times New Roman"/>
          <w:lang w:val="es-CO"/>
        </w:rPr>
        <w:t xml:space="preserve"> contratados por UNICEF</w:t>
      </w:r>
      <w:r w:rsidR="0099048F" w:rsidRPr="001E7E37">
        <w:rPr>
          <w:rFonts w:cs="Times New Roman"/>
          <w:lang w:val="es-CO"/>
        </w:rPr>
        <w:t>,</w:t>
      </w:r>
      <w:r w:rsidR="00AA025A" w:rsidRPr="001E7E37">
        <w:rPr>
          <w:rFonts w:cs="Times New Roman"/>
          <w:lang w:val="es-CO"/>
        </w:rPr>
        <w:t xml:space="preserve"> entre los meses de </w:t>
      </w:r>
      <w:r w:rsidR="00870E64" w:rsidRPr="001E7E37">
        <w:rPr>
          <w:rFonts w:cs="Times New Roman"/>
          <w:lang w:val="es-CO"/>
        </w:rPr>
        <w:t>septiembre</w:t>
      </w:r>
      <w:r w:rsidR="00AA025A" w:rsidRPr="001E7E37">
        <w:rPr>
          <w:rFonts w:cs="Times New Roman"/>
          <w:lang w:val="es-CO"/>
        </w:rPr>
        <w:t xml:space="preserve"> de 2016 y </w:t>
      </w:r>
      <w:r w:rsidR="00606E51" w:rsidRPr="001E7E37">
        <w:rPr>
          <w:rFonts w:cs="Times New Roman"/>
          <w:lang w:val="es-CO"/>
        </w:rPr>
        <w:t xml:space="preserve">agosto </w:t>
      </w:r>
      <w:r w:rsidR="00AA025A" w:rsidRPr="001E7E37">
        <w:rPr>
          <w:rFonts w:cs="Times New Roman"/>
          <w:lang w:val="es-CO"/>
        </w:rPr>
        <w:t xml:space="preserve">de 2017, </w:t>
      </w:r>
      <w:r w:rsidR="0099048F" w:rsidRPr="001E7E37">
        <w:rPr>
          <w:rFonts w:cs="Times New Roman"/>
          <w:lang w:val="es-CO"/>
        </w:rPr>
        <w:t xml:space="preserve">se concentró </w:t>
      </w:r>
      <w:r w:rsidR="00A03ADD" w:rsidRPr="001E7E37">
        <w:rPr>
          <w:rFonts w:cs="Times New Roman"/>
          <w:lang w:val="es-CO"/>
        </w:rPr>
        <w:t xml:space="preserve">en </w:t>
      </w:r>
      <w:r w:rsidRPr="001E7E37">
        <w:rPr>
          <w:rFonts w:cs="Times New Roman"/>
          <w:lang w:val="es-CO"/>
        </w:rPr>
        <w:t xml:space="preserve">los municipios de </w:t>
      </w:r>
      <w:r w:rsidR="0079351C" w:rsidRPr="001E7E37">
        <w:rPr>
          <w:rFonts w:cs="Times New Roman"/>
          <w:lang w:val="es-CO"/>
        </w:rPr>
        <w:t>Maicao, Manaure, Riohacha y</w:t>
      </w:r>
      <w:r w:rsidRPr="001E7E37">
        <w:rPr>
          <w:rFonts w:cs="Times New Roman"/>
          <w:lang w:val="es-CO"/>
        </w:rPr>
        <w:t xml:space="preserve"> Uribia del D</w:t>
      </w:r>
      <w:r w:rsidR="0079351C" w:rsidRPr="001E7E37">
        <w:rPr>
          <w:rFonts w:cs="Times New Roman"/>
          <w:lang w:val="es-CO"/>
        </w:rPr>
        <w:t>epartamento de L</w:t>
      </w:r>
      <w:r w:rsidR="0099048F" w:rsidRPr="001E7E37">
        <w:rPr>
          <w:rFonts w:cs="Times New Roman"/>
          <w:lang w:val="es-CO"/>
        </w:rPr>
        <w:t xml:space="preserve">a Guajira.  Lo anterior, considerando </w:t>
      </w:r>
      <w:r w:rsidR="008C014E" w:rsidRPr="001E7E37">
        <w:rPr>
          <w:rFonts w:cs="Times New Roman"/>
          <w:lang w:val="es-CO"/>
        </w:rPr>
        <w:t>que,</w:t>
      </w:r>
      <w:r w:rsidR="0099048F" w:rsidRPr="001E7E37">
        <w:rPr>
          <w:rFonts w:cs="Times New Roman"/>
          <w:lang w:val="es-CO"/>
        </w:rPr>
        <w:t xml:space="preserve"> </w:t>
      </w:r>
      <w:r w:rsidR="00606E51" w:rsidRPr="001E7E37">
        <w:rPr>
          <w:rFonts w:cs="Times New Roman"/>
          <w:lang w:val="es-CO"/>
        </w:rPr>
        <w:t xml:space="preserve">en dichos municipios, el MSPS inició </w:t>
      </w:r>
      <w:r w:rsidR="00823003" w:rsidRPr="001E7E37">
        <w:rPr>
          <w:rFonts w:cs="Times New Roman"/>
          <w:lang w:val="es-CO"/>
        </w:rPr>
        <w:t>la implementación del Programa dirigido a familias e</w:t>
      </w:r>
      <w:r w:rsidR="00A31832" w:rsidRPr="001E7E37">
        <w:rPr>
          <w:rFonts w:cs="Times New Roman"/>
          <w:lang w:val="es-CO"/>
        </w:rPr>
        <w:t>n condición de vulnerabilidad ubicados en</w:t>
      </w:r>
      <w:r w:rsidR="00823003" w:rsidRPr="001E7E37">
        <w:rPr>
          <w:rFonts w:cs="Times New Roman"/>
          <w:lang w:val="es-CO"/>
        </w:rPr>
        <w:t xml:space="preserve"> territorios rurales y rurales dispersos</w:t>
      </w:r>
      <w:r w:rsidR="00AA025A" w:rsidRPr="001E7E37">
        <w:rPr>
          <w:rFonts w:cs="Times New Roman"/>
          <w:lang w:val="es-CO"/>
        </w:rPr>
        <w:t>.</w:t>
      </w:r>
      <w:r w:rsidR="00DF6E03" w:rsidRPr="001E7E37">
        <w:rPr>
          <w:rStyle w:val="FootnoteReference"/>
          <w:rFonts w:cs="Times New Roman"/>
          <w:lang w:val="es-CO"/>
        </w:rPr>
        <w:footnoteReference w:id="5"/>
      </w:r>
    </w:p>
    <w:p w14:paraId="2CB9D988" w14:textId="77777777" w:rsidR="0099048F" w:rsidRPr="001E7E37" w:rsidRDefault="0099048F" w:rsidP="00285C40">
      <w:pPr>
        <w:jc w:val="both"/>
        <w:rPr>
          <w:rFonts w:cs="Times New Roman"/>
          <w:lang w:val="es-CO"/>
        </w:rPr>
      </w:pPr>
    </w:p>
    <w:p w14:paraId="70DB10A6" w14:textId="77777777" w:rsidR="00AA025A" w:rsidRPr="00606E51" w:rsidRDefault="0099048F" w:rsidP="0099048F">
      <w:pPr>
        <w:jc w:val="both"/>
        <w:rPr>
          <w:rFonts w:cs="Times New Roman"/>
          <w:lang w:val="es-CO"/>
        </w:rPr>
      </w:pPr>
      <w:r w:rsidRPr="001E7E37">
        <w:rPr>
          <w:rFonts w:cs="Times New Roman"/>
          <w:lang w:val="es-CO"/>
        </w:rPr>
        <w:t xml:space="preserve">El presente ejercicio </w:t>
      </w:r>
      <w:r w:rsidR="004A3C54" w:rsidRPr="001E7E37">
        <w:rPr>
          <w:rFonts w:cs="Times New Roman"/>
          <w:lang w:val="es-CO"/>
        </w:rPr>
        <w:t xml:space="preserve">de evaluación </w:t>
      </w:r>
      <w:r w:rsidRPr="001E7E37">
        <w:rPr>
          <w:rFonts w:cs="Times New Roman"/>
          <w:lang w:val="es-CO"/>
        </w:rPr>
        <w:t>buscó identificar</w:t>
      </w:r>
      <w:r w:rsidR="00066E06" w:rsidRPr="001E7E37">
        <w:rPr>
          <w:rFonts w:cs="Times New Roman"/>
          <w:lang w:val="es-CO"/>
        </w:rPr>
        <w:t xml:space="preserve"> los logros en la salud de los niños diagnosticados con la enfermedad, la adherencia al Lineamiento por parte del personal de la salud, los factores de éxito y los cuellos de botella que ha tendido la implementación por parte de las entidades territoriales, los cuidadores y las empresas administradoras de planes de beneficio (EAPB).</w:t>
      </w:r>
    </w:p>
    <w:p w14:paraId="1F1AB3D8" w14:textId="77777777" w:rsidR="00893112" w:rsidRPr="00606E51" w:rsidRDefault="00893112" w:rsidP="00285C40">
      <w:pPr>
        <w:jc w:val="both"/>
        <w:rPr>
          <w:rFonts w:cs="Times New Roman"/>
          <w:lang w:val="es-CO"/>
        </w:rPr>
      </w:pPr>
    </w:p>
    <w:p w14:paraId="590A800C" w14:textId="77777777" w:rsidR="000D5C2E" w:rsidRDefault="000D5C2E" w:rsidP="00285C40">
      <w:pPr>
        <w:jc w:val="both"/>
        <w:rPr>
          <w:rFonts w:cs="Times New Roman"/>
          <w:lang w:val="es-CO"/>
        </w:rPr>
        <w:sectPr w:rsidR="000D5C2E" w:rsidSect="00720146">
          <w:headerReference w:type="default" r:id="rId9"/>
          <w:footerReference w:type="default" r:id="rId10"/>
          <w:pgSz w:w="12240" w:h="15840"/>
          <w:pgMar w:top="1418" w:right="1701" w:bottom="1418" w:left="1701" w:header="709" w:footer="709" w:gutter="0"/>
          <w:cols w:space="708"/>
          <w:docGrid w:linePitch="360"/>
        </w:sectPr>
      </w:pPr>
    </w:p>
    <w:p w14:paraId="485D629C" w14:textId="54772D4A" w:rsidR="000C519D" w:rsidRPr="00101D3A" w:rsidRDefault="000C519D" w:rsidP="00285C40">
      <w:pPr>
        <w:jc w:val="both"/>
        <w:rPr>
          <w:rFonts w:cs="Times New Roman"/>
          <w:lang w:val="es-CO"/>
        </w:rPr>
      </w:pPr>
      <w:r w:rsidRPr="00101D3A">
        <w:rPr>
          <w:rFonts w:cs="Times New Roman"/>
          <w:lang w:val="es-CO"/>
        </w:rPr>
        <w:lastRenderedPageBreak/>
        <w:t>Para dar respuesta a estos interrogantes, el reporte de ev</w:t>
      </w:r>
      <w:r w:rsidR="004A3C54" w:rsidRPr="00101D3A">
        <w:rPr>
          <w:rFonts w:cs="Times New Roman"/>
          <w:lang w:val="es-CO"/>
        </w:rPr>
        <w:t>aluación se organizó</w:t>
      </w:r>
      <w:r w:rsidRPr="00101D3A">
        <w:rPr>
          <w:rFonts w:cs="Times New Roman"/>
          <w:lang w:val="es-CO"/>
        </w:rPr>
        <w:t xml:space="preserve"> así:</w:t>
      </w:r>
    </w:p>
    <w:p w14:paraId="419CDAA8" w14:textId="77777777" w:rsidR="000C519D" w:rsidRPr="008A61FD" w:rsidRDefault="000C519D" w:rsidP="00285C40">
      <w:pPr>
        <w:jc w:val="both"/>
        <w:rPr>
          <w:rFonts w:cs="Times New Roman"/>
          <w:lang w:val="es-CO"/>
        </w:rPr>
      </w:pPr>
    </w:p>
    <w:p w14:paraId="397D2CA8" w14:textId="7F5230C3" w:rsidR="00094905" w:rsidRPr="00720146" w:rsidRDefault="00BD7FFD" w:rsidP="00285C40">
      <w:pPr>
        <w:jc w:val="both"/>
        <w:rPr>
          <w:rFonts w:cs="Times New Roman"/>
          <w:lang w:val="es-CO"/>
        </w:rPr>
      </w:pPr>
      <w:r w:rsidRPr="008A61FD">
        <w:rPr>
          <w:rFonts w:cs="Times New Roman"/>
          <w:lang w:val="es-CO"/>
        </w:rPr>
        <w:t xml:space="preserve">El </w:t>
      </w:r>
      <w:r w:rsidR="00764B70" w:rsidRPr="008A61FD">
        <w:rPr>
          <w:rFonts w:cs="Times New Roman"/>
          <w:lang w:val="es-CO"/>
        </w:rPr>
        <w:t xml:space="preserve">primer capítulo informa el </w:t>
      </w:r>
      <w:r w:rsidR="00764B70" w:rsidRPr="00720146">
        <w:rPr>
          <w:rFonts w:cs="Times New Roman"/>
          <w:lang w:val="es-CO"/>
        </w:rPr>
        <w:t>contexto de política pública</w:t>
      </w:r>
      <w:r w:rsidR="00A55815" w:rsidRPr="00101D3A">
        <w:rPr>
          <w:rFonts w:cs="Times New Roman"/>
          <w:lang w:val="es-CO"/>
        </w:rPr>
        <w:t xml:space="preserve"> para la expedición de la Resolución</w:t>
      </w:r>
      <w:r w:rsidR="00764B70" w:rsidRPr="00101D3A">
        <w:rPr>
          <w:rFonts w:cs="Times New Roman"/>
          <w:lang w:val="es-CO"/>
        </w:rPr>
        <w:t xml:space="preserve"> y de los municip</w:t>
      </w:r>
      <w:r w:rsidR="00764B70" w:rsidRPr="008A61FD">
        <w:rPr>
          <w:rFonts w:cs="Times New Roman"/>
          <w:lang w:val="es-CO"/>
        </w:rPr>
        <w:t>ios enunciados anteriormente</w:t>
      </w:r>
      <w:r w:rsidR="00710CD6" w:rsidRPr="008A61FD">
        <w:rPr>
          <w:rFonts w:cs="Times New Roman"/>
          <w:lang w:val="es-CO"/>
        </w:rPr>
        <w:t xml:space="preserve"> </w:t>
      </w:r>
      <w:r w:rsidR="00A55815" w:rsidRPr="008A61FD">
        <w:rPr>
          <w:rFonts w:cs="Times New Roman"/>
          <w:lang w:val="es-CO"/>
        </w:rPr>
        <w:t>en términos de indicadores de salud y de desnutrición aguda</w:t>
      </w:r>
      <w:r w:rsidR="00764B70" w:rsidRPr="0022109F">
        <w:rPr>
          <w:rFonts w:cs="Times New Roman"/>
          <w:lang w:val="es-CO"/>
        </w:rPr>
        <w:t xml:space="preserve">. </w:t>
      </w:r>
      <w:r w:rsidR="0014294D" w:rsidRPr="00720146">
        <w:rPr>
          <w:rFonts w:cs="Times New Roman"/>
          <w:lang w:val="es-CO"/>
        </w:rPr>
        <w:t>Allí también se describe el objeto específico</w:t>
      </w:r>
      <w:r w:rsidR="0014294D" w:rsidRPr="00101D3A">
        <w:rPr>
          <w:rFonts w:cs="Times New Roman"/>
          <w:lang w:val="es-CO"/>
        </w:rPr>
        <w:t xml:space="preserve"> sobre el cual se examina el </w:t>
      </w:r>
      <w:r w:rsidR="0096062A" w:rsidRPr="00101D3A">
        <w:rPr>
          <w:rFonts w:cs="Times New Roman"/>
          <w:lang w:val="es-CO"/>
        </w:rPr>
        <w:t xml:space="preserve">nivel </w:t>
      </w:r>
      <w:r w:rsidR="0014294D" w:rsidRPr="00101D3A">
        <w:rPr>
          <w:rFonts w:cs="Times New Roman"/>
          <w:lang w:val="es-CO"/>
        </w:rPr>
        <w:t xml:space="preserve">de costo-efectividad y el nivel de adherencia del Lineamiento.  </w:t>
      </w:r>
      <w:r w:rsidR="00BD316A" w:rsidRPr="008A61FD">
        <w:rPr>
          <w:rFonts w:cs="Times New Roman"/>
          <w:lang w:val="es-CO"/>
        </w:rPr>
        <w:t xml:space="preserve">En el capítulo segundo se describen en detalle </w:t>
      </w:r>
      <w:r w:rsidR="00764B70" w:rsidRPr="008A61FD">
        <w:rPr>
          <w:rFonts w:cs="Times New Roman"/>
          <w:lang w:val="es-CO"/>
        </w:rPr>
        <w:t xml:space="preserve">el propósito, alcance y objetivos específicos. Las </w:t>
      </w:r>
      <w:r w:rsidR="00764B70" w:rsidRPr="00720146">
        <w:rPr>
          <w:rFonts w:cs="Times New Roman"/>
          <w:lang w:val="es-CO"/>
        </w:rPr>
        <w:t>preguntas</w:t>
      </w:r>
      <w:r w:rsidR="00764B70" w:rsidRPr="00101D3A">
        <w:rPr>
          <w:rFonts w:cs="Times New Roman"/>
          <w:lang w:val="es-CO"/>
        </w:rPr>
        <w:t xml:space="preserve"> de investigación se presentan en el capítulo tercero. </w:t>
      </w:r>
      <w:r w:rsidR="00094905" w:rsidRPr="00101D3A">
        <w:rPr>
          <w:rFonts w:cs="Times New Roman"/>
          <w:lang w:val="es-CO"/>
        </w:rPr>
        <w:t xml:space="preserve">En el capítulo </w:t>
      </w:r>
      <w:r w:rsidR="00764B70" w:rsidRPr="00101D3A">
        <w:rPr>
          <w:rFonts w:cs="Times New Roman"/>
          <w:lang w:val="es-CO"/>
        </w:rPr>
        <w:t>cuarto</w:t>
      </w:r>
      <w:r w:rsidR="00094905" w:rsidRPr="00101D3A">
        <w:rPr>
          <w:rFonts w:cs="Times New Roman"/>
          <w:lang w:val="es-CO"/>
        </w:rPr>
        <w:t xml:space="preserve"> se explica la </w:t>
      </w:r>
      <w:r w:rsidR="00094905" w:rsidRPr="00720146">
        <w:rPr>
          <w:rFonts w:cs="Times New Roman"/>
          <w:lang w:val="es-CO"/>
        </w:rPr>
        <w:t>metodología</w:t>
      </w:r>
      <w:r w:rsidR="00094905" w:rsidRPr="00101D3A">
        <w:rPr>
          <w:rFonts w:cs="Times New Roman"/>
          <w:lang w:val="es-CO"/>
        </w:rPr>
        <w:t xml:space="preserve"> que se empleó </w:t>
      </w:r>
      <w:r w:rsidR="00066E06" w:rsidRPr="00101D3A">
        <w:rPr>
          <w:rFonts w:cs="Times New Roman"/>
          <w:lang w:val="es-CO"/>
        </w:rPr>
        <w:t>para responder las</w:t>
      </w:r>
      <w:r w:rsidR="00BB021C" w:rsidRPr="00101D3A">
        <w:rPr>
          <w:rFonts w:cs="Times New Roman"/>
          <w:lang w:val="es-CO"/>
        </w:rPr>
        <w:t xml:space="preserve"> </w:t>
      </w:r>
      <w:r w:rsidR="00202403" w:rsidRPr="008A61FD">
        <w:rPr>
          <w:rFonts w:cs="Times New Roman"/>
          <w:lang w:val="es-CO"/>
        </w:rPr>
        <w:t>preguntas de</w:t>
      </w:r>
      <w:r w:rsidR="00764B70" w:rsidRPr="008A61FD">
        <w:rPr>
          <w:rFonts w:cs="Times New Roman"/>
          <w:lang w:val="es-CO"/>
        </w:rPr>
        <w:t xml:space="preserve"> investigación </w:t>
      </w:r>
      <w:r w:rsidR="00BB021C" w:rsidRPr="008A61FD">
        <w:rPr>
          <w:rFonts w:cs="Times New Roman"/>
          <w:lang w:val="es-CO"/>
        </w:rPr>
        <w:t xml:space="preserve">y </w:t>
      </w:r>
      <w:r w:rsidR="00BB021C" w:rsidRPr="0022109F">
        <w:rPr>
          <w:rFonts w:cs="Times New Roman"/>
          <w:lang w:val="es-CO"/>
        </w:rPr>
        <w:t xml:space="preserve">se </w:t>
      </w:r>
      <w:r w:rsidR="00764B70" w:rsidRPr="00720146">
        <w:rPr>
          <w:rFonts w:cs="Times New Roman"/>
          <w:lang w:val="es-CO"/>
        </w:rPr>
        <w:t>indica</w:t>
      </w:r>
      <w:r w:rsidR="00BB021C" w:rsidRPr="00720146">
        <w:rPr>
          <w:rFonts w:cs="Times New Roman"/>
          <w:lang w:val="es-CO"/>
        </w:rPr>
        <w:t xml:space="preserve"> por</w:t>
      </w:r>
      <w:r w:rsidR="000C519D" w:rsidRPr="00720146">
        <w:rPr>
          <w:rFonts w:cs="Times New Roman"/>
          <w:lang w:val="es-CO"/>
        </w:rPr>
        <w:t xml:space="preserve"> </w:t>
      </w:r>
      <w:r w:rsidR="00BB021C" w:rsidRPr="00720146">
        <w:rPr>
          <w:rFonts w:cs="Times New Roman"/>
          <w:lang w:val="es-CO"/>
        </w:rPr>
        <w:t>qu</w:t>
      </w:r>
      <w:r w:rsidR="000C519D" w:rsidRPr="00720146">
        <w:rPr>
          <w:rFonts w:cs="Times New Roman"/>
          <w:lang w:val="es-CO"/>
        </w:rPr>
        <w:t>é</w:t>
      </w:r>
      <w:r w:rsidR="00BB021C" w:rsidRPr="00720146">
        <w:rPr>
          <w:rFonts w:cs="Times New Roman"/>
          <w:lang w:val="es-CO"/>
        </w:rPr>
        <w:t xml:space="preserve"> la evaluación del Lineamiento se a</w:t>
      </w:r>
      <w:r w:rsidR="003156F5" w:rsidRPr="00720146">
        <w:rPr>
          <w:rFonts w:cs="Times New Roman"/>
          <w:lang w:val="es-CO"/>
        </w:rPr>
        <w:t>bordó a partir de los siguientes</w:t>
      </w:r>
      <w:r w:rsidR="00F05664" w:rsidRPr="00720146">
        <w:rPr>
          <w:rFonts w:cs="Times New Roman"/>
          <w:lang w:val="es-CO"/>
        </w:rPr>
        <w:t xml:space="preserve"> criterios</w:t>
      </w:r>
      <w:r w:rsidR="00893112" w:rsidRPr="00720146">
        <w:rPr>
          <w:rFonts w:cs="Times New Roman"/>
          <w:lang w:val="es-CO"/>
        </w:rPr>
        <w:t>:</w:t>
      </w:r>
    </w:p>
    <w:p w14:paraId="122709C4" w14:textId="77777777" w:rsidR="00893112" w:rsidRPr="00720146" w:rsidRDefault="00893112" w:rsidP="00285C40">
      <w:pPr>
        <w:jc w:val="both"/>
        <w:rPr>
          <w:rFonts w:cs="Times New Roman"/>
          <w:lang w:val="es-CO"/>
        </w:rPr>
      </w:pPr>
    </w:p>
    <w:p w14:paraId="7EAE6AC8" w14:textId="77777777" w:rsidR="00527170" w:rsidRPr="008A61FD" w:rsidRDefault="00BB021C" w:rsidP="00B52507">
      <w:pPr>
        <w:pStyle w:val="ListParagraph"/>
        <w:numPr>
          <w:ilvl w:val="0"/>
          <w:numId w:val="1"/>
        </w:numPr>
        <w:jc w:val="both"/>
        <w:rPr>
          <w:rFonts w:cs="Times New Roman"/>
          <w:lang w:val="es-CO"/>
        </w:rPr>
      </w:pPr>
      <w:r w:rsidRPr="00720146">
        <w:rPr>
          <w:rFonts w:cs="Times New Roman"/>
          <w:lang w:val="es-CO"/>
        </w:rPr>
        <w:t>L</w:t>
      </w:r>
      <w:r w:rsidR="00094905" w:rsidRPr="00720146">
        <w:rPr>
          <w:rFonts w:cs="Times New Roman"/>
          <w:lang w:val="es-CO"/>
        </w:rPr>
        <w:t xml:space="preserve">a </w:t>
      </w:r>
      <w:r w:rsidR="00094905" w:rsidRPr="00720146">
        <w:rPr>
          <w:rFonts w:cs="Times New Roman"/>
          <w:b/>
          <w:lang w:val="es-CO"/>
        </w:rPr>
        <w:t>adherencia</w:t>
      </w:r>
      <w:r w:rsidR="00094905" w:rsidRPr="00720146">
        <w:rPr>
          <w:rFonts w:cs="Times New Roman"/>
          <w:lang w:val="es-CO"/>
        </w:rPr>
        <w:t xml:space="preserve"> al Lineamiento por parte de los </w:t>
      </w:r>
      <w:r w:rsidRPr="00720146">
        <w:rPr>
          <w:rFonts w:cs="Times New Roman"/>
          <w:lang w:val="es-CO"/>
        </w:rPr>
        <w:t>trabajadores de las instituciones prestadora</w:t>
      </w:r>
      <w:r w:rsidR="00094905" w:rsidRPr="00720146">
        <w:rPr>
          <w:rFonts w:cs="Times New Roman"/>
          <w:lang w:val="es-CO"/>
        </w:rPr>
        <w:t xml:space="preserve">s de </w:t>
      </w:r>
      <w:r w:rsidRPr="00720146">
        <w:rPr>
          <w:rFonts w:cs="Times New Roman"/>
          <w:lang w:val="es-CO"/>
        </w:rPr>
        <w:t xml:space="preserve">servicios de </w:t>
      </w:r>
      <w:r w:rsidR="00094905" w:rsidRPr="00720146">
        <w:rPr>
          <w:rFonts w:cs="Times New Roman"/>
          <w:lang w:val="es-CO"/>
        </w:rPr>
        <w:t xml:space="preserve">salud y </w:t>
      </w:r>
      <w:r w:rsidR="00527170" w:rsidRPr="00720146">
        <w:rPr>
          <w:rFonts w:cs="Times New Roman"/>
          <w:lang w:val="es-CO"/>
        </w:rPr>
        <w:t>por parte de</w:t>
      </w:r>
      <w:r w:rsidRPr="00720146">
        <w:rPr>
          <w:rFonts w:cs="Times New Roman"/>
          <w:lang w:val="es-CO"/>
        </w:rPr>
        <w:t xml:space="preserve"> los padres y/o cuidadores de los niños con desnutrición aguda</w:t>
      </w:r>
      <w:r w:rsidR="00094905" w:rsidRPr="00720146">
        <w:rPr>
          <w:rFonts w:cs="Times New Roman"/>
          <w:lang w:val="es-CO"/>
        </w:rPr>
        <w:t>.</w:t>
      </w:r>
      <w:r w:rsidR="009C51C3" w:rsidRPr="00720146">
        <w:rPr>
          <w:rFonts w:cs="Times New Roman"/>
          <w:lang w:val="es-CO"/>
        </w:rPr>
        <w:t xml:space="preserve"> Este criterio también estudiará los cambios en los procesos</w:t>
      </w:r>
      <w:r w:rsidR="009C51C3" w:rsidRPr="00101D3A">
        <w:rPr>
          <w:rFonts w:cs="Times New Roman"/>
          <w:lang w:val="es-CO"/>
        </w:rPr>
        <w:t xml:space="preserve"> por parte de las EAPB y las entidades territoriales en términos de lo ordenado por la Resolución 5406 de 2015</w:t>
      </w:r>
      <w:r w:rsidR="005A39A5" w:rsidRPr="008A61FD">
        <w:rPr>
          <w:rFonts w:cs="Times New Roman"/>
          <w:lang w:val="es-CO"/>
        </w:rPr>
        <w:t xml:space="preserve"> (en adelante, la Resolución)</w:t>
      </w:r>
      <w:r w:rsidR="009C51C3" w:rsidRPr="008A61FD">
        <w:rPr>
          <w:rFonts w:cs="Times New Roman"/>
          <w:lang w:val="es-CO"/>
        </w:rPr>
        <w:t>.</w:t>
      </w:r>
    </w:p>
    <w:p w14:paraId="04437EE9" w14:textId="77777777" w:rsidR="000C519D" w:rsidRPr="0022109F" w:rsidRDefault="000C519D" w:rsidP="000C519D">
      <w:pPr>
        <w:pStyle w:val="ListParagraph"/>
        <w:ind w:left="1080"/>
        <w:jc w:val="both"/>
        <w:rPr>
          <w:rFonts w:cs="Times New Roman"/>
          <w:lang w:val="es-CO"/>
        </w:rPr>
      </w:pPr>
    </w:p>
    <w:p w14:paraId="2C6854B0" w14:textId="77777777" w:rsidR="00094905" w:rsidRPr="00720146" w:rsidRDefault="009C51C3" w:rsidP="00B52507">
      <w:pPr>
        <w:pStyle w:val="ListParagraph"/>
        <w:numPr>
          <w:ilvl w:val="0"/>
          <w:numId w:val="1"/>
        </w:numPr>
        <w:jc w:val="both"/>
        <w:rPr>
          <w:rFonts w:cs="Times New Roman"/>
          <w:lang w:val="es-CO"/>
        </w:rPr>
      </w:pPr>
      <w:r w:rsidRPr="00720146">
        <w:rPr>
          <w:rFonts w:cs="Times New Roman"/>
          <w:lang w:val="es-CO"/>
        </w:rPr>
        <w:t xml:space="preserve">La </w:t>
      </w:r>
      <w:r w:rsidR="00527170" w:rsidRPr="00720146">
        <w:rPr>
          <w:rFonts w:cs="Times New Roman"/>
          <w:b/>
          <w:lang w:val="es-CO"/>
        </w:rPr>
        <w:t>Costo-efectividad</w:t>
      </w:r>
      <w:r w:rsidR="00527170" w:rsidRPr="00720146">
        <w:rPr>
          <w:rFonts w:cs="Times New Roman"/>
          <w:lang w:val="es-CO"/>
        </w:rPr>
        <w:t xml:space="preserve">, </w:t>
      </w:r>
      <w:r w:rsidR="00E4328E" w:rsidRPr="00720146">
        <w:rPr>
          <w:rFonts w:cs="Times New Roman"/>
          <w:lang w:val="es-CO"/>
        </w:rPr>
        <w:t xml:space="preserve">que </w:t>
      </w:r>
      <w:r w:rsidR="004E47EA" w:rsidRPr="00720146">
        <w:rPr>
          <w:rFonts w:cs="Times New Roman"/>
          <w:lang w:val="es-CO"/>
        </w:rPr>
        <w:t>compara el incremento</w:t>
      </w:r>
      <w:r w:rsidR="004E47EA" w:rsidRPr="00101D3A">
        <w:rPr>
          <w:rFonts w:cs="Times New Roman"/>
          <w:lang w:val="es-CO"/>
        </w:rPr>
        <w:t xml:space="preserve"> </w:t>
      </w:r>
      <w:r w:rsidR="004E47EA" w:rsidRPr="00720146">
        <w:rPr>
          <w:rFonts w:cs="Times New Roman"/>
          <w:lang w:val="es-CO"/>
        </w:rPr>
        <w:t>en los costos debido a la aplicación de</w:t>
      </w:r>
      <w:r w:rsidR="00E4328E" w:rsidRPr="00720146">
        <w:rPr>
          <w:rFonts w:cs="Times New Roman"/>
          <w:lang w:val="es-CO"/>
        </w:rPr>
        <w:t>l Lineamiento</w:t>
      </w:r>
      <w:r w:rsidR="004E47EA" w:rsidRPr="00720146">
        <w:rPr>
          <w:rFonts w:cs="Times New Roman"/>
          <w:lang w:val="es-CO"/>
        </w:rPr>
        <w:t xml:space="preserve"> y </w:t>
      </w:r>
      <w:r w:rsidR="00E4328E" w:rsidRPr="00720146">
        <w:rPr>
          <w:rFonts w:cs="Times New Roman"/>
          <w:lang w:val="es-CO"/>
        </w:rPr>
        <w:t>el efecto en salud</w:t>
      </w:r>
      <w:r w:rsidRPr="00101D3A">
        <w:rPr>
          <w:rFonts w:cs="Times New Roman"/>
          <w:lang w:val="es-CO"/>
        </w:rPr>
        <w:t xml:space="preserve"> que se genera por el</w:t>
      </w:r>
      <w:r w:rsidR="004E47EA" w:rsidRPr="00101D3A">
        <w:rPr>
          <w:rFonts w:cs="Times New Roman"/>
          <w:lang w:val="es-CO"/>
        </w:rPr>
        <w:t xml:space="preserve"> </w:t>
      </w:r>
      <w:r w:rsidR="00E4328E" w:rsidRPr="00101D3A">
        <w:rPr>
          <w:rFonts w:cs="Times New Roman"/>
          <w:lang w:val="es-CO"/>
        </w:rPr>
        <w:t>Lineamiento</w:t>
      </w:r>
      <w:r w:rsidR="004E47EA" w:rsidRPr="00101D3A">
        <w:rPr>
          <w:rFonts w:cs="Times New Roman"/>
          <w:lang w:val="es-CO"/>
        </w:rPr>
        <w:t xml:space="preserve"> en la población </w:t>
      </w:r>
      <w:r w:rsidRPr="008A61FD">
        <w:rPr>
          <w:rFonts w:cs="Times New Roman"/>
          <w:lang w:val="es-CO"/>
        </w:rPr>
        <w:t>diagnosticada con la enfermedad</w:t>
      </w:r>
      <w:r w:rsidR="004E47EA" w:rsidRPr="008A61FD">
        <w:rPr>
          <w:rFonts w:cs="Times New Roman"/>
          <w:lang w:val="es-CO"/>
        </w:rPr>
        <w:t xml:space="preserve">, </w:t>
      </w:r>
      <w:r w:rsidR="00BB021C" w:rsidRPr="008A61FD">
        <w:rPr>
          <w:rFonts w:cs="Times New Roman"/>
          <w:lang w:val="es-CO"/>
        </w:rPr>
        <w:t>en términos de casos y muertes evitadas y</w:t>
      </w:r>
      <w:r w:rsidR="004E47EA" w:rsidRPr="0022109F">
        <w:rPr>
          <w:rFonts w:cs="Times New Roman"/>
          <w:lang w:val="es-CO"/>
        </w:rPr>
        <w:t xml:space="preserve"> la disminución de años de v</w:t>
      </w:r>
      <w:r w:rsidR="004E47EA" w:rsidRPr="00720146">
        <w:rPr>
          <w:rFonts w:cs="Times New Roman"/>
          <w:lang w:val="es-CO"/>
        </w:rPr>
        <w:t xml:space="preserve">ida perdidos </w:t>
      </w:r>
      <w:r w:rsidR="00E4328E" w:rsidRPr="00720146">
        <w:rPr>
          <w:rFonts w:cs="Times New Roman"/>
          <w:lang w:val="es-CO"/>
        </w:rPr>
        <w:t>por discapacidad.</w:t>
      </w:r>
    </w:p>
    <w:p w14:paraId="3985A593" w14:textId="77777777" w:rsidR="00893112" w:rsidRPr="00720146" w:rsidRDefault="00893112" w:rsidP="00893112">
      <w:pPr>
        <w:jc w:val="both"/>
        <w:rPr>
          <w:rFonts w:cs="Times New Roman"/>
          <w:lang w:val="es-CO"/>
        </w:rPr>
      </w:pPr>
    </w:p>
    <w:p w14:paraId="572DD6BC" w14:textId="0F25A620" w:rsidR="004A3C54" w:rsidRPr="00101D3A" w:rsidRDefault="00527170" w:rsidP="00285C40">
      <w:pPr>
        <w:jc w:val="both"/>
        <w:rPr>
          <w:rFonts w:cs="Times New Roman"/>
          <w:lang w:val="es-CO"/>
        </w:rPr>
      </w:pPr>
      <w:r w:rsidRPr="00101D3A">
        <w:rPr>
          <w:rFonts w:cs="Times New Roman"/>
          <w:lang w:val="es-CO"/>
        </w:rPr>
        <w:t xml:space="preserve">El capítulo </w:t>
      </w:r>
      <w:r w:rsidR="00764B70" w:rsidRPr="00101D3A">
        <w:rPr>
          <w:rFonts w:cs="Times New Roman"/>
          <w:lang w:val="es-CO"/>
        </w:rPr>
        <w:t>quinto</w:t>
      </w:r>
      <w:r w:rsidRPr="00101D3A">
        <w:rPr>
          <w:rFonts w:cs="Times New Roman"/>
          <w:lang w:val="es-CO"/>
        </w:rPr>
        <w:t xml:space="preserve"> explica y sustenta los </w:t>
      </w:r>
      <w:r w:rsidRPr="00720146">
        <w:rPr>
          <w:rFonts w:cs="Times New Roman"/>
          <w:lang w:val="es-CO"/>
        </w:rPr>
        <w:t>hallazgos</w:t>
      </w:r>
      <w:r w:rsidRPr="00101D3A">
        <w:rPr>
          <w:rFonts w:cs="Times New Roman"/>
          <w:lang w:val="es-CO"/>
        </w:rPr>
        <w:t xml:space="preserve"> </w:t>
      </w:r>
      <w:r w:rsidR="008F291B" w:rsidRPr="00101D3A">
        <w:rPr>
          <w:rFonts w:cs="Times New Roman"/>
          <w:lang w:val="es-CO"/>
        </w:rPr>
        <w:t>a</w:t>
      </w:r>
      <w:r w:rsidRPr="00101D3A">
        <w:rPr>
          <w:rFonts w:cs="Times New Roman"/>
          <w:lang w:val="es-CO"/>
        </w:rPr>
        <w:t xml:space="preserve"> los que llegó el equipo evaluador después de aplicar la metodologí</w:t>
      </w:r>
      <w:r w:rsidR="008F291B" w:rsidRPr="00101D3A">
        <w:rPr>
          <w:rFonts w:cs="Times New Roman"/>
          <w:lang w:val="es-CO"/>
        </w:rPr>
        <w:t>a</w:t>
      </w:r>
      <w:r w:rsidR="000C519D" w:rsidRPr="00101D3A">
        <w:rPr>
          <w:rFonts w:cs="Times New Roman"/>
          <w:lang w:val="es-CO"/>
        </w:rPr>
        <w:t xml:space="preserve">; aquí se presentan, también, </w:t>
      </w:r>
      <w:r w:rsidR="00764B70" w:rsidRPr="00101D3A">
        <w:rPr>
          <w:rFonts w:cs="Times New Roman"/>
          <w:lang w:val="es-CO"/>
        </w:rPr>
        <w:t xml:space="preserve">las </w:t>
      </w:r>
      <w:r w:rsidR="008F291B" w:rsidRPr="00720146">
        <w:rPr>
          <w:rFonts w:cs="Times New Roman"/>
          <w:lang w:val="es-CO"/>
        </w:rPr>
        <w:t>conclusiones</w:t>
      </w:r>
      <w:r w:rsidR="008F291B" w:rsidRPr="00101D3A">
        <w:rPr>
          <w:rFonts w:cs="Times New Roman"/>
          <w:lang w:val="es-CO"/>
        </w:rPr>
        <w:t xml:space="preserve"> de la evaluación.</w:t>
      </w:r>
      <w:r w:rsidR="003156F5" w:rsidRPr="00101D3A">
        <w:rPr>
          <w:rFonts w:cs="Times New Roman"/>
          <w:lang w:val="es-CO"/>
        </w:rPr>
        <w:t xml:space="preserve"> </w:t>
      </w:r>
    </w:p>
    <w:p w14:paraId="1493DE70" w14:textId="77777777" w:rsidR="004A3C54" w:rsidRPr="008A61FD" w:rsidRDefault="004A3C54" w:rsidP="00285C40">
      <w:pPr>
        <w:jc w:val="both"/>
        <w:rPr>
          <w:rFonts w:cs="Times New Roman"/>
          <w:lang w:val="es-CO"/>
        </w:rPr>
      </w:pPr>
    </w:p>
    <w:p w14:paraId="07C936FF" w14:textId="77777777" w:rsidR="004A3C54" w:rsidRPr="00720146" w:rsidRDefault="008F291B" w:rsidP="00285C40">
      <w:pPr>
        <w:jc w:val="both"/>
        <w:rPr>
          <w:rFonts w:cs="Times New Roman"/>
          <w:lang w:val="es-CO"/>
        </w:rPr>
      </w:pPr>
      <w:r w:rsidRPr="008A61FD">
        <w:rPr>
          <w:rFonts w:cs="Times New Roman"/>
          <w:lang w:val="es-CO"/>
        </w:rPr>
        <w:t xml:space="preserve">Por último, el capítulo </w:t>
      </w:r>
      <w:r w:rsidR="00764B70" w:rsidRPr="008A61FD">
        <w:rPr>
          <w:rFonts w:cs="Times New Roman"/>
          <w:lang w:val="es-CO"/>
        </w:rPr>
        <w:t>sexto</w:t>
      </w:r>
      <w:r w:rsidRPr="0022109F">
        <w:rPr>
          <w:rFonts w:cs="Times New Roman"/>
          <w:lang w:val="es-CO"/>
        </w:rPr>
        <w:t>, pres</w:t>
      </w:r>
      <w:r w:rsidRPr="00720146">
        <w:rPr>
          <w:rFonts w:cs="Times New Roman"/>
          <w:lang w:val="es-CO"/>
        </w:rPr>
        <w:t xml:space="preserve">enta </w:t>
      </w:r>
      <w:r w:rsidR="005B3635" w:rsidRPr="00720146">
        <w:rPr>
          <w:rFonts w:cs="Times New Roman"/>
          <w:lang w:val="es-CO"/>
        </w:rPr>
        <w:t>las</w:t>
      </w:r>
      <w:r w:rsidRPr="00720146">
        <w:rPr>
          <w:rFonts w:cs="Times New Roman"/>
          <w:lang w:val="es-CO"/>
        </w:rPr>
        <w:t xml:space="preserve"> recomendaciones</w:t>
      </w:r>
      <w:r w:rsidRPr="00101D3A">
        <w:rPr>
          <w:rFonts w:cs="Times New Roman"/>
          <w:lang w:val="es-CO"/>
        </w:rPr>
        <w:t xml:space="preserve"> </w:t>
      </w:r>
      <w:r w:rsidR="005B3635" w:rsidRPr="00101D3A">
        <w:rPr>
          <w:rFonts w:cs="Times New Roman"/>
          <w:lang w:val="es-CO"/>
        </w:rPr>
        <w:t>para</w:t>
      </w:r>
      <w:r w:rsidR="0048098C" w:rsidRPr="00101D3A">
        <w:rPr>
          <w:rFonts w:cs="Times New Roman"/>
          <w:lang w:val="es-CO"/>
        </w:rPr>
        <w:t xml:space="preserve"> mejorar la implementación del L</w:t>
      </w:r>
      <w:r w:rsidR="005B3635" w:rsidRPr="008A61FD">
        <w:rPr>
          <w:rFonts w:cs="Times New Roman"/>
          <w:lang w:val="es-CO"/>
        </w:rPr>
        <w:t>ineamiento, tanto en La Guajira como en los demás departamentos priorizados en la Resolución, en té</w:t>
      </w:r>
      <w:r w:rsidR="009B6603" w:rsidRPr="0022109F">
        <w:rPr>
          <w:rFonts w:cs="Times New Roman"/>
          <w:lang w:val="es-CO"/>
        </w:rPr>
        <w:t>rminos de l</w:t>
      </w:r>
      <w:r w:rsidR="00352A50" w:rsidRPr="00720146">
        <w:rPr>
          <w:rFonts w:cs="Times New Roman"/>
          <w:lang w:val="es-CO"/>
        </w:rPr>
        <w:t>as acciones requeridas por parte de las entidades de salud del orden nacional y territorial, las entidades prestadoras de servicios de salud y los aseguradores</w:t>
      </w:r>
      <w:r w:rsidR="000C519D" w:rsidRPr="00720146">
        <w:rPr>
          <w:rFonts w:cs="Times New Roman"/>
          <w:lang w:val="es-CO"/>
        </w:rPr>
        <w:t xml:space="preserve">, para </w:t>
      </w:r>
      <w:r w:rsidR="0049691B" w:rsidRPr="00720146">
        <w:rPr>
          <w:rFonts w:cs="Times New Roman"/>
          <w:lang w:val="es-CO"/>
        </w:rPr>
        <w:t>garantizar el cumplimiento de los objetivos planteados en la Resolución.</w:t>
      </w:r>
      <w:r w:rsidR="00764B70" w:rsidRPr="00720146">
        <w:rPr>
          <w:rFonts w:cs="Times New Roman"/>
          <w:lang w:val="es-CO"/>
        </w:rPr>
        <w:t xml:space="preserve"> </w:t>
      </w:r>
    </w:p>
    <w:p w14:paraId="4D4F92FA" w14:textId="77777777" w:rsidR="004A3C54" w:rsidRPr="00720146" w:rsidRDefault="004A3C54" w:rsidP="00285C40">
      <w:pPr>
        <w:jc w:val="both"/>
        <w:rPr>
          <w:rFonts w:cs="Times New Roman"/>
          <w:lang w:val="es-CO"/>
        </w:rPr>
      </w:pPr>
    </w:p>
    <w:p w14:paraId="00C65F75" w14:textId="77777777" w:rsidR="003C2D63" w:rsidRDefault="00764B70" w:rsidP="00285C40">
      <w:pPr>
        <w:jc w:val="both"/>
        <w:rPr>
          <w:rFonts w:cs="Times New Roman"/>
          <w:lang w:val="es-CO"/>
        </w:rPr>
      </w:pPr>
      <w:r w:rsidRPr="00720146">
        <w:rPr>
          <w:rFonts w:cs="Times New Roman"/>
          <w:lang w:val="es-CO"/>
        </w:rPr>
        <w:t>En los anexos</w:t>
      </w:r>
      <w:r w:rsidRPr="00101D3A">
        <w:rPr>
          <w:rFonts w:cs="Times New Roman"/>
          <w:lang w:val="es-CO"/>
        </w:rPr>
        <w:t xml:space="preserve"> están los términos de referencia de la evaluación, los instrumentos de recolección de infor</w:t>
      </w:r>
      <w:r w:rsidRPr="008A61FD">
        <w:rPr>
          <w:rFonts w:cs="Times New Roman"/>
          <w:lang w:val="es-CO"/>
        </w:rPr>
        <w:t>mación cualitativa, el informe de trabajo de campo, la matriz de la evaluación y la descripción de una</w:t>
      </w:r>
      <w:r w:rsidR="003879C5" w:rsidRPr="0022109F">
        <w:rPr>
          <w:rFonts w:cs="Times New Roman"/>
          <w:lang w:val="es-CO"/>
        </w:rPr>
        <w:t xml:space="preserve"> herramienta que permite hacer los cálculos de costo-efectividad modificando los parámetros y actualizando la información por parte del MSPS.</w:t>
      </w:r>
      <w:r w:rsidR="003879C5" w:rsidRPr="00606E51">
        <w:rPr>
          <w:rFonts w:cs="Times New Roman"/>
          <w:lang w:val="es-CO"/>
        </w:rPr>
        <w:t xml:space="preserve"> </w:t>
      </w:r>
    </w:p>
    <w:p w14:paraId="5548CECA" w14:textId="77777777" w:rsidR="003C2D63" w:rsidRDefault="003C2D63" w:rsidP="00285C40">
      <w:pPr>
        <w:jc w:val="both"/>
        <w:rPr>
          <w:rFonts w:cs="Times New Roman"/>
          <w:lang w:val="es-CO"/>
        </w:rPr>
      </w:pPr>
    </w:p>
    <w:p w14:paraId="6531F991" w14:textId="77777777" w:rsidR="003C2D63" w:rsidRDefault="003C2D63" w:rsidP="00285C40">
      <w:pPr>
        <w:jc w:val="both"/>
        <w:rPr>
          <w:rFonts w:cs="Times New Roman"/>
          <w:lang w:val="es-CO"/>
        </w:rPr>
      </w:pPr>
    </w:p>
    <w:p w14:paraId="491602BF" w14:textId="1667344C" w:rsidR="001A174D" w:rsidRPr="00606E51" w:rsidRDefault="003879C5" w:rsidP="00BB1D7B">
      <w:pPr>
        <w:pStyle w:val="Heading1"/>
        <w:numPr>
          <w:ilvl w:val="0"/>
          <w:numId w:val="20"/>
        </w:numPr>
        <w:rPr>
          <w:lang w:val="es-CO"/>
        </w:rPr>
      </w:pPr>
      <w:r w:rsidRPr="00606E51">
        <w:rPr>
          <w:lang w:val="es-CO"/>
        </w:rPr>
        <w:t xml:space="preserve"> </w:t>
      </w:r>
      <w:bookmarkStart w:id="4" w:name="_Toc481101220"/>
      <w:bookmarkStart w:id="5" w:name="_Toc505090931"/>
      <w:r w:rsidR="00C71937" w:rsidRPr="00606E51">
        <w:rPr>
          <w:lang w:val="es-CO"/>
        </w:rPr>
        <w:t>Contexto</w:t>
      </w:r>
      <w:bookmarkEnd w:id="4"/>
      <w:bookmarkEnd w:id="5"/>
    </w:p>
    <w:p w14:paraId="6C742BA8" w14:textId="77777777" w:rsidR="00BF74FA" w:rsidRPr="00606E51" w:rsidRDefault="00BF74FA" w:rsidP="001A174D">
      <w:pPr>
        <w:jc w:val="both"/>
        <w:rPr>
          <w:rFonts w:cs="Times New Roman"/>
          <w:bCs/>
          <w:lang w:val="es-CO"/>
        </w:rPr>
      </w:pPr>
    </w:p>
    <w:p w14:paraId="3FBBB6CE" w14:textId="77777777" w:rsidR="0014294D" w:rsidRDefault="0014294D" w:rsidP="0014294D">
      <w:pPr>
        <w:jc w:val="both"/>
        <w:rPr>
          <w:rFonts w:cs="Times New Roman"/>
          <w:bCs/>
          <w:lang w:val="es-CO"/>
        </w:rPr>
      </w:pPr>
      <w:r w:rsidRPr="0014294D">
        <w:rPr>
          <w:rFonts w:cs="Times New Roman"/>
          <w:bCs/>
          <w:lang w:val="es-CO"/>
        </w:rPr>
        <w:t>Los niños y niñas con desnutrición aguda están en mayor</w:t>
      </w:r>
      <w:r>
        <w:rPr>
          <w:rFonts w:cs="Times New Roman"/>
          <w:bCs/>
          <w:lang w:val="es-CO"/>
        </w:rPr>
        <w:t xml:space="preserve"> riesgo de enfermar y morir por </w:t>
      </w:r>
      <w:r w:rsidRPr="0014294D">
        <w:rPr>
          <w:rFonts w:cs="Times New Roman"/>
          <w:bCs/>
          <w:lang w:val="es-CO"/>
        </w:rPr>
        <w:t>causas evitables, tener deficiencias de micronutrientes y retraso en talla si los episodios de</w:t>
      </w:r>
      <w:r>
        <w:rPr>
          <w:rFonts w:cs="Times New Roman"/>
          <w:bCs/>
          <w:lang w:val="es-CO"/>
        </w:rPr>
        <w:t xml:space="preserve"> </w:t>
      </w:r>
      <w:r w:rsidRPr="0014294D">
        <w:rPr>
          <w:rFonts w:cs="Times New Roman"/>
          <w:bCs/>
          <w:lang w:val="es-CO"/>
        </w:rPr>
        <w:t>desnutrición aguda son recurrentes o prolongados. De acuerdo con las estimaciones del</w:t>
      </w:r>
      <w:r>
        <w:rPr>
          <w:rFonts w:cs="Times New Roman"/>
          <w:bCs/>
          <w:lang w:val="es-CO"/>
        </w:rPr>
        <w:t xml:space="preserve"> </w:t>
      </w:r>
      <w:r w:rsidRPr="0014294D">
        <w:rPr>
          <w:rFonts w:cs="Times New Roman"/>
          <w:bCs/>
          <w:lang w:val="es-CO"/>
        </w:rPr>
        <w:t>Banco Mundial/OMS/UNICEF en el 2015, cada año cincuen</w:t>
      </w:r>
      <w:r>
        <w:rPr>
          <w:rFonts w:cs="Times New Roman"/>
          <w:bCs/>
          <w:lang w:val="es-CO"/>
        </w:rPr>
        <w:t xml:space="preserve">ta millones de niños y niñas en </w:t>
      </w:r>
      <w:r w:rsidRPr="0014294D">
        <w:rPr>
          <w:rFonts w:cs="Times New Roman"/>
          <w:bCs/>
          <w:lang w:val="es-CO"/>
        </w:rPr>
        <w:t>el mundo sufren de desnutrición aguda. De ellos, dieciséis millones tienen desnutrición aguda</w:t>
      </w:r>
      <w:r>
        <w:rPr>
          <w:rFonts w:cs="Times New Roman"/>
          <w:bCs/>
          <w:lang w:val="es-CO"/>
        </w:rPr>
        <w:t xml:space="preserve"> </w:t>
      </w:r>
      <w:r w:rsidRPr="0014294D">
        <w:rPr>
          <w:rFonts w:cs="Times New Roman"/>
          <w:bCs/>
          <w:lang w:val="es-CO"/>
        </w:rPr>
        <w:t xml:space="preserve">severa y treinta y cuatro, desnutrición aguda moderada. </w:t>
      </w:r>
      <w:r>
        <w:rPr>
          <w:rFonts w:cs="Times New Roman"/>
          <w:bCs/>
          <w:lang w:val="es-CO"/>
        </w:rPr>
        <w:t xml:space="preserve"> </w:t>
      </w:r>
      <w:r w:rsidRPr="0014294D">
        <w:rPr>
          <w:rFonts w:cs="Times New Roman"/>
          <w:bCs/>
          <w:lang w:val="es-CO"/>
        </w:rPr>
        <w:t>Las emergencias recurrentes, el</w:t>
      </w:r>
      <w:r>
        <w:rPr>
          <w:rFonts w:cs="Times New Roman"/>
          <w:bCs/>
          <w:lang w:val="es-CO"/>
        </w:rPr>
        <w:t xml:space="preserve"> </w:t>
      </w:r>
      <w:r w:rsidRPr="0014294D">
        <w:rPr>
          <w:rFonts w:cs="Times New Roman"/>
          <w:bCs/>
          <w:lang w:val="es-CO"/>
        </w:rPr>
        <w:t>cambio climático y los problemas sociales estructurales de los países se relacionan con la mayor</w:t>
      </w:r>
      <w:r>
        <w:rPr>
          <w:rFonts w:cs="Times New Roman"/>
          <w:bCs/>
          <w:lang w:val="es-CO"/>
        </w:rPr>
        <w:t xml:space="preserve"> </w:t>
      </w:r>
      <w:r w:rsidRPr="0014294D">
        <w:rPr>
          <w:rFonts w:cs="Times New Roman"/>
          <w:bCs/>
          <w:lang w:val="es-CO"/>
        </w:rPr>
        <w:t>o menor prevalencia de la desnutrición aguda y las estrategias de prevención y atención varían</w:t>
      </w:r>
      <w:r>
        <w:rPr>
          <w:rFonts w:cs="Times New Roman"/>
          <w:bCs/>
          <w:lang w:val="es-CO"/>
        </w:rPr>
        <w:t xml:space="preserve"> </w:t>
      </w:r>
      <w:r w:rsidRPr="0014294D">
        <w:rPr>
          <w:rFonts w:cs="Times New Roman"/>
          <w:bCs/>
          <w:lang w:val="es-CO"/>
        </w:rPr>
        <w:t>de acuerdo con el contexto y las causas inmediatas, subyacentes y estructurales identificadas</w:t>
      </w:r>
      <w:r>
        <w:rPr>
          <w:rFonts w:cs="Times New Roman"/>
          <w:bCs/>
          <w:lang w:val="es-CO"/>
        </w:rPr>
        <w:t xml:space="preserve"> </w:t>
      </w:r>
      <w:r w:rsidRPr="0014294D">
        <w:rPr>
          <w:rFonts w:cs="Times New Roman"/>
          <w:bCs/>
          <w:lang w:val="es-CO"/>
        </w:rPr>
        <w:t>en cada país y región.</w:t>
      </w:r>
    </w:p>
    <w:p w14:paraId="1F60D088" w14:textId="77777777" w:rsidR="0014294D" w:rsidRPr="0014294D" w:rsidRDefault="0014294D" w:rsidP="0014294D">
      <w:pPr>
        <w:jc w:val="both"/>
        <w:rPr>
          <w:rFonts w:cs="Times New Roman"/>
          <w:bCs/>
          <w:lang w:val="es-CO"/>
        </w:rPr>
      </w:pPr>
    </w:p>
    <w:p w14:paraId="602CC71F" w14:textId="19A673CF" w:rsidR="0014294D" w:rsidRPr="0014294D" w:rsidRDefault="0014294D" w:rsidP="0014294D">
      <w:pPr>
        <w:jc w:val="both"/>
        <w:rPr>
          <w:rFonts w:cs="Times New Roman"/>
          <w:bCs/>
          <w:lang w:val="es-CO"/>
        </w:rPr>
      </w:pPr>
      <w:r w:rsidRPr="00101D3A">
        <w:rPr>
          <w:rFonts w:cs="Times New Roman"/>
          <w:bCs/>
          <w:lang w:val="es-CO"/>
        </w:rPr>
        <w:lastRenderedPageBreak/>
        <w:t xml:space="preserve">La prevalencia de desnutrición aguda en Colombia es de 0.9%, con variaciones importantes </w:t>
      </w:r>
      <w:r w:rsidRPr="008A61FD">
        <w:rPr>
          <w:rFonts w:cs="Times New Roman"/>
          <w:bCs/>
          <w:lang w:val="es-CO"/>
        </w:rPr>
        <w:t>departamentales y regionales (21). Las situaciones como el bajo acceso a los aliment</w:t>
      </w:r>
      <w:r w:rsidRPr="0022109F">
        <w:rPr>
          <w:rFonts w:cs="Times New Roman"/>
          <w:bCs/>
          <w:lang w:val="es-CO"/>
        </w:rPr>
        <w:t xml:space="preserve">os, el conflicto armado, el desplazamiento forzado y el cambio climático, han afectado a unas regiones del país más que a otras. Las evaluaciones de necesidades de algunas agencias de Naciones Unidas han reportado </w:t>
      </w:r>
      <w:r w:rsidRPr="00720146">
        <w:rPr>
          <w:rFonts w:cs="Times New Roman"/>
          <w:bCs/>
          <w:lang w:val="es-CO"/>
        </w:rPr>
        <w:t>porcentajes de desnutrición aguda más altos en comunidades indígenas dispersas</w:t>
      </w:r>
      <w:r w:rsidRPr="00101D3A">
        <w:rPr>
          <w:rFonts w:cs="Times New Roman"/>
          <w:bCs/>
          <w:lang w:val="es-CO"/>
        </w:rPr>
        <w:t xml:space="preserve"> de los departamentos de La Guajira, Chocó, Putumayo y Nariño</w:t>
      </w:r>
      <w:r w:rsidRPr="008A61FD">
        <w:rPr>
          <w:rFonts w:cs="Times New Roman"/>
          <w:bCs/>
          <w:lang w:val="es-CO"/>
        </w:rPr>
        <w:t>.</w:t>
      </w:r>
    </w:p>
    <w:p w14:paraId="30DFE8AC" w14:textId="77777777" w:rsidR="0014294D" w:rsidRDefault="0014294D" w:rsidP="0014294D">
      <w:pPr>
        <w:jc w:val="both"/>
        <w:rPr>
          <w:rFonts w:cs="Times New Roman"/>
          <w:bCs/>
          <w:lang w:val="es-CO"/>
        </w:rPr>
      </w:pPr>
    </w:p>
    <w:p w14:paraId="18EDE45B" w14:textId="77777777" w:rsidR="0014294D" w:rsidRDefault="0014294D" w:rsidP="0014294D">
      <w:pPr>
        <w:jc w:val="both"/>
        <w:rPr>
          <w:rFonts w:cs="Times New Roman"/>
          <w:bCs/>
          <w:lang w:val="es-CO"/>
        </w:rPr>
      </w:pPr>
      <w:r w:rsidRPr="00101D3A">
        <w:rPr>
          <w:rFonts w:cs="Times New Roman"/>
          <w:bCs/>
          <w:lang w:val="es-CO"/>
        </w:rPr>
        <w:t xml:space="preserve">El </w:t>
      </w:r>
      <w:r w:rsidR="00D65FDA" w:rsidRPr="00101D3A">
        <w:rPr>
          <w:rFonts w:cs="Times New Roman"/>
          <w:sz w:val="21"/>
          <w:lang w:val="es-CO"/>
        </w:rPr>
        <w:t>Instituto Colombiano de Bienestar Familiar</w:t>
      </w:r>
      <w:r w:rsidR="00D65FDA" w:rsidRPr="00101D3A">
        <w:rPr>
          <w:rFonts w:cs="Times New Roman"/>
          <w:bCs/>
          <w:lang w:val="es-CO"/>
        </w:rPr>
        <w:t xml:space="preserve"> (</w:t>
      </w:r>
      <w:r w:rsidRPr="00101D3A">
        <w:rPr>
          <w:rFonts w:cs="Times New Roman"/>
          <w:bCs/>
          <w:lang w:val="es-CO"/>
        </w:rPr>
        <w:t>ICBF</w:t>
      </w:r>
      <w:r w:rsidR="00D65FDA" w:rsidRPr="008B49A7">
        <w:rPr>
          <w:rFonts w:cs="Times New Roman"/>
          <w:bCs/>
          <w:lang w:val="es-CO"/>
        </w:rPr>
        <w:t>)</w:t>
      </w:r>
      <w:r w:rsidRPr="008B49A7">
        <w:rPr>
          <w:rFonts w:cs="Times New Roman"/>
          <w:bCs/>
          <w:lang w:val="es-CO"/>
        </w:rPr>
        <w:t xml:space="preserve"> con base en el ejercicio de microfocalización rea</w:t>
      </w:r>
      <w:r w:rsidRPr="008A61FD">
        <w:rPr>
          <w:rFonts w:cs="Times New Roman"/>
          <w:bCs/>
          <w:lang w:val="es-CO"/>
        </w:rPr>
        <w:t>lizado en el primer semestre de 2015 en los municipios</w:t>
      </w:r>
      <w:r w:rsidRPr="0022109F">
        <w:rPr>
          <w:rFonts w:cs="Times New Roman"/>
          <w:bCs/>
          <w:lang w:val="es-CO"/>
        </w:rPr>
        <w:t xml:space="preserve"> de Manaure, Maicao y Uribia encontró que </w:t>
      </w:r>
      <w:r w:rsidRPr="00720146">
        <w:rPr>
          <w:rFonts w:cs="Times New Roman"/>
          <w:bCs/>
          <w:lang w:val="es-CO"/>
        </w:rPr>
        <w:t>el 3.2 % de los niños y niñas de 0 a 59 meses presentaban desnutrición aguda y el 59 % retraso en talla</w:t>
      </w:r>
      <w:r w:rsidRPr="00101D3A">
        <w:rPr>
          <w:rFonts w:cs="Times New Roman"/>
          <w:bCs/>
          <w:lang w:val="es-CO"/>
        </w:rPr>
        <w:t>; 24.7 % de las madres gestantes tenía bajo peso para la edad gestacional.</w:t>
      </w:r>
      <w:r>
        <w:rPr>
          <w:rFonts w:cs="Times New Roman"/>
          <w:bCs/>
          <w:lang w:val="es-CO"/>
        </w:rPr>
        <w:t xml:space="preserve"> </w:t>
      </w:r>
    </w:p>
    <w:p w14:paraId="795E30AD" w14:textId="77777777" w:rsidR="0014294D" w:rsidRDefault="0014294D" w:rsidP="0014294D">
      <w:pPr>
        <w:jc w:val="both"/>
        <w:rPr>
          <w:rFonts w:cs="Times New Roman"/>
          <w:bCs/>
          <w:lang w:val="es-CO"/>
        </w:rPr>
      </w:pPr>
    </w:p>
    <w:p w14:paraId="2D7E50D7" w14:textId="77777777" w:rsidR="0014294D" w:rsidRDefault="0014294D" w:rsidP="0014294D">
      <w:pPr>
        <w:jc w:val="both"/>
        <w:rPr>
          <w:rFonts w:cs="Times New Roman"/>
          <w:bCs/>
          <w:lang w:val="es-CO"/>
        </w:rPr>
      </w:pPr>
      <w:r w:rsidRPr="00101D3A">
        <w:rPr>
          <w:rFonts w:cs="Times New Roman"/>
          <w:bCs/>
          <w:lang w:val="es-CO"/>
        </w:rPr>
        <w:t xml:space="preserve">Las tasas de </w:t>
      </w:r>
      <w:r w:rsidRPr="00720146">
        <w:rPr>
          <w:rFonts w:cs="Times New Roman"/>
          <w:bCs/>
          <w:lang w:val="es-CO"/>
        </w:rPr>
        <w:t>mortalidad infantil</w:t>
      </w:r>
      <w:r w:rsidRPr="00101D3A">
        <w:rPr>
          <w:rFonts w:cs="Times New Roman"/>
          <w:bCs/>
          <w:lang w:val="es-CO"/>
        </w:rPr>
        <w:t xml:space="preserve"> han venido descendiendo en Colombia lográndose en la última década una reducción de 15.9 en el 2005 a 12.1 muertes por cada 1000 nacidos vivos</w:t>
      </w:r>
      <w:r w:rsidRPr="008A61FD">
        <w:rPr>
          <w:rFonts w:cs="Times New Roman"/>
          <w:bCs/>
          <w:lang w:val="es-CO"/>
        </w:rPr>
        <w:t xml:space="preserve"> en el 2012, consistente con la reducción de la muerte infantil por desnutrición, de 646 casos</w:t>
      </w:r>
      <w:r w:rsidRPr="0022109F">
        <w:rPr>
          <w:rFonts w:cs="Times New Roman"/>
          <w:bCs/>
          <w:lang w:val="es-CO"/>
        </w:rPr>
        <w:t xml:space="preserve"> reportados </w:t>
      </w:r>
      <w:r w:rsidR="0065786F" w:rsidRPr="00720146">
        <w:rPr>
          <w:rFonts w:cs="Times New Roman"/>
          <w:bCs/>
          <w:lang w:val="es-CO"/>
        </w:rPr>
        <w:t>en el 2005 a 283 en el 2013</w:t>
      </w:r>
      <w:r w:rsidRPr="00720146">
        <w:rPr>
          <w:rFonts w:cs="Times New Roman"/>
          <w:bCs/>
          <w:lang w:val="es-CO"/>
        </w:rPr>
        <w:t>. Los departamentos de la región atlántica, La Guajira, Magdalena, Bolívar y Cesar, así como el departamento de Chocó en la región pacífica y todos los departamentos de la Orinoquia y la Amazonía reportan el mayor número de casos.</w:t>
      </w:r>
    </w:p>
    <w:p w14:paraId="61F00279" w14:textId="77777777" w:rsidR="0014294D" w:rsidRPr="0014294D" w:rsidRDefault="0014294D" w:rsidP="0014294D">
      <w:pPr>
        <w:jc w:val="both"/>
        <w:rPr>
          <w:rFonts w:cs="Times New Roman"/>
          <w:bCs/>
          <w:lang w:val="es-CO"/>
        </w:rPr>
      </w:pPr>
    </w:p>
    <w:p w14:paraId="4F9BC8E7" w14:textId="77777777" w:rsidR="0014294D" w:rsidRDefault="0014294D" w:rsidP="0014294D">
      <w:pPr>
        <w:jc w:val="both"/>
        <w:rPr>
          <w:rFonts w:cs="Times New Roman"/>
          <w:bCs/>
          <w:lang w:val="es-CO"/>
        </w:rPr>
      </w:pPr>
      <w:r w:rsidRPr="00101D3A">
        <w:rPr>
          <w:rFonts w:cs="Times New Roman"/>
          <w:bCs/>
          <w:lang w:val="es-CO"/>
        </w:rPr>
        <w:t xml:space="preserve">El bajo ingreso de los hogares es uno de los factores determinantes en la </w:t>
      </w:r>
      <w:r w:rsidRPr="00720146">
        <w:rPr>
          <w:rFonts w:cs="Times New Roman"/>
          <w:bCs/>
          <w:lang w:val="es-CO"/>
        </w:rPr>
        <w:t>mortalidad por desnutrición</w:t>
      </w:r>
      <w:r w:rsidRPr="00101D3A">
        <w:rPr>
          <w:rFonts w:cs="Times New Roman"/>
          <w:bCs/>
          <w:lang w:val="es-CO"/>
        </w:rPr>
        <w:t xml:space="preserve">. De acuerdo con el </w:t>
      </w:r>
      <w:r w:rsidR="0065786F" w:rsidRPr="008A61FD">
        <w:rPr>
          <w:rFonts w:cs="Times New Roman"/>
          <w:bCs/>
          <w:lang w:val="es-CO"/>
        </w:rPr>
        <w:t>MSPS</w:t>
      </w:r>
      <w:r w:rsidRPr="008A61FD">
        <w:rPr>
          <w:rFonts w:cs="Times New Roman"/>
          <w:bCs/>
          <w:lang w:val="es-CO"/>
        </w:rPr>
        <w:t xml:space="preserve"> la mortalidad asociada a la desnutrición se concentra</w:t>
      </w:r>
      <w:r w:rsidRPr="0022109F">
        <w:rPr>
          <w:rFonts w:cs="Times New Roman"/>
          <w:bCs/>
          <w:lang w:val="es-CO"/>
        </w:rPr>
        <w:t xml:space="preserve"> en el primer quintil de pobreza, en la población con bajo acceso a fuentes de</w:t>
      </w:r>
      <w:r w:rsidRPr="00720146">
        <w:rPr>
          <w:rFonts w:cs="Times New Roman"/>
          <w:bCs/>
          <w:lang w:val="es-CO"/>
        </w:rPr>
        <w:t xml:space="preserve"> agua mejorada, con necesidades básicas insatisfechas y con mayores barreras de acceso a los servicios de salud de la primera infancia.</w:t>
      </w:r>
    </w:p>
    <w:p w14:paraId="267723CE" w14:textId="77777777" w:rsidR="0014294D" w:rsidRDefault="0014294D" w:rsidP="001A174D">
      <w:pPr>
        <w:jc w:val="both"/>
        <w:rPr>
          <w:rFonts w:cs="Times New Roman"/>
          <w:bCs/>
          <w:lang w:val="es-CO"/>
        </w:rPr>
      </w:pPr>
    </w:p>
    <w:p w14:paraId="43A5602A" w14:textId="77777777" w:rsidR="00033429" w:rsidRPr="00606E51" w:rsidRDefault="00C7106E" w:rsidP="001A174D">
      <w:pPr>
        <w:jc w:val="both"/>
        <w:rPr>
          <w:rFonts w:cs="Times New Roman"/>
          <w:bCs/>
          <w:lang w:val="es-CO"/>
        </w:rPr>
      </w:pPr>
      <w:r w:rsidRPr="00101D3A">
        <w:rPr>
          <w:rFonts w:cs="Times New Roman"/>
          <w:bCs/>
          <w:lang w:val="es-CO"/>
        </w:rPr>
        <w:t xml:space="preserve">Para </w:t>
      </w:r>
      <w:r w:rsidR="009865C7" w:rsidRPr="00101D3A">
        <w:rPr>
          <w:rFonts w:cs="Times New Roman"/>
          <w:bCs/>
          <w:lang w:val="es-CO"/>
        </w:rPr>
        <w:t>facilitar la implementación</w:t>
      </w:r>
      <w:r w:rsidRPr="00101D3A">
        <w:rPr>
          <w:rFonts w:cs="Times New Roman"/>
          <w:bCs/>
          <w:lang w:val="es-CO"/>
        </w:rPr>
        <w:t xml:space="preserve"> </w:t>
      </w:r>
      <w:r w:rsidR="009865C7" w:rsidRPr="00101D3A">
        <w:rPr>
          <w:rFonts w:cs="Times New Roman"/>
          <w:bCs/>
          <w:lang w:val="es-CO"/>
        </w:rPr>
        <w:t>d</w:t>
      </w:r>
      <w:r w:rsidRPr="00101D3A">
        <w:rPr>
          <w:rFonts w:cs="Times New Roman"/>
          <w:bCs/>
          <w:lang w:val="es-CO"/>
        </w:rPr>
        <w:t>e</w:t>
      </w:r>
      <w:r w:rsidR="004549DB" w:rsidRPr="008B49A7">
        <w:rPr>
          <w:rFonts w:cs="Times New Roman"/>
          <w:bCs/>
          <w:lang w:val="es-CO"/>
        </w:rPr>
        <w:t xml:space="preserve">l Lineamiento, </w:t>
      </w:r>
      <w:r w:rsidR="007F70E4" w:rsidRPr="008B49A7">
        <w:rPr>
          <w:rFonts w:cs="Times New Roman"/>
          <w:bCs/>
          <w:lang w:val="es-CO"/>
        </w:rPr>
        <w:t>el MSPS</w:t>
      </w:r>
      <w:r w:rsidRPr="008A61FD">
        <w:rPr>
          <w:rFonts w:cs="Times New Roman"/>
          <w:bCs/>
          <w:lang w:val="es-CO"/>
        </w:rPr>
        <w:t xml:space="preserve"> expidió la </w:t>
      </w:r>
      <w:r w:rsidRPr="00720146">
        <w:rPr>
          <w:rFonts w:cs="Times New Roman"/>
          <w:bCs/>
          <w:lang w:val="es-CO"/>
        </w:rPr>
        <w:t>Resolución</w:t>
      </w:r>
      <w:r w:rsidRPr="00101D3A">
        <w:rPr>
          <w:rFonts w:cs="Times New Roman"/>
          <w:bCs/>
          <w:lang w:val="es-CO"/>
        </w:rPr>
        <w:t xml:space="preserve"> </w:t>
      </w:r>
      <w:r w:rsidR="007F70E4" w:rsidRPr="00101D3A">
        <w:rPr>
          <w:rFonts w:cs="Times New Roman"/>
          <w:bCs/>
          <w:lang w:val="es-CO"/>
        </w:rPr>
        <w:t>que,</w:t>
      </w:r>
      <w:r w:rsidR="000E25C1" w:rsidRPr="00101D3A">
        <w:rPr>
          <w:rFonts w:cs="Times New Roman"/>
          <w:bCs/>
          <w:lang w:val="es-CO"/>
        </w:rPr>
        <w:t xml:space="preserve"> como lo informa </w:t>
      </w:r>
      <w:r w:rsidR="0065786F" w:rsidRPr="00101D3A">
        <w:rPr>
          <w:rFonts w:cs="Times New Roman"/>
          <w:bCs/>
          <w:lang w:val="es-CO"/>
        </w:rPr>
        <w:t>ese</w:t>
      </w:r>
      <w:r w:rsidR="00194D17" w:rsidRPr="00101D3A">
        <w:rPr>
          <w:rFonts w:cs="Times New Roman"/>
          <w:bCs/>
          <w:lang w:val="es-CO"/>
        </w:rPr>
        <w:t xml:space="preserve"> acto administrativo</w:t>
      </w:r>
      <w:r w:rsidR="000E25C1" w:rsidRPr="008B49A7">
        <w:rPr>
          <w:rFonts w:cs="Times New Roman"/>
          <w:bCs/>
          <w:lang w:val="es-CO"/>
        </w:rPr>
        <w:t>, se</w:t>
      </w:r>
      <w:r w:rsidRPr="008B49A7">
        <w:rPr>
          <w:rFonts w:cs="Times New Roman"/>
          <w:bCs/>
          <w:lang w:val="es-CO"/>
        </w:rPr>
        <w:t xml:space="preserve"> </w:t>
      </w:r>
      <w:r w:rsidR="00D17DE0" w:rsidRPr="008A61FD">
        <w:rPr>
          <w:rFonts w:cs="Times New Roman"/>
          <w:bCs/>
          <w:lang w:val="es-CO"/>
        </w:rPr>
        <w:t xml:space="preserve">enmarca </w:t>
      </w:r>
      <w:r w:rsidR="00D17DE0" w:rsidRPr="00720146">
        <w:rPr>
          <w:rFonts w:cs="Times New Roman"/>
          <w:bCs/>
          <w:lang w:val="es-CO"/>
        </w:rPr>
        <w:t xml:space="preserve">dentro de un contexto de reforma </w:t>
      </w:r>
      <w:r w:rsidR="000E25C1" w:rsidRPr="00720146">
        <w:rPr>
          <w:rFonts w:cs="Times New Roman"/>
          <w:bCs/>
          <w:lang w:val="es-CO"/>
        </w:rPr>
        <w:t>del sector salud</w:t>
      </w:r>
      <w:r w:rsidR="000E25C1" w:rsidRPr="00101D3A">
        <w:rPr>
          <w:rFonts w:cs="Times New Roman"/>
          <w:bCs/>
          <w:lang w:val="es-CO"/>
        </w:rPr>
        <w:t>, una desmejora en los indicadores de desnutrición aguda en varios departamentos del país</w:t>
      </w:r>
      <w:r w:rsidR="007F70E4" w:rsidRPr="008A61FD">
        <w:rPr>
          <w:rFonts w:cs="Times New Roman"/>
          <w:bCs/>
          <w:lang w:val="es-CO"/>
        </w:rPr>
        <w:t xml:space="preserve"> y un incremento en las tasas de mortalidad infantil asociadas a la desnutrición aguda en los municipios </w:t>
      </w:r>
      <w:r w:rsidR="00580EA5" w:rsidRPr="008A61FD">
        <w:rPr>
          <w:rFonts w:cs="Times New Roman"/>
          <w:bCs/>
          <w:lang w:val="es-CO"/>
        </w:rPr>
        <w:t>del departamento de La Guajira</w:t>
      </w:r>
      <w:r w:rsidR="00E0517F" w:rsidRPr="0022109F">
        <w:rPr>
          <w:rFonts w:cs="Times New Roman"/>
          <w:bCs/>
          <w:lang w:val="es-CO"/>
        </w:rPr>
        <w:t xml:space="preserve"> en los años 2015 y 2016</w:t>
      </w:r>
      <w:r w:rsidR="00695CCB" w:rsidRPr="00101D3A">
        <w:rPr>
          <w:rStyle w:val="FootnoteReference"/>
          <w:rFonts w:cs="Times New Roman"/>
          <w:bCs/>
          <w:lang w:val="es-CO"/>
        </w:rPr>
        <w:footnoteReference w:id="6"/>
      </w:r>
      <w:r w:rsidR="007F70E4" w:rsidRPr="00101D3A">
        <w:rPr>
          <w:rFonts w:cs="Times New Roman"/>
          <w:bCs/>
          <w:lang w:val="es-CO"/>
        </w:rPr>
        <w:t xml:space="preserve">. </w:t>
      </w:r>
      <w:r w:rsidR="000E25C1" w:rsidRPr="00101D3A">
        <w:rPr>
          <w:rFonts w:cs="Times New Roman"/>
          <w:bCs/>
          <w:lang w:val="es-CO"/>
        </w:rPr>
        <w:t xml:space="preserve"> </w:t>
      </w:r>
      <w:r w:rsidR="00637553" w:rsidRPr="00101D3A">
        <w:rPr>
          <w:rFonts w:cs="Times New Roman"/>
          <w:bCs/>
          <w:lang w:val="es-CO"/>
        </w:rPr>
        <w:t xml:space="preserve">En </w:t>
      </w:r>
      <w:r w:rsidR="0065786F" w:rsidRPr="00101D3A">
        <w:rPr>
          <w:rFonts w:cs="Times New Roman"/>
          <w:bCs/>
          <w:lang w:val="es-CO"/>
        </w:rPr>
        <w:t>la siguiente</w:t>
      </w:r>
      <w:r w:rsidR="00637553" w:rsidRPr="00101D3A">
        <w:rPr>
          <w:rFonts w:cs="Times New Roman"/>
          <w:bCs/>
          <w:lang w:val="es-CO"/>
        </w:rPr>
        <w:t xml:space="preserve"> sección se hace una breve presentació</w:t>
      </w:r>
      <w:r w:rsidR="002B2022" w:rsidRPr="008B49A7">
        <w:rPr>
          <w:rFonts w:cs="Times New Roman"/>
          <w:bCs/>
          <w:lang w:val="es-CO"/>
        </w:rPr>
        <w:t xml:space="preserve">n de este </w:t>
      </w:r>
      <w:r w:rsidR="002B2022" w:rsidRPr="00720146">
        <w:rPr>
          <w:rFonts w:cs="Times New Roman"/>
          <w:bCs/>
          <w:lang w:val="es-CO"/>
        </w:rPr>
        <w:t xml:space="preserve">contexto </w:t>
      </w:r>
      <w:r w:rsidR="0065786F" w:rsidRPr="00720146">
        <w:rPr>
          <w:rFonts w:cs="Times New Roman"/>
          <w:bCs/>
          <w:lang w:val="es-CO"/>
        </w:rPr>
        <w:t>normativo</w:t>
      </w:r>
      <w:r w:rsidR="0065786F" w:rsidRPr="00101D3A">
        <w:rPr>
          <w:rFonts w:cs="Times New Roman"/>
          <w:bCs/>
          <w:lang w:val="es-CO"/>
        </w:rPr>
        <w:t xml:space="preserve">, </w:t>
      </w:r>
      <w:r w:rsidR="00580EA5" w:rsidRPr="00101D3A">
        <w:rPr>
          <w:rFonts w:cs="Times New Roman"/>
          <w:bCs/>
          <w:lang w:val="es-CO"/>
        </w:rPr>
        <w:t xml:space="preserve">dada su </w:t>
      </w:r>
      <w:r w:rsidR="002B2022" w:rsidRPr="00101D3A">
        <w:rPr>
          <w:rFonts w:cs="Times New Roman"/>
          <w:bCs/>
          <w:lang w:val="es-CO"/>
        </w:rPr>
        <w:t>importancia</w:t>
      </w:r>
      <w:r w:rsidR="00E00975" w:rsidRPr="00101D3A">
        <w:rPr>
          <w:rFonts w:cs="Times New Roman"/>
          <w:bCs/>
          <w:lang w:val="es-CO"/>
        </w:rPr>
        <w:t>,</w:t>
      </w:r>
      <w:r w:rsidR="002B2022" w:rsidRPr="00101D3A">
        <w:rPr>
          <w:rFonts w:cs="Times New Roman"/>
          <w:bCs/>
          <w:lang w:val="es-CO"/>
        </w:rPr>
        <w:t xml:space="preserve"> tanto para la implementación del Lineamiento como para </w:t>
      </w:r>
      <w:r w:rsidR="00194D17" w:rsidRPr="008A61FD">
        <w:rPr>
          <w:rFonts w:cs="Times New Roman"/>
          <w:bCs/>
          <w:lang w:val="es-CO"/>
        </w:rPr>
        <w:t xml:space="preserve">enfocar el marco en el cuál se desarrolló </w:t>
      </w:r>
      <w:r w:rsidR="002B2022" w:rsidRPr="0022109F">
        <w:rPr>
          <w:rFonts w:cs="Times New Roman"/>
          <w:bCs/>
          <w:lang w:val="es-CO"/>
        </w:rPr>
        <w:t>esta evaluació</w:t>
      </w:r>
      <w:r w:rsidR="00033429" w:rsidRPr="00720146">
        <w:rPr>
          <w:rFonts w:cs="Times New Roman"/>
          <w:bCs/>
          <w:lang w:val="es-CO"/>
        </w:rPr>
        <w:t>n</w:t>
      </w:r>
      <w:r w:rsidR="00580EA5" w:rsidRPr="00720146">
        <w:rPr>
          <w:rFonts w:cs="Times New Roman"/>
          <w:bCs/>
          <w:lang w:val="es-CO"/>
        </w:rPr>
        <w:t>.</w:t>
      </w:r>
    </w:p>
    <w:p w14:paraId="3A670C4A" w14:textId="77777777" w:rsidR="00580EA5" w:rsidRPr="00606E51" w:rsidRDefault="00580EA5" w:rsidP="001A174D">
      <w:pPr>
        <w:jc w:val="both"/>
        <w:rPr>
          <w:rFonts w:cs="Times New Roman"/>
          <w:bCs/>
          <w:lang w:val="es-CO"/>
        </w:rPr>
      </w:pPr>
    </w:p>
    <w:p w14:paraId="1E4F5557" w14:textId="77777777" w:rsidR="00A21277" w:rsidRPr="00606E51" w:rsidRDefault="007F0B06" w:rsidP="008A61FD">
      <w:pPr>
        <w:pStyle w:val="Heading2"/>
        <w:rPr>
          <w:lang w:val="es-CO"/>
        </w:rPr>
      </w:pPr>
      <w:r w:rsidRPr="00606E51">
        <w:rPr>
          <w:lang w:val="es-CO"/>
        </w:rPr>
        <w:t xml:space="preserve"> </w:t>
      </w:r>
      <w:bookmarkStart w:id="6" w:name="_Toc505090932"/>
      <w:r w:rsidR="00B045DF" w:rsidRPr="00606E51">
        <w:rPr>
          <w:lang w:val="es-CO"/>
        </w:rPr>
        <w:t>Contexto de política pú</w:t>
      </w:r>
      <w:r w:rsidR="00A21277" w:rsidRPr="00606E51">
        <w:rPr>
          <w:lang w:val="es-CO"/>
        </w:rPr>
        <w:t>blica</w:t>
      </w:r>
      <w:bookmarkEnd w:id="6"/>
    </w:p>
    <w:p w14:paraId="6489B801" w14:textId="77777777" w:rsidR="00122361" w:rsidRPr="00606E51" w:rsidRDefault="00122361" w:rsidP="00122361">
      <w:pPr>
        <w:rPr>
          <w:rFonts w:cs="Times New Roman"/>
          <w:lang w:val="es-CO"/>
        </w:rPr>
      </w:pPr>
    </w:p>
    <w:p w14:paraId="1264F08F" w14:textId="77777777" w:rsidR="00122361" w:rsidRPr="00101D3A" w:rsidRDefault="00122361" w:rsidP="00122361">
      <w:pPr>
        <w:jc w:val="both"/>
        <w:rPr>
          <w:rFonts w:cs="Times New Roman"/>
          <w:lang w:val="es-CO"/>
        </w:rPr>
      </w:pPr>
      <w:r w:rsidRPr="00101D3A">
        <w:rPr>
          <w:rFonts w:cs="Times New Roman"/>
          <w:lang w:val="es-CO"/>
        </w:rPr>
        <w:t xml:space="preserve">La </w:t>
      </w:r>
      <w:r w:rsidRPr="00720146">
        <w:rPr>
          <w:rFonts w:cs="Times New Roman"/>
          <w:lang w:val="es-CO"/>
        </w:rPr>
        <w:t>Resolución 5406</w:t>
      </w:r>
      <w:r w:rsidRPr="00101D3A">
        <w:rPr>
          <w:rFonts w:cs="Times New Roman"/>
          <w:lang w:val="es-CO"/>
        </w:rPr>
        <w:t xml:space="preserve"> de 2015 tiene un contexto </w:t>
      </w:r>
      <w:r w:rsidR="00C35D53" w:rsidRPr="00101D3A">
        <w:rPr>
          <w:rFonts w:cs="Times New Roman"/>
          <w:lang w:val="es-CO"/>
        </w:rPr>
        <w:t xml:space="preserve">específico </w:t>
      </w:r>
      <w:r w:rsidRPr="00101D3A">
        <w:rPr>
          <w:rFonts w:cs="Times New Roman"/>
          <w:lang w:val="es-CO"/>
        </w:rPr>
        <w:t>de política pública</w:t>
      </w:r>
      <w:r w:rsidR="00C35D53" w:rsidRPr="00101D3A">
        <w:rPr>
          <w:rFonts w:cs="Times New Roman"/>
          <w:lang w:val="es-CO"/>
        </w:rPr>
        <w:t>: La</w:t>
      </w:r>
      <w:r w:rsidRPr="00101D3A">
        <w:rPr>
          <w:rFonts w:cs="Times New Roman"/>
          <w:lang w:val="es-CO"/>
        </w:rPr>
        <w:t xml:space="preserve"> </w:t>
      </w:r>
      <w:r w:rsidRPr="00720146">
        <w:rPr>
          <w:rFonts w:cs="Times New Roman"/>
          <w:lang w:val="es-CO"/>
        </w:rPr>
        <w:t>Ley Estatutaria 1751</w:t>
      </w:r>
      <w:r w:rsidRPr="00101D3A">
        <w:rPr>
          <w:rFonts w:cs="Times New Roman"/>
          <w:lang w:val="es-CO"/>
        </w:rPr>
        <w:t xml:space="preserve"> de 16 de febrero 2015, por medio del cual se regula el derecho fundamental a la salud</w:t>
      </w:r>
      <w:r w:rsidR="00E00975" w:rsidRPr="008A61FD">
        <w:rPr>
          <w:rFonts w:cs="Times New Roman"/>
          <w:lang w:val="es-CO"/>
        </w:rPr>
        <w:t>.  Dicho contexto</w:t>
      </w:r>
      <w:r w:rsidRPr="008A61FD">
        <w:rPr>
          <w:rFonts w:cs="Times New Roman"/>
          <w:lang w:val="es-CO"/>
        </w:rPr>
        <w:t xml:space="preserve"> </w:t>
      </w:r>
      <w:r w:rsidRPr="0022109F">
        <w:rPr>
          <w:rFonts w:cs="Times New Roman"/>
          <w:lang w:val="es-CO"/>
        </w:rPr>
        <w:t xml:space="preserve">consolidó un </w:t>
      </w:r>
      <w:r w:rsidRPr="00720146">
        <w:rPr>
          <w:rFonts w:cs="Times New Roman"/>
          <w:lang w:val="es-CO"/>
        </w:rPr>
        <w:t>proceso de reorientación del Sistema General de Seguridad Social</w:t>
      </w:r>
      <w:r w:rsidRPr="00101D3A">
        <w:rPr>
          <w:rFonts w:cs="Times New Roman"/>
          <w:lang w:val="es-CO"/>
        </w:rPr>
        <w:t xml:space="preserve"> en Salud centrado en las necesidades el individuo y la comunidad, en el que se fortalece la función rectora de la autoridad sanitaria, con el objetivo de mejorar la calidad del s</w:t>
      </w:r>
      <w:r w:rsidRPr="008A61FD">
        <w:rPr>
          <w:rFonts w:cs="Times New Roman"/>
          <w:lang w:val="es-CO"/>
        </w:rPr>
        <w:t xml:space="preserve">ervicio de salud y disminuir las barreras de acceso. </w:t>
      </w:r>
      <w:r w:rsidR="00360B88" w:rsidRPr="008A61FD">
        <w:rPr>
          <w:rFonts w:cs="Times New Roman"/>
          <w:lang w:val="es-CO"/>
        </w:rPr>
        <w:t>En otras palabras, s</w:t>
      </w:r>
      <w:r w:rsidRPr="0022109F">
        <w:rPr>
          <w:rFonts w:cs="Times New Roman"/>
          <w:lang w:val="es-CO"/>
        </w:rPr>
        <w:t xml:space="preserve">e </w:t>
      </w:r>
      <w:r w:rsidR="00C35D53" w:rsidRPr="00720146">
        <w:rPr>
          <w:rFonts w:cs="Times New Roman"/>
          <w:lang w:val="es-CO"/>
        </w:rPr>
        <w:t xml:space="preserve">propone pasar </w:t>
      </w:r>
      <w:r w:rsidRPr="00720146">
        <w:rPr>
          <w:rFonts w:cs="Times New Roman"/>
          <w:lang w:val="es-CO"/>
        </w:rPr>
        <w:t>de un sistema basado en la cobertura de prestaciones médicas, a incluir acciones integrales e intersectoriales</w:t>
      </w:r>
      <w:r w:rsidRPr="00101D3A">
        <w:rPr>
          <w:rFonts w:cs="Times New Roman"/>
          <w:lang w:val="es-CO"/>
        </w:rPr>
        <w:t xml:space="preserve"> que afecten los determinantes sociales de la salud.</w:t>
      </w:r>
    </w:p>
    <w:p w14:paraId="456D4A88" w14:textId="77777777" w:rsidR="00893112" w:rsidRPr="00101D3A" w:rsidRDefault="00893112" w:rsidP="00122361">
      <w:pPr>
        <w:jc w:val="both"/>
        <w:rPr>
          <w:rFonts w:cs="Times New Roman"/>
          <w:lang w:val="es-CO"/>
        </w:rPr>
      </w:pPr>
    </w:p>
    <w:p w14:paraId="0CD1202C" w14:textId="77777777" w:rsidR="00893112" w:rsidRPr="008A61FD" w:rsidRDefault="00122361" w:rsidP="00122361">
      <w:pPr>
        <w:jc w:val="both"/>
        <w:rPr>
          <w:rFonts w:cs="Times New Roman"/>
          <w:lang w:val="es-CO"/>
        </w:rPr>
      </w:pPr>
      <w:r w:rsidRPr="00101D3A">
        <w:rPr>
          <w:rFonts w:cs="Times New Roman"/>
          <w:lang w:val="es-CO"/>
        </w:rPr>
        <w:lastRenderedPageBreak/>
        <w:t xml:space="preserve">En este contexto se elaboró el </w:t>
      </w:r>
      <w:r w:rsidRPr="00720146">
        <w:rPr>
          <w:rFonts w:cs="Times New Roman"/>
          <w:lang w:val="es-CO"/>
        </w:rPr>
        <w:t>Plan Decenal</w:t>
      </w:r>
      <w:r w:rsidRPr="00101D3A">
        <w:rPr>
          <w:rFonts w:cs="Times New Roman"/>
          <w:lang w:val="es-CO"/>
        </w:rPr>
        <w:t xml:space="preserve"> de Salud Pública 2012-2021 - </w:t>
      </w:r>
      <w:r w:rsidR="00FB28F2" w:rsidRPr="00101D3A">
        <w:rPr>
          <w:rFonts w:cs="Times New Roman"/>
          <w:lang w:val="es-CO"/>
        </w:rPr>
        <w:t>PDSP,</w:t>
      </w:r>
      <w:r w:rsidRPr="00101D3A">
        <w:rPr>
          <w:rFonts w:cs="Times New Roman"/>
          <w:lang w:val="es-CO"/>
        </w:rPr>
        <w:t xml:space="preserve"> el </w:t>
      </w:r>
      <w:r w:rsidRPr="00720146">
        <w:rPr>
          <w:rFonts w:cs="Times New Roman"/>
          <w:lang w:val="es-CO"/>
        </w:rPr>
        <w:t>Plan Nacional</w:t>
      </w:r>
      <w:r w:rsidRPr="00101D3A">
        <w:rPr>
          <w:rFonts w:cs="Times New Roman"/>
          <w:lang w:val="es-CO"/>
        </w:rPr>
        <w:t xml:space="preserve"> de Desarrollo 2014-</w:t>
      </w:r>
      <w:r w:rsidR="00FB28F2" w:rsidRPr="00101D3A">
        <w:rPr>
          <w:rFonts w:cs="Times New Roman"/>
          <w:lang w:val="es-CO"/>
        </w:rPr>
        <w:t>2018 y</w:t>
      </w:r>
      <w:r w:rsidRPr="00101D3A">
        <w:rPr>
          <w:rFonts w:cs="Times New Roman"/>
          <w:lang w:val="es-CO"/>
        </w:rPr>
        <w:t xml:space="preserve"> la </w:t>
      </w:r>
      <w:r w:rsidRPr="00720146">
        <w:rPr>
          <w:rFonts w:cs="Times New Roman"/>
          <w:lang w:val="es-CO"/>
        </w:rPr>
        <w:t>Política de Atención Integral en Salud</w:t>
      </w:r>
      <w:r w:rsidRPr="00101D3A">
        <w:rPr>
          <w:rFonts w:cs="Times New Roman"/>
          <w:lang w:val="es-CO"/>
        </w:rPr>
        <w:t xml:space="preserve">, </w:t>
      </w:r>
      <w:r w:rsidR="000B798B" w:rsidRPr="00101D3A">
        <w:rPr>
          <w:rFonts w:cs="Times New Roman"/>
          <w:lang w:val="es-CO"/>
        </w:rPr>
        <w:t>PAIS.</w:t>
      </w:r>
      <w:r w:rsidRPr="00101D3A">
        <w:rPr>
          <w:rFonts w:cs="Times New Roman"/>
          <w:lang w:val="es-CO"/>
        </w:rPr>
        <w:t xml:space="preserve"> </w:t>
      </w:r>
      <w:r w:rsidR="00360B88" w:rsidRPr="00101D3A">
        <w:rPr>
          <w:rFonts w:cs="Times New Roman"/>
          <w:lang w:val="es-CO"/>
        </w:rPr>
        <w:t xml:space="preserve"> </w:t>
      </w:r>
      <w:r w:rsidRPr="00101D3A">
        <w:rPr>
          <w:rFonts w:cs="Times New Roman"/>
          <w:lang w:val="es-CO"/>
        </w:rPr>
        <w:t xml:space="preserve">Esta última creó un </w:t>
      </w:r>
      <w:r w:rsidRPr="00720146">
        <w:rPr>
          <w:rFonts w:cs="Times New Roman"/>
          <w:lang w:val="es-CO"/>
        </w:rPr>
        <w:t>Modelo Integral de Atención en Salud</w:t>
      </w:r>
      <w:r w:rsidRPr="00101D3A">
        <w:rPr>
          <w:rFonts w:cs="Times New Roman"/>
          <w:lang w:val="es-CO"/>
        </w:rPr>
        <w:t xml:space="preserve"> – MIAS, en el que se incluyen Rutas Integrales de Atención en Salud –RIAS, con el objetivo de superar la fragmentación en la atención en salud de la población.</w:t>
      </w:r>
    </w:p>
    <w:p w14:paraId="4DCBE684" w14:textId="77777777" w:rsidR="00122361" w:rsidRPr="00720146" w:rsidRDefault="00FB28F2" w:rsidP="00122361">
      <w:pPr>
        <w:jc w:val="both"/>
        <w:rPr>
          <w:rFonts w:cs="Times New Roman"/>
          <w:lang w:val="es-CO"/>
        </w:rPr>
      </w:pPr>
      <w:r w:rsidRPr="0022109F">
        <w:rPr>
          <w:rFonts w:cs="Times New Roman"/>
          <w:lang w:val="es-CO"/>
        </w:rPr>
        <w:t xml:space="preserve"> </w:t>
      </w:r>
    </w:p>
    <w:p w14:paraId="22572814" w14:textId="77777777" w:rsidR="00FB28F2" w:rsidRPr="008A61FD" w:rsidRDefault="00FB28F2" w:rsidP="00122361">
      <w:pPr>
        <w:jc w:val="both"/>
        <w:rPr>
          <w:rFonts w:cs="Times New Roman"/>
          <w:bCs/>
          <w:lang w:val="es-CO"/>
        </w:rPr>
      </w:pPr>
      <w:r w:rsidRPr="00720146">
        <w:rPr>
          <w:rFonts w:cs="Times New Roman"/>
          <w:bCs/>
          <w:lang w:val="es-CO"/>
        </w:rPr>
        <w:t>La operatividad de la estrategia</w:t>
      </w:r>
      <w:r w:rsidR="002138A0" w:rsidRPr="00720146">
        <w:rPr>
          <w:rFonts w:cs="Times New Roman"/>
          <w:bCs/>
          <w:lang w:val="es-CO"/>
        </w:rPr>
        <w:t xml:space="preserve"> enunciada en PAIS y MIAS</w:t>
      </w:r>
      <w:r w:rsidRPr="00720146">
        <w:rPr>
          <w:rFonts w:cs="Times New Roman"/>
          <w:bCs/>
          <w:lang w:val="es-CO"/>
        </w:rPr>
        <w:t xml:space="preserve"> se basa en la construcción de equipos multidisciplinarios</w:t>
      </w:r>
      <w:r w:rsidRPr="00101D3A">
        <w:rPr>
          <w:rFonts w:cs="Times New Roman"/>
          <w:bCs/>
          <w:lang w:val="es-CO"/>
        </w:rPr>
        <w:t xml:space="preserve"> vinculados a prestadores primarios, los cuales permiten reconocer las situaciones territoriales y </w:t>
      </w:r>
      <w:r w:rsidR="00E00975" w:rsidRPr="008A61FD">
        <w:rPr>
          <w:rFonts w:cs="Times New Roman"/>
          <w:bCs/>
          <w:lang w:val="es-CO"/>
        </w:rPr>
        <w:t>fortalecen</w:t>
      </w:r>
      <w:r w:rsidRPr="008A61FD">
        <w:rPr>
          <w:rFonts w:cs="Times New Roman"/>
          <w:bCs/>
          <w:lang w:val="es-CO"/>
        </w:rPr>
        <w:t xml:space="preserve"> la planeación y ejecución de rutas específicas de atención, con lo cual se busca impactar directamente en el ejercicio pleno del derecho a la salud.</w:t>
      </w:r>
    </w:p>
    <w:p w14:paraId="04A93DBE" w14:textId="77777777" w:rsidR="00893112" w:rsidRPr="0022109F" w:rsidRDefault="00893112" w:rsidP="00122361">
      <w:pPr>
        <w:jc w:val="both"/>
        <w:rPr>
          <w:rFonts w:cs="Times New Roman"/>
          <w:lang w:val="es-CO"/>
        </w:rPr>
      </w:pPr>
    </w:p>
    <w:p w14:paraId="6BB25785" w14:textId="77777777" w:rsidR="00893112" w:rsidRPr="00720146" w:rsidRDefault="00122361" w:rsidP="00122361">
      <w:pPr>
        <w:jc w:val="both"/>
        <w:rPr>
          <w:rFonts w:cs="Times New Roman"/>
          <w:lang w:val="es-CO"/>
        </w:rPr>
      </w:pPr>
      <w:r w:rsidRPr="00720146">
        <w:rPr>
          <w:rFonts w:cs="Times New Roman"/>
          <w:lang w:val="es-CO"/>
        </w:rPr>
        <w:t>Las RIAS responden a grupos de riesgo y eventos específicos</w:t>
      </w:r>
      <w:r w:rsidRPr="00101D3A">
        <w:rPr>
          <w:rFonts w:cs="Times New Roman"/>
          <w:lang w:val="es-CO"/>
        </w:rPr>
        <w:t xml:space="preserve"> definidos y priorizados para el país, entre los que están la población en riesgo</w:t>
      </w:r>
      <w:r w:rsidR="004B6462" w:rsidRPr="008A61FD">
        <w:rPr>
          <w:rFonts w:cs="Times New Roman"/>
          <w:lang w:val="es-CO"/>
        </w:rPr>
        <w:t>,</w:t>
      </w:r>
      <w:r w:rsidRPr="008A61FD">
        <w:rPr>
          <w:rFonts w:cs="Times New Roman"/>
          <w:lang w:val="es-CO"/>
        </w:rPr>
        <w:t xml:space="preserve"> o</w:t>
      </w:r>
      <w:r w:rsidR="00096B1F" w:rsidRPr="0022109F">
        <w:rPr>
          <w:rFonts w:cs="Times New Roman"/>
          <w:lang w:val="es-CO"/>
        </w:rPr>
        <w:t xml:space="preserve"> con</w:t>
      </w:r>
      <w:r w:rsidRPr="00720146">
        <w:rPr>
          <w:rFonts w:cs="Times New Roman"/>
          <w:lang w:val="es-CO"/>
        </w:rPr>
        <w:t xml:space="preserve"> presencia</w:t>
      </w:r>
      <w:r w:rsidR="004B6462" w:rsidRPr="00720146">
        <w:rPr>
          <w:rFonts w:cs="Times New Roman"/>
          <w:lang w:val="es-CO"/>
        </w:rPr>
        <w:t>,</w:t>
      </w:r>
      <w:r w:rsidRPr="00720146">
        <w:rPr>
          <w:rFonts w:cs="Times New Roman"/>
          <w:lang w:val="es-CO"/>
        </w:rPr>
        <w:t xml:space="preserve"> de alteraciones nutricionales y las deficiencias nutricionales, específicamente la anemia, la desnutrición y el sobrepeso.  A partir de estas rutas, se estructura la Gestión Integral del Riesgo en Salud (GIRS) a nivel colectivo a cargo de la entidad territorial, a nivel individual a cargo de la EAPB, que finalmente se cristaliza en la gestión clínica de los integrantes de la r</w:t>
      </w:r>
      <w:r w:rsidR="00FB28F2" w:rsidRPr="00720146">
        <w:rPr>
          <w:rFonts w:cs="Times New Roman"/>
          <w:lang w:val="es-CO"/>
        </w:rPr>
        <w:t>ed de prestación de servicios.</w:t>
      </w:r>
    </w:p>
    <w:p w14:paraId="33D47DAE" w14:textId="77777777" w:rsidR="00122361" w:rsidRPr="00720146" w:rsidRDefault="00FB28F2" w:rsidP="00122361">
      <w:pPr>
        <w:jc w:val="both"/>
        <w:rPr>
          <w:rFonts w:cs="Times New Roman"/>
          <w:lang w:val="es-CO"/>
        </w:rPr>
      </w:pPr>
      <w:r w:rsidRPr="00720146">
        <w:rPr>
          <w:rFonts w:cs="Times New Roman"/>
          <w:lang w:val="es-CO"/>
        </w:rPr>
        <w:t xml:space="preserve"> </w:t>
      </w:r>
      <w:r w:rsidR="00122361" w:rsidRPr="00720146">
        <w:rPr>
          <w:rFonts w:cs="Times New Roman"/>
          <w:lang w:val="es-CO"/>
        </w:rPr>
        <w:t xml:space="preserve"> </w:t>
      </w:r>
    </w:p>
    <w:p w14:paraId="79E6597E" w14:textId="77777777" w:rsidR="004B6462" w:rsidRPr="008A61FD" w:rsidRDefault="00122361" w:rsidP="00122361">
      <w:pPr>
        <w:jc w:val="both"/>
        <w:rPr>
          <w:rFonts w:cs="Times New Roman"/>
          <w:lang w:val="es-CO"/>
        </w:rPr>
      </w:pPr>
      <w:r w:rsidRPr="00720146">
        <w:rPr>
          <w:rFonts w:cs="Times New Roman"/>
          <w:lang w:val="es-CO"/>
        </w:rPr>
        <w:t>En este contexto de política pública, la Resolución 5406 de 2015 representa la concreción del “deber ser” de la aplicación del Lineamient</w:t>
      </w:r>
      <w:r w:rsidRPr="00101D3A">
        <w:rPr>
          <w:rFonts w:cs="Times New Roman"/>
          <w:lang w:val="es-CO"/>
        </w:rPr>
        <w:t>o en la medida en que estableció un referente de obligatorio cum</w:t>
      </w:r>
      <w:r w:rsidRPr="008A61FD">
        <w:rPr>
          <w:rFonts w:cs="Times New Roman"/>
          <w:lang w:val="es-CO"/>
        </w:rPr>
        <w:t xml:space="preserve">plimiento. </w:t>
      </w:r>
    </w:p>
    <w:p w14:paraId="15043C73" w14:textId="77777777" w:rsidR="004B6462" w:rsidRPr="0022109F" w:rsidRDefault="004B6462" w:rsidP="00122361">
      <w:pPr>
        <w:jc w:val="both"/>
        <w:rPr>
          <w:rFonts w:cs="Times New Roman"/>
          <w:lang w:val="es-CO"/>
        </w:rPr>
      </w:pPr>
    </w:p>
    <w:p w14:paraId="5E8FBD0D" w14:textId="77777777" w:rsidR="00122361" w:rsidRPr="00720146" w:rsidRDefault="004B6462" w:rsidP="00122361">
      <w:pPr>
        <w:jc w:val="both"/>
        <w:rPr>
          <w:rFonts w:cs="Times New Roman"/>
          <w:lang w:val="es-CO"/>
        </w:rPr>
      </w:pPr>
      <w:r w:rsidRPr="00720146">
        <w:rPr>
          <w:rFonts w:cs="Times New Roman"/>
          <w:lang w:val="es-CO"/>
        </w:rPr>
        <w:t xml:space="preserve">La </w:t>
      </w:r>
      <w:r w:rsidR="00122361" w:rsidRPr="00720146">
        <w:rPr>
          <w:rFonts w:cs="Times New Roman"/>
          <w:lang w:val="es-CO"/>
        </w:rPr>
        <w:t>estructura</w:t>
      </w:r>
      <w:r w:rsidRPr="00720146">
        <w:rPr>
          <w:rFonts w:cs="Times New Roman"/>
          <w:lang w:val="es-CO"/>
        </w:rPr>
        <w:t xml:space="preserve"> de esta Resolución se divide </w:t>
      </w:r>
      <w:r w:rsidR="00122361" w:rsidRPr="00720146">
        <w:rPr>
          <w:rFonts w:cs="Times New Roman"/>
          <w:lang w:val="es-CO"/>
        </w:rPr>
        <w:t>en 3 capítulos. El primero</w:t>
      </w:r>
      <w:r w:rsidRPr="00720146">
        <w:rPr>
          <w:rFonts w:cs="Times New Roman"/>
          <w:lang w:val="es-CO"/>
        </w:rPr>
        <w:t xml:space="preserve">, </w:t>
      </w:r>
      <w:r w:rsidR="00122361" w:rsidRPr="00720146">
        <w:rPr>
          <w:rFonts w:cs="Times New Roman"/>
          <w:lang w:val="es-CO"/>
        </w:rPr>
        <w:t xml:space="preserve">sobre disposiciones generales </w:t>
      </w:r>
      <w:r w:rsidRPr="00720146">
        <w:rPr>
          <w:rFonts w:cs="Times New Roman"/>
          <w:lang w:val="es-CO"/>
        </w:rPr>
        <w:t xml:space="preserve">que son de </w:t>
      </w:r>
      <w:r w:rsidR="00122361" w:rsidRPr="00720146">
        <w:rPr>
          <w:rFonts w:cs="Times New Roman"/>
          <w:lang w:val="es-CO"/>
        </w:rPr>
        <w:t xml:space="preserve">obligatorio cumplimiento para entidades territoriales, EAPB e IPS; el segundo resalta algunos aspectos técnicos del Lineamiento y lo incorpora a la resolución; y el tercero </w:t>
      </w:r>
      <w:r w:rsidRPr="00720146">
        <w:rPr>
          <w:rFonts w:cs="Times New Roman"/>
          <w:lang w:val="es-CO"/>
        </w:rPr>
        <w:t xml:space="preserve">se refiere a la </w:t>
      </w:r>
      <w:r w:rsidR="00122361" w:rsidRPr="00720146">
        <w:rPr>
          <w:rFonts w:cs="Times New Roman"/>
          <w:lang w:val="es-CO"/>
        </w:rPr>
        <w:t xml:space="preserve">articulación intersectorial, </w:t>
      </w:r>
      <w:r w:rsidRPr="00720146">
        <w:rPr>
          <w:rFonts w:cs="Times New Roman"/>
          <w:lang w:val="es-CO"/>
        </w:rPr>
        <w:t xml:space="preserve">y los </w:t>
      </w:r>
      <w:r w:rsidR="00122361" w:rsidRPr="00720146">
        <w:rPr>
          <w:rFonts w:cs="Times New Roman"/>
          <w:lang w:val="es-CO"/>
        </w:rPr>
        <w:t>deberes y responsabilidades de las entidades territoriales, las EAPB, las IPS y el MSPS. Por último, incluye</w:t>
      </w:r>
      <w:r w:rsidRPr="00720146">
        <w:rPr>
          <w:rFonts w:cs="Times New Roman"/>
          <w:lang w:val="es-CO"/>
        </w:rPr>
        <w:t xml:space="preserve">, </w:t>
      </w:r>
      <w:r w:rsidR="00122361" w:rsidRPr="00720146">
        <w:rPr>
          <w:rFonts w:cs="Times New Roman"/>
          <w:lang w:val="es-CO"/>
        </w:rPr>
        <w:t>dos anexos:</w:t>
      </w:r>
      <w:r w:rsidR="0048098C" w:rsidRPr="00720146">
        <w:rPr>
          <w:rFonts w:cs="Times New Roman"/>
          <w:lang w:val="es-CO"/>
        </w:rPr>
        <w:t xml:space="preserve"> (i) El documento completo del L</w:t>
      </w:r>
      <w:r w:rsidR="00122361" w:rsidRPr="00720146">
        <w:rPr>
          <w:rFonts w:cs="Times New Roman"/>
          <w:lang w:val="es-CO"/>
        </w:rPr>
        <w:t>ineamiento y (ii) un esquema de la ruta específica para la atención de niños y niñas menores de 5 años</w:t>
      </w:r>
      <w:r w:rsidR="00A21277" w:rsidRPr="00720146">
        <w:rPr>
          <w:rFonts w:cs="Times New Roman"/>
          <w:lang w:val="es-CO"/>
        </w:rPr>
        <w:t>.</w:t>
      </w:r>
    </w:p>
    <w:p w14:paraId="4B547B2E" w14:textId="77777777" w:rsidR="0014294D" w:rsidRPr="00720146" w:rsidRDefault="0014294D" w:rsidP="00122361">
      <w:pPr>
        <w:jc w:val="both"/>
        <w:rPr>
          <w:rFonts w:cs="Times New Roman"/>
          <w:lang w:val="es-CO"/>
        </w:rPr>
      </w:pPr>
    </w:p>
    <w:p w14:paraId="03067D4A" w14:textId="77777777" w:rsidR="0014294D" w:rsidRPr="00720146" w:rsidRDefault="0014294D" w:rsidP="0014294D">
      <w:pPr>
        <w:jc w:val="both"/>
        <w:rPr>
          <w:rFonts w:cs="Times New Roman"/>
          <w:lang w:val="es-CO"/>
        </w:rPr>
      </w:pPr>
      <w:r w:rsidRPr="00720146">
        <w:rPr>
          <w:rFonts w:cs="Times New Roman"/>
          <w:lang w:val="es-CO"/>
        </w:rPr>
        <w:t xml:space="preserve">El lineamiento de manejo integrado de la desnutrición aguda busca proveer una herramienta de apoyo a los trabajadores de salud en la adecuada identificación, tratamiento y seguimiento de la desnutrición aguda moderada y severa.  Dicho Linemianro aplica a los niños y niñas con desnutrición aguda moderada y severa en quienes la causa principal de la desnutrición es el déficit de ingesta asociado a condiciones de </w:t>
      </w:r>
      <w:r w:rsidRPr="00720146">
        <w:rPr>
          <w:rFonts w:cs="Times New Roman"/>
          <w:lang w:val="es-CO"/>
        </w:rPr>
        <w:tab/>
        <w:t>inseguridad alimentaria y nutricional.</w:t>
      </w:r>
    </w:p>
    <w:p w14:paraId="2B0130BD" w14:textId="77777777" w:rsidR="0014294D" w:rsidRPr="00720146" w:rsidRDefault="0014294D" w:rsidP="00122361">
      <w:pPr>
        <w:jc w:val="both"/>
        <w:rPr>
          <w:rFonts w:cs="Times New Roman"/>
          <w:lang w:val="es-CO"/>
        </w:rPr>
      </w:pPr>
    </w:p>
    <w:p w14:paraId="67B7869F" w14:textId="77777777" w:rsidR="00647423" w:rsidRPr="00606E51" w:rsidRDefault="00651911" w:rsidP="00122361">
      <w:pPr>
        <w:jc w:val="both"/>
        <w:rPr>
          <w:rFonts w:cs="Times New Roman"/>
          <w:lang w:val="es-CO"/>
        </w:rPr>
      </w:pPr>
      <w:r w:rsidRPr="00720146">
        <w:rPr>
          <w:rFonts w:cs="Times New Roman"/>
          <w:lang w:val="es-CO"/>
        </w:rPr>
        <w:t xml:space="preserve">Vale la pena agregar como </w:t>
      </w:r>
      <w:r w:rsidR="00647423" w:rsidRPr="00720146">
        <w:rPr>
          <w:rFonts w:cs="Times New Roman"/>
          <w:lang w:val="es-CO"/>
        </w:rPr>
        <w:t xml:space="preserve">el MSPS puso en marcha en el segundo semestre de 2015 el </w:t>
      </w:r>
      <w:r w:rsidR="002F2114" w:rsidRPr="00720146">
        <w:rPr>
          <w:rFonts w:cs="Times New Roman"/>
          <w:i/>
          <w:lang w:val="es-CO"/>
        </w:rPr>
        <w:t>Programa de atención integral en salud y nutrición con enfoque comunitario</w:t>
      </w:r>
      <w:r w:rsidR="00647423" w:rsidRPr="00101D3A">
        <w:rPr>
          <w:rFonts w:cs="Times New Roman"/>
          <w:lang w:val="es-CO"/>
        </w:rPr>
        <w:t>, cuyo principal objetivo es contribuir en el mejoramiento de</w:t>
      </w:r>
      <w:r w:rsidR="00647423" w:rsidRPr="008A61FD">
        <w:rPr>
          <w:rFonts w:cs="Times New Roman"/>
          <w:lang w:val="es-CO"/>
        </w:rPr>
        <w:t xml:space="preserve"> la situación de salud y nutrición de las mujeres gestantes, niñas y niños menores de cinco años de edad y sus familias, que residen en zonas rurales dispersas de los cuatro municipios de</w:t>
      </w:r>
      <w:r w:rsidR="009C16DA" w:rsidRPr="0022109F">
        <w:rPr>
          <w:rFonts w:cs="Times New Roman"/>
          <w:lang w:val="es-CO"/>
        </w:rPr>
        <w:t>l</w:t>
      </w:r>
      <w:r w:rsidR="00647423" w:rsidRPr="00720146">
        <w:rPr>
          <w:rFonts w:cs="Times New Roman"/>
          <w:lang w:val="es-CO"/>
        </w:rPr>
        <w:t xml:space="preserve"> departamento de La Guajira que </w:t>
      </w:r>
      <w:r w:rsidRPr="00720146">
        <w:rPr>
          <w:rFonts w:cs="Times New Roman"/>
          <w:lang w:val="es-CO"/>
        </w:rPr>
        <w:t xml:space="preserve">justamente </w:t>
      </w:r>
      <w:r w:rsidR="00647423" w:rsidRPr="00720146">
        <w:rPr>
          <w:rFonts w:cs="Times New Roman"/>
          <w:lang w:val="es-CO"/>
        </w:rPr>
        <w:t xml:space="preserve">se analizan en </w:t>
      </w:r>
      <w:r w:rsidRPr="00720146">
        <w:rPr>
          <w:rFonts w:cs="Times New Roman"/>
          <w:lang w:val="es-CO"/>
        </w:rPr>
        <w:t>esta evaluación.</w:t>
      </w:r>
      <w:r w:rsidR="003F5B75" w:rsidRPr="00101D3A">
        <w:rPr>
          <w:rStyle w:val="FootnoteReference"/>
          <w:rFonts w:cs="Times New Roman"/>
          <w:lang w:val="es-CO"/>
        </w:rPr>
        <w:footnoteReference w:id="7"/>
      </w:r>
      <w:r w:rsidR="00647423" w:rsidRPr="00606E51">
        <w:rPr>
          <w:rFonts w:cs="Times New Roman"/>
          <w:lang w:val="es-CO"/>
        </w:rPr>
        <w:t xml:space="preserve"> </w:t>
      </w:r>
    </w:p>
    <w:p w14:paraId="06B468F1" w14:textId="77777777" w:rsidR="00893112" w:rsidRPr="00606E51" w:rsidRDefault="00893112" w:rsidP="00122361">
      <w:pPr>
        <w:jc w:val="both"/>
        <w:rPr>
          <w:rFonts w:cs="Times New Roman"/>
          <w:lang w:val="es-CO"/>
        </w:rPr>
      </w:pPr>
    </w:p>
    <w:p w14:paraId="522A9D99" w14:textId="77777777" w:rsidR="00A21277" w:rsidRPr="00606E51" w:rsidRDefault="007F0B06" w:rsidP="008A61FD">
      <w:pPr>
        <w:pStyle w:val="Heading2"/>
        <w:rPr>
          <w:lang w:val="es-CO"/>
        </w:rPr>
      </w:pPr>
      <w:r w:rsidRPr="00606E51">
        <w:rPr>
          <w:lang w:val="es-CO"/>
        </w:rPr>
        <w:t xml:space="preserve"> </w:t>
      </w:r>
      <w:bookmarkStart w:id="7" w:name="_Toc505090933"/>
      <w:r w:rsidR="00A21277" w:rsidRPr="00606E51">
        <w:rPr>
          <w:lang w:val="es-CO"/>
        </w:rPr>
        <w:t xml:space="preserve">Contexto </w:t>
      </w:r>
      <w:r w:rsidR="005161BA" w:rsidRPr="00606E51">
        <w:rPr>
          <w:lang w:val="es-CO"/>
        </w:rPr>
        <w:t>de los municipios evaluados</w:t>
      </w:r>
      <w:bookmarkEnd w:id="7"/>
    </w:p>
    <w:p w14:paraId="47ECCB53" w14:textId="77777777" w:rsidR="009572FC" w:rsidRPr="00606E51" w:rsidRDefault="009572FC" w:rsidP="005161BA">
      <w:pPr>
        <w:rPr>
          <w:rFonts w:cs="Times New Roman"/>
          <w:lang w:val="es-CO"/>
        </w:rPr>
      </w:pPr>
    </w:p>
    <w:p w14:paraId="624119B3" w14:textId="77777777" w:rsidR="00885475" w:rsidRPr="00720146" w:rsidRDefault="0049350D" w:rsidP="009B2988">
      <w:pPr>
        <w:jc w:val="both"/>
        <w:rPr>
          <w:rFonts w:cs="Times New Roman"/>
          <w:lang w:val="es-CO"/>
        </w:rPr>
      </w:pPr>
      <w:r w:rsidRPr="00101D3A">
        <w:rPr>
          <w:rFonts w:cs="Times New Roman"/>
          <w:lang w:val="es-CO"/>
        </w:rPr>
        <w:t>La Guajira y tres de los municipios don</w:t>
      </w:r>
      <w:r w:rsidR="00BB6A04" w:rsidRPr="00101D3A">
        <w:rPr>
          <w:rFonts w:cs="Times New Roman"/>
          <w:lang w:val="es-CO"/>
        </w:rPr>
        <w:t>de se evaluó la adherencia</w:t>
      </w:r>
      <w:r w:rsidR="0048098C" w:rsidRPr="00101D3A">
        <w:rPr>
          <w:rFonts w:cs="Times New Roman"/>
          <w:lang w:val="es-CO"/>
        </w:rPr>
        <w:t xml:space="preserve"> y costo efectividad del L</w:t>
      </w:r>
      <w:r w:rsidRPr="00101D3A">
        <w:rPr>
          <w:rFonts w:cs="Times New Roman"/>
          <w:lang w:val="es-CO"/>
        </w:rPr>
        <w:t xml:space="preserve">ineamiento </w:t>
      </w:r>
      <w:r w:rsidRPr="00720146">
        <w:rPr>
          <w:rFonts w:cs="Times New Roman"/>
          <w:lang w:val="es-CO"/>
        </w:rPr>
        <w:t xml:space="preserve">tienen coberturas de aseguramiento en salud por debajo </w:t>
      </w:r>
      <w:r w:rsidR="009B2988" w:rsidRPr="00720146">
        <w:rPr>
          <w:rFonts w:cs="Times New Roman"/>
          <w:lang w:val="es-CO"/>
        </w:rPr>
        <w:t xml:space="preserve">de la </w:t>
      </w:r>
      <w:r w:rsidR="000A09B9" w:rsidRPr="00720146">
        <w:rPr>
          <w:rFonts w:cs="Times New Roman"/>
          <w:lang w:val="es-CO"/>
        </w:rPr>
        <w:t xml:space="preserve">observada </w:t>
      </w:r>
      <w:r w:rsidR="009B2988" w:rsidRPr="00720146">
        <w:rPr>
          <w:rFonts w:cs="Times New Roman"/>
          <w:lang w:val="es-CO"/>
        </w:rPr>
        <w:t>para el total nacional</w:t>
      </w:r>
      <w:r w:rsidR="009B2988" w:rsidRPr="00101D3A">
        <w:rPr>
          <w:rFonts w:cs="Times New Roman"/>
          <w:lang w:val="es-CO"/>
        </w:rPr>
        <w:t>.</w:t>
      </w:r>
      <w:r w:rsidR="000A09B9" w:rsidRPr="00101D3A">
        <w:rPr>
          <w:rFonts w:cs="Times New Roman"/>
          <w:lang w:val="es-CO"/>
        </w:rPr>
        <w:t xml:space="preserve"> Adicionalm</w:t>
      </w:r>
      <w:r w:rsidR="000A09B9" w:rsidRPr="008A61FD">
        <w:rPr>
          <w:rFonts w:cs="Times New Roman"/>
          <w:lang w:val="es-CO"/>
        </w:rPr>
        <w:t>ente, mientras que para el total nacional la</w:t>
      </w:r>
      <w:r w:rsidR="00B61A9B" w:rsidRPr="008A61FD">
        <w:rPr>
          <w:rFonts w:cs="Times New Roman"/>
          <w:lang w:val="es-CO"/>
        </w:rPr>
        <w:t xml:space="preserve"> mitad de la</w:t>
      </w:r>
      <w:r w:rsidR="000A09B9" w:rsidRPr="0022109F">
        <w:rPr>
          <w:rFonts w:cs="Times New Roman"/>
          <w:lang w:val="es-CO"/>
        </w:rPr>
        <w:t xml:space="preserve"> población </w:t>
      </w:r>
      <w:r w:rsidR="00B61A9B" w:rsidRPr="00720146">
        <w:rPr>
          <w:rFonts w:cs="Times New Roman"/>
          <w:lang w:val="es-CO"/>
        </w:rPr>
        <w:t xml:space="preserve">está </w:t>
      </w:r>
      <w:r w:rsidR="000A09B9" w:rsidRPr="00720146">
        <w:rPr>
          <w:rFonts w:cs="Times New Roman"/>
          <w:lang w:val="es-CO"/>
        </w:rPr>
        <w:t xml:space="preserve">afiliada </w:t>
      </w:r>
      <w:r w:rsidR="000B6E83" w:rsidRPr="00720146">
        <w:rPr>
          <w:rFonts w:cs="Times New Roman"/>
          <w:lang w:val="es-CO"/>
        </w:rPr>
        <w:t xml:space="preserve">al régimen </w:t>
      </w:r>
      <w:r w:rsidR="000B6E83" w:rsidRPr="00720146">
        <w:rPr>
          <w:rFonts w:cs="Times New Roman"/>
          <w:lang w:val="es-CO"/>
        </w:rPr>
        <w:lastRenderedPageBreak/>
        <w:t xml:space="preserve">subsidiado </w:t>
      </w:r>
      <w:r w:rsidR="00B61A9B" w:rsidRPr="00720146">
        <w:rPr>
          <w:rFonts w:cs="Times New Roman"/>
          <w:lang w:val="es-CO"/>
        </w:rPr>
        <w:t>y la otra mitad al</w:t>
      </w:r>
      <w:r w:rsidR="000B6E83" w:rsidRPr="00720146">
        <w:rPr>
          <w:rFonts w:cs="Times New Roman"/>
          <w:lang w:val="es-CO"/>
        </w:rPr>
        <w:t xml:space="preserve"> contributivo</w:t>
      </w:r>
      <w:r w:rsidR="00DA4C74" w:rsidRPr="00720146">
        <w:rPr>
          <w:rFonts w:cs="Times New Roman"/>
          <w:lang w:val="es-CO"/>
        </w:rPr>
        <w:t>,</w:t>
      </w:r>
      <w:r w:rsidR="000B6E83" w:rsidRPr="00720146">
        <w:rPr>
          <w:rFonts w:cs="Times New Roman"/>
          <w:lang w:val="es-CO"/>
        </w:rPr>
        <w:t xml:space="preserve"> </w:t>
      </w:r>
      <w:r w:rsidR="00B61A9B" w:rsidRPr="00720146">
        <w:rPr>
          <w:rFonts w:cs="Times New Roman"/>
          <w:lang w:val="es-CO"/>
        </w:rPr>
        <w:t>para</w:t>
      </w:r>
      <w:r w:rsidR="000A09B9" w:rsidRPr="00720146">
        <w:rPr>
          <w:rFonts w:cs="Times New Roman"/>
          <w:lang w:val="es-CO"/>
        </w:rPr>
        <w:t xml:space="preserve"> </w:t>
      </w:r>
      <w:r w:rsidR="004B6462" w:rsidRPr="00720146">
        <w:rPr>
          <w:rFonts w:cs="Times New Roman"/>
          <w:lang w:val="es-CO"/>
        </w:rPr>
        <w:t xml:space="preserve">el </w:t>
      </w:r>
      <w:r w:rsidR="000A09B9" w:rsidRPr="00720146">
        <w:rPr>
          <w:rFonts w:cs="Times New Roman"/>
          <w:lang w:val="es-CO"/>
        </w:rPr>
        <w:t>departamento de La Guajira aproximadamente dos terceras partes de la población pertenece al régimen subsidiado</w:t>
      </w:r>
      <w:r w:rsidR="00651911" w:rsidRPr="00720146">
        <w:rPr>
          <w:rFonts w:cs="Times New Roman"/>
          <w:lang w:val="es-CO"/>
        </w:rPr>
        <w:t>.</w:t>
      </w:r>
      <w:r w:rsidR="007F6E5D" w:rsidRPr="00101D3A">
        <w:rPr>
          <w:rStyle w:val="FootnoteReference"/>
          <w:rFonts w:cs="Times New Roman"/>
          <w:lang w:val="es-CO"/>
        </w:rPr>
        <w:footnoteReference w:id="8"/>
      </w:r>
      <w:r w:rsidR="000A09B9" w:rsidRPr="00101D3A">
        <w:rPr>
          <w:rFonts w:cs="Times New Roman"/>
          <w:lang w:val="es-CO"/>
        </w:rPr>
        <w:t xml:space="preserve"> </w:t>
      </w:r>
      <w:r w:rsidR="00651911" w:rsidRPr="00101D3A">
        <w:rPr>
          <w:rFonts w:cs="Times New Roman"/>
          <w:lang w:val="es-CO"/>
        </w:rPr>
        <w:t xml:space="preserve"> </w:t>
      </w:r>
      <w:r w:rsidR="000A09B9" w:rsidRPr="00101D3A">
        <w:rPr>
          <w:rFonts w:cs="Times New Roman"/>
          <w:lang w:val="es-CO"/>
        </w:rPr>
        <w:t xml:space="preserve">Por último, para el municipio de Manaure sólo la mitad de la población tiene cobertura de aseguramiento de salud. </w:t>
      </w:r>
      <w:r w:rsidR="00651911" w:rsidRPr="008A61FD">
        <w:rPr>
          <w:rFonts w:cs="Times New Roman"/>
          <w:lang w:val="es-CO"/>
        </w:rPr>
        <w:t xml:space="preserve"> </w:t>
      </w:r>
      <w:r w:rsidR="006072C9" w:rsidRPr="008A61FD">
        <w:rPr>
          <w:rFonts w:cs="Times New Roman"/>
          <w:lang w:val="es-CO"/>
        </w:rPr>
        <w:t>Estos indicadores de cobertura muestran que las EAPB del régimen subsidiado que trabajan en el departamento tienen un gran reto para garant</w:t>
      </w:r>
      <w:r w:rsidR="006072C9" w:rsidRPr="0022109F">
        <w:rPr>
          <w:rFonts w:cs="Times New Roman"/>
          <w:lang w:val="es-CO"/>
        </w:rPr>
        <w:t>izar la atención apropiada y que los municipios, en particular Manaure, deben propender por incrementar la cobertura.</w:t>
      </w:r>
      <w:r w:rsidR="007F6E5D" w:rsidRPr="00720146">
        <w:rPr>
          <w:rFonts w:cs="Times New Roman"/>
          <w:lang w:val="es-CO"/>
        </w:rPr>
        <w:t xml:space="preserve"> </w:t>
      </w:r>
    </w:p>
    <w:p w14:paraId="7683CD1A" w14:textId="77777777" w:rsidR="00885475" w:rsidRPr="00720146" w:rsidRDefault="00885475" w:rsidP="009B2988">
      <w:pPr>
        <w:jc w:val="both"/>
        <w:rPr>
          <w:rFonts w:cs="Times New Roman"/>
          <w:lang w:val="es-CO"/>
        </w:rPr>
      </w:pPr>
    </w:p>
    <w:p w14:paraId="39605FEC" w14:textId="77777777" w:rsidR="009572FC" w:rsidRPr="00606E51" w:rsidRDefault="00651911" w:rsidP="009B2988">
      <w:pPr>
        <w:jc w:val="both"/>
        <w:rPr>
          <w:rFonts w:cs="Times New Roman"/>
          <w:lang w:val="es-CO"/>
        </w:rPr>
      </w:pPr>
      <w:r w:rsidRPr="00720146">
        <w:rPr>
          <w:rFonts w:cs="Times New Roman"/>
          <w:lang w:val="es-CO"/>
        </w:rPr>
        <w:t>Los</w:t>
      </w:r>
      <w:r w:rsidR="007F6E5D" w:rsidRPr="00720146">
        <w:rPr>
          <w:rFonts w:cs="Times New Roman"/>
          <w:lang w:val="es-CO"/>
        </w:rPr>
        <w:t xml:space="preserve"> indicadores de cobertura están estrechamente relacionados con la capacidad de atención de los aseguradores</w:t>
      </w:r>
      <w:r w:rsidR="007F6E5D" w:rsidRPr="00101D3A">
        <w:rPr>
          <w:rFonts w:cs="Times New Roman"/>
          <w:lang w:val="es-CO"/>
        </w:rPr>
        <w:t xml:space="preserve"> a la población objeto de esta evaluación por cuanto una baja </w:t>
      </w:r>
      <w:r w:rsidR="00436F71" w:rsidRPr="00101D3A">
        <w:rPr>
          <w:rFonts w:cs="Times New Roman"/>
          <w:lang w:val="es-CO"/>
        </w:rPr>
        <w:t>cobertura</w:t>
      </w:r>
      <w:r w:rsidR="007F6E5D" w:rsidRPr="00101D3A">
        <w:rPr>
          <w:rFonts w:cs="Times New Roman"/>
          <w:lang w:val="es-CO"/>
        </w:rPr>
        <w:t xml:space="preserve"> en el a</w:t>
      </w:r>
      <w:r w:rsidR="00885475" w:rsidRPr="008A61FD">
        <w:rPr>
          <w:rFonts w:cs="Times New Roman"/>
          <w:lang w:val="es-CO"/>
        </w:rPr>
        <w:t>seguramiento, como se mostrará en los hallazgos, podría poner en riesgo tanto el diagnóstico oportuno de los niños y niñas y por tanto su opo</w:t>
      </w:r>
      <w:r w:rsidR="004917DF" w:rsidRPr="008A61FD">
        <w:rPr>
          <w:rFonts w:cs="Times New Roman"/>
          <w:lang w:val="es-CO"/>
        </w:rPr>
        <w:t>rtuno tratamiento y seguimiento, como la apropiada configuraci</w:t>
      </w:r>
      <w:r w:rsidR="004917DF" w:rsidRPr="0022109F">
        <w:rPr>
          <w:rFonts w:cs="Times New Roman"/>
          <w:lang w:val="es-CO"/>
        </w:rPr>
        <w:t>ón de la red de prestadores como lo ordena la Resolución</w:t>
      </w:r>
      <w:r w:rsidR="004917DF" w:rsidRPr="00101D3A">
        <w:rPr>
          <w:rStyle w:val="FootnoteReference"/>
          <w:rFonts w:cs="Times New Roman"/>
          <w:lang w:val="es-CO"/>
        </w:rPr>
        <w:footnoteReference w:id="9"/>
      </w:r>
      <w:r w:rsidR="00D8794B" w:rsidRPr="00101D3A">
        <w:rPr>
          <w:rFonts w:cs="Times New Roman"/>
          <w:lang w:val="es-CO"/>
        </w:rPr>
        <w:t>.</w:t>
      </w:r>
    </w:p>
    <w:p w14:paraId="414CB5C7" w14:textId="77777777" w:rsidR="00893112" w:rsidRPr="00606E51" w:rsidRDefault="00893112" w:rsidP="009B2988">
      <w:pPr>
        <w:jc w:val="both"/>
        <w:rPr>
          <w:rFonts w:cs="Times New Roman"/>
          <w:lang w:val="es-CO"/>
        </w:rPr>
      </w:pPr>
    </w:p>
    <w:p w14:paraId="36E6735A" w14:textId="77777777" w:rsidR="009B2988" w:rsidRPr="00606E51" w:rsidRDefault="00F1370E" w:rsidP="00101D3A">
      <w:pPr>
        <w:pStyle w:val="Caption"/>
        <w:rPr>
          <w:lang w:val="es-CO"/>
        </w:rPr>
      </w:pPr>
      <w:bookmarkStart w:id="8" w:name="_Toc490045696"/>
      <w:r w:rsidRPr="00606E51">
        <w:rPr>
          <w:lang w:val="es-CO"/>
        </w:rPr>
        <w:t xml:space="preserve">Cuadro </w:t>
      </w:r>
      <w:r w:rsidRPr="00606E51">
        <w:rPr>
          <w:lang w:val="es-CO"/>
        </w:rPr>
        <w:fldChar w:fldCharType="begin"/>
      </w:r>
      <w:r w:rsidRPr="00606E51">
        <w:rPr>
          <w:lang w:val="es-CO"/>
        </w:rPr>
        <w:instrText xml:space="preserve"> STYLEREF 1 \s </w:instrText>
      </w:r>
      <w:r w:rsidRPr="00606E51">
        <w:rPr>
          <w:lang w:val="es-CO"/>
        </w:rPr>
        <w:fldChar w:fldCharType="separate"/>
      </w:r>
      <w:r w:rsidRPr="00606E51">
        <w:rPr>
          <w:lang w:val="es-CO"/>
        </w:rPr>
        <w:t>1</w:t>
      </w:r>
      <w:r w:rsidRPr="00606E51">
        <w:rPr>
          <w:lang w:val="es-CO"/>
        </w:rPr>
        <w:fldChar w:fldCharType="end"/>
      </w:r>
      <w:r w:rsidRPr="00606E51">
        <w:rPr>
          <w:lang w:val="es-CO"/>
        </w:rPr>
        <w:noBreakHyphen/>
      </w:r>
      <w:r w:rsidRPr="00606E51">
        <w:rPr>
          <w:lang w:val="es-CO"/>
        </w:rPr>
        <w:fldChar w:fldCharType="begin"/>
      </w:r>
      <w:r w:rsidRPr="00606E51">
        <w:rPr>
          <w:lang w:val="es-CO"/>
        </w:rPr>
        <w:instrText xml:space="preserve"> SEQ Cuadro \* ROMAN \s 1 </w:instrText>
      </w:r>
      <w:r w:rsidRPr="00606E51">
        <w:rPr>
          <w:lang w:val="es-CO"/>
        </w:rPr>
        <w:fldChar w:fldCharType="separate"/>
      </w:r>
      <w:r w:rsidRPr="00606E51">
        <w:rPr>
          <w:lang w:val="es-CO"/>
        </w:rPr>
        <w:t>I</w:t>
      </w:r>
      <w:r w:rsidRPr="00606E51">
        <w:rPr>
          <w:lang w:val="es-CO"/>
        </w:rPr>
        <w:fldChar w:fldCharType="end"/>
      </w:r>
      <w:r w:rsidRPr="00606E51">
        <w:rPr>
          <w:lang w:val="es-CO"/>
        </w:rPr>
        <w:t xml:space="preserve"> </w:t>
      </w:r>
      <w:r w:rsidR="00FF3C1F" w:rsidRPr="00606E51">
        <w:rPr>
          <w:lang w:val="es-CO"/>
        </w:rPr>
        <w:t>Cobertura aseguramiento 2016</w:t>
      </w:r>
      <w:bookmarkEnd w:id="8"/>
    </w:p>
    <w:tbl>
      <w:tblPr>
        <w:tblW w:w="5540" w:type="dxa"/>
        <w:jc w:val="center"/>
        <w:tblLook w:val="04A0" w:firstRow="1" w:lastRow="0" w:firstColumn="1" w:lastColumn="0" w:noHBand="0" w:noVBand="1"/>
      </w:tblPr>
      <w:tblGrid>
        <w:gridCol w:w="1325"/>
        <w:gridCol w:w="1094"/>
        <w:gridCol w:w="1251"/>
        <w:gridCol w:w="1039"/>
        <w:gridCol w:w="831"/>
      </w:tblGrid>
      <w:tr w:rsidR="00942B8B" w:rsidRPr="00606E51" w14:paraId="73639D62" w14:textId="77777777" w:rsidTr="00942B8B">
        <w:trPr>
          <w:trHeight w:val="287"/>
          <w:jc w:val="center"/>
        </w:trPr>
        <w:tc>
          <w:tcPr>
            <w:tcW w:w="1325" w:type="dxa"/>
            <w:tcBorders>
              <w:top w:val="nil"/>
              <w:left w:val="nil"/>
              <w:bottom w:val="nil"/>
              <w:right w:val="nil"/>
            </w:tcBorders>
            <w:shd w:val="clear" w:color="auto" w:fill="auto"/>
            <w:noWrap/>
            <w:vAlign w:val="bottom"/>
            <w:hideMark/>
          </w:tcPr>
          <w:p w14:paraId="41E4184A" w14:textId="77777777" w:rsidR="009B2988" w:rsidRPr="00606E51" w:rsidRDefault="009B2988" w:rsidP="009B2988">
            <w:pPr>
              <w:jc w:val="center"/>
              <w:rPr>
                <w:rFonts w:eastAsia="Times New Roman" w:cs="Times New Roman"/>
                <w:b/>
                <w:bCs/>
                <w:color w:val="000000"/>
                <w:sz w:val="18"/>
                <w:szCs w:val="24"/>
                <w:lang w:val="es-CO"/>
              </w:rPr>
            </w:pPr>
          </w:p>
        </w:tc>
        <w:tc>
          <w:tcPr>
            <w:tcW w:w="1094" w:type="dxa"/>
            <w:tcBorders>
              <w:top w:val="single" w:sz="4" w:space="0" w:color="224E76" w:themeColor="accent2" w:themeShade="7F"/>
              <w:left w:val="nil"/>
              <w:bottom w:val="single" w:sz="4" w:space="0" w:color="auto"/>
              <w:right w:val="nil"/>
            </w:tcBorders>
            <w:shd w:val="clear" w:color="auto" w:fill="auto"/>
            <w:noWrap/>
            <w:vAlign w:val="bottom"/>
            <w:hideMark/>
          </w:tcPr>
          <w:p w14:paraId="6684AB7E"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Subsidiado</w:t>
            </w:r>
          </w:p>
        </w:tc>
        <w:tc>
          <w:tcPr>
            <w:tcW w:w="1251" w:type="dxa"/>
            <w:tcBorders>
              <w:top w:val="single" w:sz="4" w:space="0" w:color="224E76" w:themeColor="accent2" w:themeShade="7F"/>
              <w:left w:val="nil"/>
              <w:bottom w:val="single" w:sz="4" w:space="0" w:color="auto"/>
              <w:right w:val="nil"/>
            </w:tcBorders>
            <w:shd w:val="clear" w:color="auto" w:fill="auto"/>
            <w:noWrap/>
            <w:vAlign w:val="bottom"/>
            <w:hideMark/>
          </w:tcPr>
          <w:p w14:paraId="0AB3EE19"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Contributivo</w:t>
            </w:r>
          </w:p>
        </w:tc>
        <w:tc>
          <w:tcPr>
            <w:tcW w:w="1039" w:type="dxa"/>
            <w:tcBorders>
              <w:top w:val="single" w:sz="4" w:space="0" w:color="224E76" w:themeColor="accent2" w:themeShade="7F"/>
              <w:left w:val="nil"/>
              <w:bottom w:val="single" w:sz="4" w:space="0" w:color="auto"/>
              <w:right w:val="nil"/>
            </w:tcBorders>
            <w:shd w:val="clear" w:color="auto" w:fill="auto"/>
            <w:noWrap/>
            <w:vAlign w:val="bottom"/>
            <w:hideMark/>
          </w:tcPr>
          <w:p w14:paraId="33C1E915"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Excepción</w:t>
            </w:r>
          </w:p>
        </w:tc>
        <w:tc>
          <w:tcPr>
            <w:tcW w:w="831" w:type="dxa"/>
            <w:tcBorders>
              <w:top w:val="single" w:sz="4" w:space="0" w:color="224E76" w:themeColor="accent2" w:themeShade="7F"/>
              <w:left w:val="nil"/>
              <w:bottom w:val="single" w:sz="4" w:space="0" w:color="auto"/>
              <w:right w:val="nil"/>
            </w:tcBorders>
            <w:shd w:val="clear" w:color="auto" w:fill="auto"/>
            <w:noWrap/>
            <w:vAlign w:val="bottom"/>
            <w:hideMark/>
          </w:tcPr>
          <w:p w14:paraId="3117A6B8"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Total</w:t>
            </w:r>
          </w:p>
        </w:tc>
      </w:tr>
      <w:tr w:rsidR="00942B8B" w:rsidRPr="00606E51" w14:paraId="7318CE4F" w14:textId="77777777" w:rsidTr="00942B8B">
        <w:trPr>
          <w:trHeight w:val="348"/>
          <w:jc w:val="center"/>
        </w:trPr>
        <w:tc>
          <w:tcPr>
            <w:tcW w:w="1325" w:type="dxa"/>
            <w:tcBorders>
              <w:top w:val="nil"/>
              <w:left w:val="nil"/>
              <w:bottom w:val="nil"/>
              <w:right w:val="nil"/>
            </w:tcBorders>
            <w:shd w:val="clear" w:color="auto" w:fill="auto"/>
            <w:noWrap/>
            <w:vAlign w:val="bottom"/>
            <w:hideMark/>
          </w:tcPr>
          <w:p w14:paraId="4F99AFD0" w14:textId="77777777" w:rsidR="009B2988" w:rsidRPr="00606E51" w:rsidRDefault="00942B8B"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Total N</w:t>
            </w:r>
            <w:r w:rsidR="009B2988" w:rsidRPr="00606E51">
              <w:rPr>
                <w:rFonts w:eastAsia="Times New Roman" w:cs="Times New Roman"/>
                <w:color w:val="000000"/>
                <w:sz w:val="18"/>
                <w:szCs w:val="24"/>
                <w:lang w:val="es-CO"/>
              </w:rPr>
              <w:t>acional</w:t>
            </w:r>
          </w:p>
        </w:tc>
        <w:tc>
          <w:tcPr>
            <w:tcW w:w="1094" w:type="dxa"/>
            <w:tcBorders>
              <w:top w:val="nil"/>
              <w:left w:val="nil"/>
              <w:bottom w:val="nil"/>
              <w:right w:val="nil"/>
            </w:tcBorders>
            <w:shd w:val="clear" w:color="auto" w:fill="auto"/>
            <w:noWrap/>
            <w:vAlign w:val="bottom"/>
            <w:hideMark/>
          </w:tcPr>
          <w:p w14:paraId="55FA981A"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45.5%</w:t>
            </w:r>
          </w:p>
        </w:tc>
        <w:tc>
          <w:tcPr>
            <w:tcW w:w="1251" w:type="dxa"/>
            <w:tcBorders>
              <w:top w:val="nil"/>
              <w:left w:val="nil"/>
              <w:bottom w:val="nil"/>
              <w:right w:val="nil"/>
            </w:tcBorders>
            <w:shd w:val="clear" w:color="auto" w:fill="auto"/>
            <w:noWrap/>
            <w:vAlign w:val="bottom"/>
            <w:hideMark/>
          </w:tcPr>
          <w:p w14:paraId="09A9F99C"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45.5%</w:t>
            </w:r>
          </w:p>
        </w:tc>
        <w:tc>
          <w:tcPr>
            <w:tcW w:w="1039" w:type="dxa"/>
            <w:tcBorders>
              <w:top w:val="nil"/>
              <w:left w:val="nil"/>
              <w:bottom w:val="nil"/>
              <w:right w:val="nil"/>
            </w:tcBorders>
            <w:shd w:val="clear" w:color="auto" w:fill="auto"/>
            <w:noWrap/>
            <w:vAlign w:val="bottom"/>
            <w:hideMark/>
          </w:tcPr>
          <w:p w14:paraId="58D9992E"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4.2%</w:t>
            </w:r>
          </w:p>
        </w:tc>
        <w:tc>
          <w:tcPr>
            <w:tcW w:w="831" w:type="dxa"/>
            <w:tcBorders>
              <w:top w:val="nil"/>
              <w:left w:val="nil"/>
              <w:bottom w:val="nil"/>
              <w:right w:val="nil"/>
            </w:tcBorders>
            <w:shd w:val="clear" w:color="auto" w:fill="auto"/>
            <w:noWrap/>
            <w:vAlign w:val="bottom"/>
            <w:hideMark/>
          </w:tcPr>
          <w:p w14:paraId="2ED66CCD"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95.2%</w:t>
            </w:r>
          </w:p>
        </w:tc>
      </w:tr>
      <w:tr w:rsidR="00942B8B" w:rsidRPr="00606E51" w14:paraId="11245519" w14:textId="77777777" w:rsidTr="00942B8B">
        <w:trPr>
          <w:trHeight w:val="287"/>
          <w:jc w:val="center"/>
        </w:trPr>
        <w:tc>
          <w:tcPr>
            <w:tcW w:w="1325" w:type="dxa"/>
            <w:tcBorders>
              <w:top w:val="nil"/>
              <w:left w:val="nil"/>
              <w:bottom w:val="nil"/>
              <w:right w:val="nil"/>
            </w:tcBorders>
            <w:shd w:val="clear" w:color="auto" w:fill="auto"/>
            <w:noWrap/>
            <w:vAlign w:val="bottom"/>
            <w:hideMark/>
          </w:tcPr>
          <w:p w14:paraId="19AFA4BD"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La Guajira</w:t>
            </w:r>
          </w:p>
        </w:tc>
        <w:tc>
          <w:tcPr>
            <w:tcW w:w="1094" w:type="dxa"/>
            <w:tcBorders>
              <w:top w:val="nil"/>
              <w:left w:val="nil"/>
              <w:bottom w:val="nil"/>
              <w:right w:val="nil"/>
            </w:tcBorders>
            <w:shd w:val="clear" w:color="auto" w:fill="auto"/>
            <w:noWrap/>
            <w:vAlign w:val="bottom"/>
            <w:hideMark/>
          </w:tcPr>
          <w:p w14:paraId="024F99D7"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71.8%</w:t>
            </w:r>
          </w:p>
        </w:tc>
        <w:tc>
          <w:tcPr>
            <w:tcW w:w="1251" w:type="dxa"/>
            <w:tcBorders>
              <w:top w:val="nil"/>
              <w:left w:val="nil"/>
              <w:bottom w:val="nil"/>
              <w:right w:val="nil"/>
            </w:tcBorders>
            <w:shd w:val="clear" w:color="auto" w:fill="auto"/>
            <w:noWrap/>
            <w:vAlign w:val="bottom"/>
            <w:hideMark/>
          </w:tcPr>
          <w:p w14:paraId="42CD82E7"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14.3%</w:t>
            </w:r>
          </w:p>
        </w:tc>
        <w:tc>
          <w:tcPr>
            <w:tcW w:w="1039" w:type="dxa"/>
            <w:tcBorders>
              <w:top w:val="nil"/>
              <w:left w:val="nil"/>
              <w:bottom w:val="nil"/>
              <w:right w:val="nil"/>
            </w:tcBorders>
            <w:shd w:val="clear" w:color="auto" w:fill="auto"/>
            <w:noWrap/>
            <w:vAlign w:val="bottom"/>
            <w:hideMark/>
          </w:tcPr>
          <w:p w14:paraId="6123C1CB"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1.2%</w:t>
            </w:r>
          </w:p>
        </w:tc>
        <w:tc>
          <w:tcPr>
            <w:tcW w:w="831" w:type="dxa"/>
            <w:tcBorders>
              <w:top w:val="nil"/>
              <w:left w:val="nil"/>
              <w:bottom w:val="nil"/>
              <w:right w:val="nil"/>
            </w:tcBorders>
            <w:shd w:val="clear" w:color="auto" w:fill="auto"/>
            <w:noWrap/>
            <w:vAlign w:val="bottom"/>
            <w:hideMark/>
          </w:tcPr>
          <w:p w14:paraId="33CE6C7A"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87.3%</w:t>
            </w:r>
          </w:p>
        </w:tc>
      </w:tr>
      <w:tr w:rsidR="00942B8B" w:rsidRPr="00606E51" w14:paraId="4F5FB78F" w14:textId="77777777" w:rsidTr="00942B8B">
        <w:trPr>
          <w:trHeight w:val="287"/>
          <w:jc w:val="center"/>
        </w:trPr>
        <w:tc>
          <w:tcPr>
            <w:tcW w:w="1325" w:type="dxa"/>
            <w:tcBorders>
              <w:top w:val="nil"/>
              <w:left w:val="nil"/>
              <w:bottom w:val="nil"/>
              <w:right w:val="nil"/>
            </w:tcBorders>
            <w:shd w:val="clear" w:color="auto" w:fill="auto"/>
            <w:noWrap/>
            <w:vAlign w:val="bottom"/>
            <w:hideMark/>
          </w:tcPr>
          <w:p w14:paraId="39E14C37"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Maicao</w:t>
            </w:r>
            <w:r w:rsidR="000A09B9" w:rsidRPr="00606E51">
              <w:rPr>
                <w:rStyle w:val="FootnoteReference"/>
                <w:rFonts w:eastAsia="Times New Roman" w:cs="Times New Roman"/>
                <w:color w:val="000000"/>
                <w:sz w:val="18"/>
                <w:szCs w:val="24"/>
                <w:lang w:val="es-CO"/>
              </w:rPr>
              <w:footnoteReference w:id="10"/>
            </w:r>
          </w:p>
        </w:tc>
        <w:tc>
          <w:tcPr>
            <w:tcW w:w="1094" w:type="dxa"/>
            <w:tcBorders>
              <w:top w:val="nil"/>
              <w:left w:val="nil"/>
              <w:bottom w:val="nil"/>
              <w:right w:val="nil"/>
            </w:tcBorders>
            <w:shd w:val="clear" w:color="auto" w:fill="auto"/>
            <w:noWrap/>
            <w:vAlign w:val="bottom"/>
            <w:hideMark/>
          </w:tcPr>
          <w:p w14:paraId="1335B34C"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100.7%</w:t>
            </w:r>
          </w:p>
        </w:tc>
        <w:tc>
          <w:tcPr>
            <w:tcW w:w="1251" w:type="dxa"/>
            <w:tcBorders>
              <w:top w:val="nil"/>
              <w:left w:val="nil"/>
              <w:bottom w:val="nil"/>
              <w:right w:val="nil"/>
            </w:tcBorders>
            <w:shd w:val="clear" w:color="auto" w:fill="auto"/>
            <w:noWrap/>
            <w:vAlign w:val="bottom"/>
            <w:hideMark/>
          </w:tcPr>
          <w:p w14:paraId="0E2C31DF"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14.3%</w:t>
            </w:r>
          </w:p>
        </w:tc>
        <w:tc>
          <w:tcPr>
            <w:tcW w:w="1039" w:type="dxa"/>
            <w:tcBorders>
              <w:top w:val="nil"/>
              <w:left w:val="nil"/>
              <w:bottom w:val="nil"/>
              <w:right w:val="nil"/>
            </w:tcBorders>
            <w:shd w:val="clear" w:color="auto" w:fill="auto"/>
            <w:noWrap/>
            <w:vAlign w:val="bottom"/>
            <w:hideMark/>
          </w:tcPr>
          <w:p w14:paraId="5081E185"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1.8%</w:t>
            </w:r>
          </w:p>
        </w:tc>
        <w:tc>
          <w:tcPr>
            <w:tcW w:w="831" w:type="dxa"/>
            <w:tcBorders>
              <w:top w:val="nil"/>
              <w:left w:val="nil"/>
              <w:bottom w:val="nil"/>
              <w:right w:val="nil"/>
            </w:tcBorders>
            <w:shd w:val="clear" w:color="auto" w:fill="auto"/>
            <w:noWrap/>
            <w:vAlign w:val="bottom"/>
            <w:hideMark/>
          </w:tcPr>
          <w:p w14:paraId="21B59D49"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116.9%</w:t>
            </w:r>
          </w:p>
        </w:tc>
      </w:tr>
      <w:tr w:rsidR="00942B8B" w:rsidRPr="00606E51" w14:paraId="07A2F2EE" w14:textId="77777777" w:rsidTr="00942B8B">
        <w:trPr>
          <w:trHeight w:val="287"/>
          <w:jc w:val="center"/>
        </w:trPr>
        <w:tc>
          <w:tcPr>
            <w:tcW w:w="1325" w:type="dxa"/>
            <w:tcBorders>
              <w:top w:val="nil"/>
              <w:left w:val="nil"/>
              <w:bottom w:val="nil"/>
              <w:right w:val="nil"/>
            </w:tcBorders>
            <w:shd w:val="clear" w:color="auto" w:fill="auto"/>
            <w:noWrap/>
            <w:vAlign w:val="bottom"/>
            <w:hideMark/>
          </w:tcPr>
          <w:p w14:paraId="2611D213"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Manaure</w:t>
            </w:r>
          </w:p>
        </w:tc>
        <w:tc>
          <w:tcPr>
            <w:tcW w:w="1094" w:type="dxa"/>
            <w:tcBorders>
              <w:top w:val="nil"/>
              <w:left w:val="nil"/>
              <w:bottom w:val="nil"/>
              <w:right w:val="nil"/>
            </w:tcBorders>
            <w:shd w:val="clear" w:color="auto" w:fill="auto"/>
            <w:noWrap/>
            <w:vAlign w:val="bottom"/>
            <w:hideMark/>
          </w:tcPr>
          <w:p w14:paraId="14B4F6AD"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50.5%</w:t>
            </w:r>
          </w:p>
        </w:tc>
        <w:tc>
          <w:tcPr>
            <w:tcW w:w="1251" w:type="dxa"/>
            <w:tcBorders>
              <w:top w:val="nil"/>
              <w:left w:val="nil"/>
              <w:bottom w:val="nil"/>
              <w:right w:val="nil"/>
            </w:tcBorders>
            <w:shd w:val="clear" w:color="auto" w:fill="auto"/>
            <w:noWrap/>
            <w:vAlign w:val="bottom"/>
            <w:hideMark/>
          </w:tcPr>
          <w:p w14:paraId="7D68012B"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1.8%</w:t>
            </w:r>
          </w:p>
        </w:tc>
        <w:tc>
          <w:tcPr>
            <w:tcW w:w="1039" w:type="dxa"/>
            <w:tcBorders>
              <w:top w:val="nil"/>
              <w:left w:val="nil"/>
              <w:bottom w:val="nil"/>
              <w:right w:val="nil"/>
            </w:tcBorders>
            <w:shd w:val="clear" w:color="auto" w:fill="auto"/>
            <w:noWrap/>
            <w:vAlign w:val="bottom"/>
            <w:hideMark/>
          </w:tcPr>
          <w:p w14:paraId="1A01C2EA"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0.6%</w:t>
            </w:r>
          </w:p>
        </w:tc>
        <w:tc>
          <w:tcPr>
            <w:tcW w:w="831" w:type="dxa"/>
            <w:tcBorders>
              <w:top w:val="nil"/>
              <w:left w:val="nil"/>
              <w:bottom w:val="nil"/>
              <w:right w:val="nil"/>
            </w:tcBorders>
            <w:shd w:val="clear" w:color="auto" w:fill="auto"/>
            <w:noWrap/>
            <w:vAlign w:val="bottom"/>
            <w:hideMark/>
          </w:tcPr>
          <w:p w14:paraId="509F3AE3"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52.9%</w:t>
            </w:r>
          </w:p>
        </w:tc>
      </w:tr>
      <w:tr w:rsidR="00942B8B" w:rsidRPr="00606E51" w14:paraId="225DE503" w14:textId="77777777" w:rsidTr="00942B8B">
        <w:trPr>
          <w:trHeight w:val="287"/>
          <w:jc w:val="center"/>
        </w:trPr>
        <w:tc>
          <w:tcPr>
            <w:tcW w:w="1325" w:type="dxa"/>
            <w:tcBorders>
              <w:top w:val="nil"/>
              <w:left w:val="nil"/>
              <w:bottom w:val="nil"/>
              <w:right w:val="nil"/>
            </w:tcBorders>
            <w:shd w:val="clear" w:color="auto" w:fill="auto"/>
            <w:noWrap/>
            <w:vAlign w:val="bottom"/>
            <w:hideMark/>
          </w:tcPr>
          <w:p w14:paraId="114E4D7C"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Riohacha</w:t>
            </w:r>
          </w:p>
        </w:tc>
        <w:tc>
          <w:tcPr>
            <w:tcW w:w="1094" w:type="dxa"/>
            <w:tcBorders>
              <w:top w:val="nil"/>
              <w:left w:val="nil"/>
              <w:bottom w:val="nil"/>
              <w:right w:val="nil"/>
            </w:tcBorders>
            <w:shd w:val="clear" w:color="auto" w:fill="auto"/>
            <w:noWrap/>
            <w:vAlign w:val="bottom"/>
            <w:hideMark/>
          </w:tcPr>
          <w:p w14:paraId="03FF4A4B"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67.6%</w:t>
            </w:r>
          </w:p>
        </w:tc>
        <w:tc>
          <w:tcPr>
            <w:tcW w:w="1251" w:type="dxa"/>
            <w:tcBorders>
              <w:top w:val="nil"/>
              <w:left w:val="nil"/>
              <w:bottom w:val="nil"/>
              <w:right w:val="nil"/>
            </w:tcBorders>
            <w:shd w:val="clear" w:color="auto" w:fill="auto"/>
            <w:noWrap/>
            <w:vAlign w:val="bottom"/>
            <w:hideMark/>
          </w:tcPr>
          <w:p w14:paraId="73D1D438"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23.8%</w:t>
            </w:r>
          </w:p>
        </w:tc>
        <w:tc>
          <w:tcPr>
            <w:tcW w:w="1039" w:type="dxa"/>
            <w:tcBorders>
              <w:top w:val="nil"/>
              <w:left w:val="nil"/>
              <w:bottom w:val="nil"/>
              <w:right w:val="nil"/>
            </w:tcBorders>
            <w:shd w:val="clear" w:color="auto" w:fill="auto"/>
            <w:noWrap/>
            <w:vAlign w:val="bottom"/>
            <w:hideMark/>
          </w:tcPr>
          <w:p w14:paraId="53C7524B"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1.4%</w:t>
            </w:r>
          </w:p>
        </w:tc>
        <w:tc>
          <w:tcPr>
            <w:tcW w:w="831" w:type="dxa"/>
            <w:tcBorders>
              <w:top w:val="nil"/>
              <w:left w:val="nil"/>
              <w:bottom w:val="nil"/>
              <w:right w:val="nil"/>
            </w:tcBorders>
            <w:shd w:val="clear" w:color="auto" w:fill="auto"/>
            <w:noWrap/>
            <w:vAlign w:val="bottom"/>
            <w:hideMark/>
          </w:tcPr>
          <w:p w14:paraId="20ACDB18"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92.8%</w:t>
            </w:r>
          </w:p>
        </w:tc>
      </w:tr>
      <w:tr w:rsidR="00942B8B" w:rsidRPr="00606E51" w14:paraId="7DAE645C" w14:textId="77777777" w:rsidTr="00942B8B">
        <w:trPr>
          <w:trHeight w:val="287"/>
          <w:jc w:val="center"/>
        </w:trPr>
        <w:tc>
          <w:tcPr>
            <w:tcW w:w="1325" w:type="dxa"/>
            <w:tcBorders>
              <w:top w:val="nil"/>
              <w:left w:val="nil"/>
              <w:bottom w:val="single" w:sz="4" w:space="0" w:color="auto"/>
              <w:right w:val="nil"/>
            </w:tcBorders>
            <w:shd w:val="clear" w:color="auto" w:fill="auto"/>
            <w:noWrap/>
            <w:vAlign w:val="bottom"/>
            <w:hideMark/>
          </w:tcPr>
          <w:p w14:paraId="07276DE6" w14:textId="77777777" w:rsidR="009B2988" w:rsidRPr="00606E51" w:rsidRDefault="009B2988" w:rsidP="009B2988">
            <w:pPr>
              <w:rPr>
                <w:rFonts w:eastAsia="Times New Roman" w:cs="Times New Roman"/>
                <w:color w:val="000000"/>
                <w:sz w:val="18"/>
                <w:szCs w:val="24"/>
                <w:lang w:val="es-CO"/>
              </w:rPr>
            </w:pPr>
            <w:r w:rsidRPr="00606E51">
              <w:rPr>
                <w:rFonts w:eastAsia="Times New Roman" w:cs="Times New Roman"/>
                <w:color w:val="000000"/>
                <w:sz w:val="18"/>
                <w:szCs w:val="24"/>
                <w:lang w:val="es-CO"/>
              </w:rPr>
              <w:t>Uribia</w:t>
            </w:r>
          </w:p>
        </w:tc>
        <w:tc>
          <w:tcPr>
            <w:tcW w:w="1094" w:type="dxa"/>
            <w:tcBorders>
              <w:top w:val="nil"/>
              <w:left w:val="nil"/>
              <w:bottom w:val="single" w:sz="4" w:space="0" w:color="auto"/>
              <w:right w:val="nil"/>
            </w:tcBorders>
            <w:shd w:val="clear" w:color="auto" w:fill="auto"/>
            <w:noWrap/>
            <w:vAlign w:val="bottom"/>
            <w:hideMark/>
          </w:tcPr>
          <w:p w14:paraId="0EAFC0D0"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80.6%</w:t>
            </w:r>
          </w:p>
        </w:tc>
        <w:tc>
          <w:tcPr>
            <w:tcW w:w="1251" w:type="dxa"/>
            <w:tcBorders>
              <w:top w:val="nil"/>
              <w:left w:val="nil"/>
              <w:bottom w:val="single" w:sz="4" w:space="0" w:color="auto"/>
              <w:right w:val="nil"/>
            </w:tcBorders>
            <w:shd w:val="clear" w:color="auto" w:fill="auto"/>
            <w:noWrap/>
            <w:vAlign w:val="bottom"/>
            <w:hideMark/>
          </w:tcPr>
          <w:p w14:paraId="07849E25"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2.5%</w:t>
            </w:r>
          </w:p>
        </w:tc>
        <w:tc>
          <w:tcPr>
            <w:tcW w:w="1039" w:type="dxa"/>
            <w:tcBorders>
              <w:top w:val="nil"/>
              <w:left w:val="nil"/>
              <w:bottom w:val="single" w:sz="4" w:space="0" w:color="auto"/>
              <w:right w:val="nil"/>
            </w:tcBorders>
            <w:shd w:val="clear" w:color="auto" w:fill="auto"/>
            <w:noWrap/>
            <w:vAlign w:val="bottom"/>
            <w:hideMark/>
          </w:tcPr>
          <w:p w14:paraId="05B395DC"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0.5%</w:t>
            </w:r>
          </w:p>
        </w:tc>
        <w:tc>
          <w:tcPr>
            <w:tcW w:w="831" w:type="dxa"/>
            <w:tcBorders>
              <w:top w:val="nil"/>
              <w:left w:val="nil"/>
              <w:bottom w:val="single" w:sz="4" w:space="0" w:color="auto"/>
              <w:right w:val="nil"/>
            </w:tcBorders>
            <w:shd w:val="clear" w:color="auto" w:fill="auto"/>
            <w:noWrap/>
            <w:vAlign w:val="bottom"/>
            <w:hideMark/>
          </w:tcPr>
          <w:p w14:paraId="5588D709" w14:textId="77777777" w:rsidR="009B2988" w:rsidRPr="00606E51" w:rsidRDefault="009B2988" w:rsidP="009B2988">
            <w:pPr>
              <w:jc w:val="right"/>
              <w:rPr>
                <w:rFonts w:eastAsia="Times New Roman" w:cs="Times New Roman"/>
                <w:color w:val="000000"/>
                <w:sz w:val="18"/>
                <w:szCs w:val="24"/>
                <w:lang w:val="es-CO"/>
              </w:rPr>
            </w:pPr>
            <w:r w:rsidRPr="00606E51">
              <w:rPr>
                <w:rFonts w:eastAsia="Times New Roman" w:cs="Times New Roman"/>
                <w:color w:val="000000"/>
                <w:sz w:val="18"/>
                <w:szCs w:val="24"/>
                <w:lang w:val="es-CO"/>
              </w:rPr>
              <w:t>83.6%</w:t>
            </w:r>
          </w:p>
        </w:tc>
      </w:tr>
      <w:tr w:rsidR="009B2988" w:rsidRPr="00606E51" w14:paraId="75EF6675" w14:textId="77777777" w:rsidTr="00942B8B">
        <w:trPr>
          <w:trHeight w:val="287"/>
          <w:jc w:val="center"/>
        </w:trPr>
        <w:tc>
          <w:tcPr>
            <w:tcW w:w="5540" w:type="dxa"/>
            <w:gridSpan w:val="5"/>
            <w:tcBorders>
              <w:top w:val="nil"/>
              <w:left w:val="nil"/>
              <w:bottom w:val="nil"/>
              <w:right w:val="nil"/>
            </w:tcBorders>
            <w:shd w:val="clear" w:color="auto" w:fill="auto"/>
            <w:noWrap/>
            <w:vAlign w:val="bottom"/>
            <w:hideMark/>
          </w:tcPr>
          <w:p w14:paraId="264D1370" w14:textId="77777777" w:rsidR="009B2988" w:rsidRPr="00606E51" w:rsidRDefault="009B2988" w:rsidP="000A09B9">
            <w:pPr>
              <w:rPr>
                <w:rFonts w:eastAsia="Times New Roman" w:cs="Times New Roman"/>
                <w:color w:val="000000"/>
                <w:sz w:val="18"/>
                <w:szCs w:val="24"/>
                <w:lang w:val="es-CO"/>
              </w:rPr>
            </w:pPr>
            <w:r w:rsidRPr="00606E51">
              <w:rPr>
                <w:rFonts w:eastAsia="Times New Roman" w:cs="Times New Roman"/>
                <w:color w:val="000000"/>
                <w:sz w:val="18"/>
                <w:szCs w:val="24"/>
                <w:lang w:val="es-CO"/>
              </w:rPr>
              <w:t xml:space="preserve">Fuente: </w:t>
            </w:r>
            <w:r w:rsidR="000A09B9" w:rsidRPr="00606E51">
              <w:rPr>
                <w:rFonts w:eastAsia="Times New Roman" w:cs="Times New Roman"/>
                <w:color w:val="000000"/>
                <w:sz w:val="18"/>
                <w:szCs w:val="24"/>
                <w:lang w:val="es-CO"/>
              </w:rPr>
              <w:t>Cálculos propios usando</w:t>
            </w:r>
            <w:r w:rsidRPr="00606E51">
              <w:rPr>
                <w:rFonts w:eastAsia="Times New Roman" w:cs="Times New Roman"/>
                <w:color w:val="000000"/>
                <w:sz w:val="18"/>
                <w:szCs w:val="24"/>
                <w:lang w:val="es-CO"/>
              </w:rPr>
              <w:t xml:space="preserve"> datos de aseguramiento</w:t>
            </w:r>
            <w:r w:rsidR="000A09B9" w:rsidRPr="00606E51">
              <w:rPr>
                <w:rFonts w:eastAsia="Times New Roman" w:cs="Times New Roman"/>
                <w:color w:val="000000"/>
                <w:sz w:val="18"/>
                <w:szCs w:val="24"/>
                <w:lang w:val="es-CO"/>
              </w:rPr>
              <w:t xml:space="preserve"> de</w:t>
            </w:r>
            <w:r w:rsidRPr="00606E51">
              <w:rPr>
                <w:rFonts w:eastAsia="Times New Roman" w:cs="Times New Roman"/>
                <w:color w:val="000000"/>
                <w:sz w:val="18"/>
                <w:szCs w:val="24"/>
                <w:lang w:val="es-CO"/>
              </w:rPr>
              <w:t xml:space="preserve"> SISPRO </w:t>
            </w:r>
            <w:r w:rsidR="000A09B9" w:rsidRPr="00606E51">
              <w:rPr>
                <w:rFonts w:eastAsia="Times New Roman" w:cs="Times New Roman"/>
                <w:color w:val="000000"/>
                <w:sz w:val="18"/>
                <w:szCs w:val="24"/>
                <w:lang w:val="es-CO"/>
              </w:rPr>
              <w:t xml:space="preserve">y de </w:t>
            </w:r>
            <w:r w:rsidRPr="00606E51">
              <w:rPr>
                <w:rFonts w:eastAsia="Times New Roman" w:cs="Times New Roman"/>
                <w:color w:val="000000"/>
                <w:sz w:val="18"/>
                <w:szCs w:val="24"/>
                <w:lang w:val="es-CO"/>
              </w:rPr>
              <w:t xml:space="preserve">población </w:t>
            </w:r>
            <w:r w:rsidR="000A09B9" w:rsidRPr="00606E51">
              <w:rPr>
                <w:rFonts w:eastAsia="Times New Roman" w:cs="Times New Roman"/>
                <w:color w:val="000000"/>
                <w:sz w:val="18"/>
                <w:szCs w:val="24"/>
                <w:lang w:val="es-CO"/>
              </w:rPr>
              <w:t xml:space="preserve">del </w:t>
            </w:r>
            <w:r w:rsidRPr="00606E51">
              <w:rPr>
                <w:rFonts w:eastAsia="Times New Roman" w:cs="Times New Roman"/>
                <w:color w:val="000000"/>
                <w:sz w:val="18"/>
                <w:szCs w:val="24"/>
                <w:lang w:val="es-CO"/>
              </w:rPr>
              <w:t>DANE</w:t>
            </w:r>
          </w:p>
        </w:tc>
      </w:tr>
    </w:tbl>
    <w:p w14:paraId="7C3A8E3C" w14:textId="77777777" w:rsidR="006072C9" w:rsidRPr="00606E51" w:rsidRDefault="006072C9" w:rsidP="005161BA">
      <w:pPr>
        <w:rPr>
          <w:rFonts w:cs="Times New Roman"/>
          <w:lang w:val="es-CO"/>
        </w:rPr>
      </w:pPr>
    </w:p>
    <w:p w14:paraId="6D6F9E30" w14:textId="77777777" w:rsidR="00651911" w:rsidRDefault="005B2FF1" w:rsidP="000B26ED">
      <w:pPr>
        <w:jc w:val="both"/>
        <w:rPr>
          <w:lang w:val="es-CO"/>
        </w:rPr>
      </w:pPr>
      <w:r w:rsidRPr="00606E51">
        <w:rPr>
          <w:lang w:val="es-CO"/>
        </w:rPr>
        <w:t>L</w:t>
      </w:r>
      <w:r w:rsidR="008F2004" w:rsidRPr="00606E51">
        <w:rPr>
          <w:lang w:val="es-CO"/>
        </w:rPr>
        <w:t xml:space="preserve">os datos de SIVIGILA </w:t>
      </w:r>
      <w:r w:rsidR="00B40493" w:rsidRPr="00606E51">
        <w:rPr>
          <w:lang w:val="es-CO"/>
        </w:rPr>
        <w:t xml:space="preserve">para </w:t>
      </w:r>
      <w:r w:rsidR="00893112" w:rsidRPr="00606E51">
        <w:rPr>
          <w:lang w:val="es-CO"/>
        </w:rPr>
        <w:t xml:space="preserve">los casos </w:t>
      </w:r>
      <w:r w:rsidR="00B40493" w:rsidRPr="00606E51">
        <w:rPr>
          <w:lang w:val="es-CO"/>
        </w:rPr>
        <w:t xml:space="preserve">por desnutrición </w:t>
      </w:r>
      <w:r w:rsidR="00893112" w:rsidRPr="00606E51">
        <w:rPr>
          <w:lang w:val="es-CO"/>
        </w:rPr>
        <w:t>aguda</w:t>
      </w:r>
      <w:r w:rsidR="0048730B" w:rsidRPr="00606E51">
        <w:rPr>
          <w:rStyle w:val="FootnoteReference"/>
          <w:lang w:val="es-CO"/>
        </w:rPr>
        <w:footnoteReference w:id="11"/>
      </w:r>
      <w:r w:rsidR="0048730B" w:rsidRPr="00606E51">
        <w:rPr>
          <w:lang w:val="es-CO"/>
        </w:rPr>
        <w:t xml:space="preserve"> </w:t>
      </w:r>
      <w:r w:rsidR="003F7E21" w:rsidRPr="00606E51">
        <w:rPr>
          <w:lang w:val="es-CO"/>
        </w:rPr>
        <w:t>en</w:t>
      </w:r>
      <w:r w:rsidR="00F74F75" w:rsidRPr="00606E51">
        <w:rPr>
          <w:lang w:val="es-CO"/>
        </w:rPr>
        <w:t xml:space="preserve"> niños y niñas menores de 5 años reportados en el </w:t>
      </w:r>
      <w:r w:rsidR="00893112" w:rsidRPr="00606E51">
        <w:rPr>
          <w:lang w:val="es-CO"/>
        </w:rPr>
        <w:t xml:space="preserve">año 2016 (ver </w:t>
      </w:r>
      <w:r w:rsidR="00893112" w:rsidRPr="00606E51">
        <w:rPr>
          <w:lang w:val="es-CO"/>
        </w:rPr>
        <w:fldChar w:fldCharType="begin"/>
      </w:r>
      <w:r w:rsidR="00893112" w:rsidRPr="00606E51">
        <w:rPr>
          <w:lang w:val="es-CO"/>
        </w:rPr>
        <w:instrText xml:space="preserve"> REF _Ref482889768 \h  \* MERGEFORMAT </w:instrText>
      </w:r>
      <w:r w:rsidR="00893112" w:rsidRPr="00606E51">
        <w:rPr>
          <w:lang w:val="es-CO"/>
        </w:rPr>
      </w:r>
      <w:r w:rsidR="00893112" w:rsidRPr="00606E51">
        <w:rPr>
          <w:lang w:val="es-CO"/>
        </w:rPr>
        <w:fldChar w:fldCharType="separate"/>
      </w:r>
      <w:r w:rsidR="00DA4C74" w:rsidRPr="00606E51">
        <w:rPr>
          <w:lang w:val="es-CO"/>
        </w:rPr>
        <w:t xml:space="preserve">Cuadro </w:t>
      </w:r>
      <w:r w:rsidR="00651911">
        <w:rPr>
          <w:lang w:val="es-CO"/>
        </w:rPr>
        <w:t>I</w:t>
      </w:r>
      <w:r w:rsidR="00DA4C74" w:rsidRPr="00606E51">
        <w:rPr>
          <w:lang w:val="es-CO"/>
        </w:rPr>
        <w:noBreakHyphen/>
      </w:r>
      <w:r w:rsidR="00651911">
        <w:rPr>
          <w:lang w:val="es-CO"/>
        </w:rPr>
        <w:t>II</w:t>
      </w:r>
      <w:r w:rsidR="00893112" w:rsidRPr="00606E51">
        <w:rPr>
          <w:lang w:val="es-CO"/>
        </w:rPr>
        <w:fldChar w:fldCharType="end"/>
      </w:r>
      <w:r w:rsidR="00AC381D" w:rsidRPr="00606E51">
        <w:rPr>
          <w:lang w:val="es-CO"/>
        </w:rPr>
        <w:t xml:space="preserve">) </w:t>
      </w:r>
      <w:r w:rsidR="008F2004" w:rsidRPr="00606E51">
        <w:rPr>
          <w:lang w:val="es-CO"/>
        </w:rPr>
        <w:t xml:space="preserve">muestran que </w:t>
      </w:r>
      <w:r w:rsidR="007D4581" w:rsidRPr="00606E51">
        <w:rPr>
          <w:lang w:val="es-CO"/>
        </w:rPr>
        <w:t xml:space="preserve">el 70% </w:t>
      </w:r>
      <w:r w:rsidR="0048730B" w:rsidRPr="00606E51">
        <w:rPr>
          <w:lang w:val="es-CO"/>
        </w:rPr>
        <w:t>vive en la zona rural, que más del 90% son mayores de 5 meses de edad y que el 68% no fue hospitalizado</w:t>
      </w:r>
      <w:r w:rsidR="0061401C" w:rsidRPr="00606E51">
        <w:rPr>
          <w:rStyle w:val="FootnoteReference"/>
          <w:lang w:val="es-CO"/>
        </w:rPr>
        <w:footnoteReference w:id="12"/>
      </w:r>
      <w:r w:rsidR="0048730B" w:rsidRPr="00606E51">
        <w:rPr>
          <w:lang w:val="es-CO"/>
        </w:rPr>
        <w:t xml:space="preserve">. </w:t>
      </w:r>
      <w:r w:rsidR="00651911">
        <w:rPr>
          <w:lang w:val="es-CO"/>
        </w:rPr>
        <w:t xml:space="preserve"> </w:t>
      </w:r>
    </w:p>
    <w:p w14:paraId="6E148428" w14:textId="77777777" w:rsidR="00651911" w:rsidRDefault="00651911" w:rsidP="000B26ED">
      <w:pPr>
        <w:jc w:val="both"/>
        <w:rPr>
          <w:lang w:val="es-CO"/>
        </w:rPr>
      </w:pPr>
    </w:p>
    <w:p w14:paraId="241EE1F4" w14:textId="77777777" w:rsidR="00647423" w:rsidRPr="00606E51" w:rsidRDefault="001C40D3" w:rsidP="000B26ED">
      <w:pPr>
        <w:jc w:val="both"/>
        <w:rPr>
          <w:rFonts w:cs="Times New Roman"/>
          <w:lang w:val="es-CO"/>
        </w:rPr>
      </w:pPr>
      <w:r w:rsidRPr="00606E51">
        <w:rPr>
          <w:lang w:val="es-CO"/>
        </w:rPr>
        <w:t>En l</w:t>
      </w:r>
      <w:r w:rsidR="0048730B" w:rsidRPr="00606E51">
        <w:rPr>
          <w:lang w:val="es-CO"/>
        </w:rPr>
        <w:t>os m</w:t>
      </w:r>
      <w:r w:rsidRPr="00606E51">
        <w:rPr>
          <w:lang w:val="es-CO"/>
        </w:rPr>
        <w:t xml:space="preserve">unicipios de Uribia y Riohacha se presentaron </w:t>
      </w:r>
      <w:r w:rsidRPr="00720146">
        <w:rPr>
          <w:lang w:val="es-CO"/>
        </w:rPr>
        <w:t>1</w:t>
      </w:r>
      <w:r w:rsidR="00E74231" w:rsidRPr="00720146">
        <w:rPr>
          <w:lang w:val="es-CO"/>
        </w:rPr>
        <w:t>,</w:t>
      </w:r>
      <w:r w:rsidRPr="00720146">
        <w:rPr>
          <w:lang w:val="es-CO"/>
        </w:rPr>
        <w:t>229 de los 1</w:t>
      </w:r>
      <w:r w:rsidR="00E74231" w:rsidRPr="00720146">
        <w:rPr>
          <w:lang w:val="es-CO"/>
        </w:rPr>
        <w:t>,</w:t>
      </w:r>
      <w:r w:rsidRPr="00720146">
        <w:rPr>
          <w:lang w:val="es-CO"/>
        </w:rPr>
        <w:t>904 niños reportados</w:t>
      </w:r>
      <w:r w:rsidRPr="00606E51">
        <w:rPr>
          <w:lang w:val="es-CO"/>
        </w:rPr>
        <w:t xml:space="preserve"> en el sistema. </w:t>
      </w:r>
      <w:r w:rsidR="00E74231">
        <w:rPr>
          <w:lang w:val="es-CO"/>
        </w:rPr>
        <w:t xml:space="preserve"> </w:t>
      </w:r>
      <w:r w:rsidR="00E257E0" w:rsidRPr="00606E51">
        <w:rPr>
          <w:rFonts w:cs="Times New Roman"/>
          <w:lang w:val="es-CO"/>
        </w:rPr>
        <w:t xml:space="preserve">El </w:t>
      </w:r>
      <w:r w:rsidR="00B356EA" w:rsidRPr="00606E51">
        <w:rPr>
          <w:rFonts w:cs="Times New Roman"/>
          <w:lang w:val="es-CO"/>
        </w:rPr>
        <w:fldChar w:fldCharType="begin"/>
      </w:r>
      <w:r w:rsidR="00B356EA" w:rsidRPr="00606E51">
        <w:rPr>
          <w:rFonts w:cs="Times New Roman"/>
          <w:lang w:val="es-CO"/>
        </w:rPr>
        <w:instrText xml:space="preserve"> REF _Ref482894353 \h  \* MERGEFORMAT </w:instrText>
      </w:r>
      <w:r w:rsidR="00B356EA" w:rsidRPr="00606E51">
        <w:rPr>
          <w:rFonts w:cs="Times New Roman"/>
          <w:lang w:val="es-CO"/>
        </w:rPr>
      </w:r>
      <w:r w:rsidR="00B356EA" w:rsidRPr="00606E51">
        <w:rPr>
          <w:rFonts w:cs="Times New Roman"/>
          <w:lang w:val="es-CO"/>
        </w:rPr>
        <w:fldChar w:fldCharType="separate"/>
      </w:r>
      <w:r w:rsidR="00DA4C74" w:rsidRPr="00606E51">
        <w:rPr>
          <w:lang w:val="es-CO"/>
        </w:rPr>
        <w:t xml:space="preserve">Cuadro </w:t>
      </w:r>
      <w:r w:rsidR="00651911">
        <w:rPr>
          <w:lang w:val="es-CO"/>
        </w:rPr>
        <w:t>I</w:t>
      </w:r>
      <w:r w:rsidR="00DA4C74" w:rsidRPr="00606E51">
        <w:rPr>
          <w:lang w:val="es-CO"/>
        </w:rPr>
        <w:noBreakHyphen/>
      </w:r>
      <w:r w:rsidR="00651911">
        <w:rPr>
          <w:lang w:val="es-CO"/>
        </w:rPr>
        <w:t>III</w:t>
      </w:r>
      <w:r w:rsidR="00B356EA" w:rsidRPr="00606E51">
        <w:rPr>
          <w:rFonts w:cs="Times New Roman"/>
          <w:lang w:val="es-CO"/>
        </w:rPr>
        <w:fldChar w:fldCharType="end"/>
      </w:r>
      <w:r w:rsidR="00B356EA" w:rsidRPr="00606E51">
        <w:rPr>
          <w:rFonts w:cs="Times New Roman"/>
          <w:lang w:val="es-CO"/>
        </w:rPr>
        <w:t xml:space="preserve"> muestra l</w:t>
      </w:r>
      <w:r w:rsidR="00D704B1" w:rsidRPr="00606E51">
        <w:rPr>
          <w:rFonts w:cs="Times New Roman"/>
          <w:lang w:val="es-CO"/>
        </w:rPr>
        <w:t>os datos de mortalidad por desnutrició</w:t>
      </w:r>
      <w:r w:rsidR="00E257E0" w:rsidRPr="00606E51">
        <w:rPr>
          <w:rFonts w:cs="Times New Roman"/>
          <w:lang w:val="es-CO"/>
        </w:rPr>
        <w:t xml:space="preserve">n </w:t>
      </w:r>
      <w:r w:rsidR="00B356EA" w:rsidRPr="00606E51">
        <w:rPr>
          <w:rFonts w:cs="Times New Roman"/>
          <w:lang w:val="es-CO"/>
        </w:rPr>
        <w:t>aguda</w:t>
      </w:r>
      <w:r w:rsidR="00B356EA" w:rsidRPr="00606E51">
        <w:rPr>
          <w:rStyle w:val="FootnoteReference"/>
          <w:rFonts w:cs="Times New Roman"/>
          <w:lang w:val="es-CO"/>
        </w:rPr>
        <w:footnoteReference w:id="13"/>
      </w:r>
      <w:r w:rsidR="00514A99" w:rsidRPr="00606E51">
        <w:rPr>
          <w:rFonts w:cs="Times New Roman"/>
          <w:lang w:val="es-CO"/>
        </w:rPr>
        <w:t>; s</w:t>
      </w:r>
      <w:r w:rsidR="009079CD" w:rsidRPr="00606E51">
        <w:rPr>
          <w:rFonts w:cs="Times New Roman"/>
          <w:lang w:val="es-CO"/>
        </w:rPr>
        <w:t>e observa que el 57% de los 74 caso</w:t>
      </w:r>
      <w:r w:rsidR="006D4221" w:rsidRPr="00606E51">
        <w:rPr>
          <w:rFonts w:cs="Times New Roman"/>
          <w:lang w:val="es-CO"/>
        </w:rPr>
        <w:t xml:space="preserve">s registrados en 2016 sucedieron en la zona rural de los municipios </w:t>
      </w:r>
      <w:r w:rsidR="00E74231">
        <w:rPr>
          <w:rFonts w:cs="Times New Roman"/>
          <w:lang w:val="es-CO"/>
        </w:rPr>
        <w:t xml:space="preserve">seleccionados </w:t>
      </w:r>
      <w:r w:rsidR="00E74231">
        <w:rPr>
          <w:rFonts w:cs="Times New Roman"/>
          <w:lang w:val="es-CO"/>
        </w:rPr>
        <w:lastRenderedPageBreak/>
        <w:t>para la evaluación</w:t>
      </w:r>
      <w:r w:rsidR="0018098B" w:rsidRPr="00606E51">
        <w:rPr>
          <w:rFonts w:cs="Times New Roman"/>
          <w:lang w:val="es-CO"/>
        </w:rPr>
        <w:t>,</w:t>
      </w:r>
      <w:r w:rsidR="00514A99" w:rsidRPr="00606E51">
        <w:rPr>
          <w:rFonts w:cs="Times New Roman"/>
          <w:lang w:val="es-CO"/>
        </w:rPr>
        <w:t xml:space="preserve"> el 58% de los casos fueron notificados</w:t>
      </w:r>
      <w:r w:rsidR="00514A99" w:rsidRPr="00606E51">
        <w:rPr>
          <w:rStyle w:val="FootnoteReference"/>
          <w:rFonts w:cs="Times New Roman"/>
          <w:lang w:val="es-CO"/>
        </w:rPr>
        <w:footnoteReference w:id="14"/>
      </w:r>
      <w:r w:rsidR="00514A99" w:rsidRPr="00606E51">
        <w:rPr>
          <w:rFonts w:cs="Times New Roman"/>
          <w:lang w:val="es-CO"/>
        </w:rPr>
        <w:t xml:space="preserve"> en Riohacha, 19% de los casos eran niños menores de cinco meses y 89% de los casos </w:t>
      </w:r>
      <w:r w:rsidR="009F0BF6" w:rsidRPr="00606E51">
        <w:rPr>
          <w:rFonts w:cs="Times New Roman"/>
          <w:lang w:val="es-CO"/>
        </w:rPr>
        <w:t xml:space="preserve">fueron </w:t>
      </w:r>
      <w:r w:rsidR="00514A99" w:rsidRPr="00606E51">
        <w:rPr>
          <w:rFonts w:cs="Times New Roman"/>
          <w:lang w:val="es-CO"/>
        </w:rPr>
        <w:t>ho</w:t>
      </w:r>
      <w:r w:rsidR="00453D4D" w:rsidRPr="00606E51">
        <w:rPr>
          <w:rFonts w:cs="Times New Roman"/>
          <w:lang w:val="es-CO"/>
        </w:rPr>
        <w:t>spitalizados.</w:t>
      </w:r>
    </w:p>
    <w:p w14:paraId="4FCF0503" w14:textId="77777777" w:rsidR="0061401C" w:rsidRPr="00606E51" w:rsidRDefault="0061401C" w:rsidP="000B26ED">
      <w:pPr>
        <w:jc w:val="both"/>
        <w:rPr>
          <w:rFonts w:cs="Times New Roman"/>
          <w:lang w:val="es-CO"/>
        </w:rPr>
      </w:pPr>
    </w:p>
    <w:p w14:paraId="540026D8" w14:textId="77777777" w:rsidR="00A34BB6" w:rsidRPr="00606E51" w:rsidRDefault="00A34BB6" w:rsidP="00A34BB6">
      <w:pPr>
        <w:jc w:val="both"/>
        <w:rPr>
          <w:rFonts w:cs="Times New Roman"/>
          <w:lang w:val="es-CO"/>
        </w:rPr>
      </w:pPr>
      <w:r w:rsidRPr="00606E51">
        <w:rPr>
          <w:rFonts w:cs="Times New Roman"/>
          <w:lang w:val="es-CO"/>
        </w:rPr>
        <w:t>Adicionalmente, el cambio climático, que ha afectado las condiciones para la producción de los productos tradicionales de la comunidad indígena que habita la zona, el cierre de la frontera con Venezuela, la inestabilidad de la administración del gobierno departamental, entre otros determinantes sociales que inciden sobre la salud, han generado retos adicionales para garantizar la apropiada atención en salud</w:t>
      </w:r>
      <w:r w:rsidR="001B7C8E" w:rsidRPr="00606E51">
        <w:rPr>
          <w:rFonts w:cs="Times New Roman"/>
          <w:lang w:val="es-CO"/>
        </w:rPr>
        <w:t xml:space="preserve"> de</w:t>
      </w:r>
      <w:r w:rsidRPr="00606E51">
        <w:rPr>
          <w:rFonts w:cs="Times New Roman"/>
          <w:lang w:val="es-CO"/>
        </w:rPr>
        <w:t xml:space="preserve"> la población de los municipios objeto de análisis en esta evaluación</w:t>
      </w:r>
      <w:r w:rsidRPr="00606E51">
        <w:rPr>
          <w:rStyle w:val="FootnoteReference"/>
          <w:rFonts w:cs="Times New Roman"/>
          <w:lang w:val="es-CO"/>
        </w:rPr>
        <w:footnoteReference w:id="15"/>
      </w:r>
      <w:r w:rsidRPr="00606E51">
        <w:rPr>
          <w:rFonts w:cs="Times New Roman"/>
          <w:lang w:val="es-CO"/>
        </w:rPr>
        <w:t xml:space="preserve">. </w:t>
      </w:r>
    </w:p>
    <w:p w14:paraId="24DF15BF" w14:textId="77777777" w:rsidR="0061401C" w:rsidRPr="00606E51" w:rsidRDefault="0061401C" w:rsidP="000B26ED">
      <w:pPr>
        <w:jc w:val="both"/>
        <w:rPr>
          <w:rFonts w:cs="Times New Roman"/>
          <w:lang w:val="es-CO"/>
        </w:rPr>
      </w:pPr>
    </w:p>
    <w:p w14:paraId="1D51FBBB" w14:textId="77777777" w:rsidR="004101AB" w:rsidRPr="00606E51" w:rsidRDefault="00F1370E" w:rsidP="00101D3A">
      <w:pPr>
        <w:pStyle w:val="Caption"/>
        <w:rPr>
          <w:lang w:val="es-CO"/>
        </w:rPr>
      </w:pPr>
      <w:bookmarkStart w:id="9" w:name="_Toc490045697"/>
      <w:r w:rsidRPr="00606E51">
        <w:rPr>
          <w:lang w:val="es-CO"/>
        </w:rPr>
        <w:t xml:space="preserve">Cuadro </w:t>
      </w:r>
      <w:r w:rsidRPr="00606E51">
        <w:rPr>
          <w:lang w:val="es-CO"/>
        </w:rPr>
        <w:fldChar w:fldCharType="begin"/>
      </w:r>
      <w:r w:rsidRPr="00606E51">
        <w:rPr>
          <w:lang w:val="es-CO"/>
        </w:rPr>
        <w:instrText xml:space="preserve"> STYLEREF 1 \s </w:instrText>
      </w:r>
      <w:r w:rsidRPr="00606E51">
        <w:rPr>
          <w:lang w:val="es-CO"/>
        </w:rPr>
        <w:fldChar w:fldCharType="separate"/>
      </w:r>
      <w:r w:rsidRPr="00606E51">
        <w:rPr>
          <w:lang w:val="es-CO"/>
        </w:rPr>
        <w:t>1</w:t>
      </w:r>
      <w:r w:rsidRPr="00606E51">
        <w:rPr>
          <w:lang w:val="es-CO"/>
        </w:rPr>
        <w:fldChar w:fldCharType="end"/>
      </w:r>
      <w:r w:rsidRPr="00606E51">
        <w:rPr>
          <w:lang w:val="es-CO"/>
        </w:rPr>
        <w:noBreakHyphen/>
      </w:r>
      <w:r w:rsidRPr="00606E51">
        <w:rPr>
          <w:lang w:val="es-CO"/>
        </w:rPr>
        <w:fldChar w:fldCharType="begin"/>
      </w:r>
      <w:r w:rsidRPr="00606E51">
        <w:rPr>
          <w:lang w:val="es-CO"/>
        </w:rPr>
        <w:instrText xml:space="preserve"> SEQ Cuadro \* ROMAN \s 1 </w:instrText>
      </w:r>
      <w:r w:rsidRPr="00606E51">
        <w:rPr>
          <w:lang w:val="es-CO"/>
        </w:rPr>
        <w:fldChar w:fldCharType="separate"/>
      </w:r>
      <w:r w:rsidRPr="00606E51">
        <w:rPr>
          <w:lang w:val="es-CO"/>
        </w:rPr>
        <w:t>II</w:t>
      </w:r>
      <w:r w:rsidRPr="00606E51">
        <w:rPr>
          <w:lang w:val="es-CO"/>
        </w:rPr>
        <w:fldChar w:fldCharType="end"/>
      </w:r>
      <w:r w:rsidRPr="00606E51">
        <w:rPr>
          <w:lang w:val="es-CO"/>
        </w:rPr>
        <w:t xml:space="preserve"> Casos de desnutrición aguda (SIVIGILA - evento 113), por municipio de residencia. 2016</w:t>
      </w:r>
      <w:bookmarkEnd w:id="9"/>
    </w:p>
    <w:tbl>
      <w:tblPr>
        <w:tblW w:w="4847" w:type="pct"/>
        <w:jc w:val="center"/>
        <w:tblCellMar>
          <w:left w:w="70" w:type="dxa"/>
          <w:right w:w="70" w:type="dxa"/>
        </w:tblCellMar>
        <w:tblLook w:val="04A0" w:firstRow="1" w:lastRow="0" w:firstColumn="1" w:lastColumn="0" w:noHBand="0" w:noVBand="1"/>
      </w:tblPr>
      <w:tblGrid>
        <w:gridCol w:w="1862"/>
        <w:gridCol w:w="469"/>
        <w:gridCol w:w="856"/>
        <w:gridCol w:w="470"/>
        <w:gridCol w:w="857"/>
        <w:gridCol w:w="470"/>
        <w:gridCol w:w="857"/>
        <w:gridCol w:w="470"/>
        <w:gridCol w:w="857"/>
        <w:gridCol w:w="470"/>
        <w:gridCol w:w="930"/>
      </w:tblGrid>
      <w:tr w:rsidR="004101AB" w:rsidRPr="00606E51" w14:paraId="3619FD33" w14:textId="77777777" w:rsidTr="003F5B75">
        <w:trPr>
          <w:trHeight w:val="163"/>
          <w:jc w:val="center"/>
        </w:trPr>
        <w:tc>
          <w:tcPr>
            <w:tcW w:w="1087" w:type="pct"/>
            <w:tcBorders>
              <w:top w:val="nil"/>
              <w:left w:val="nil"/>
              <w:bottom w:val="nil"/>
              <w:right w:val="nil"/>
            </w:tcBorders>
            <w:shd w:val="clear" w:color="auto" w:fill="auto"/>
            <w:noWrap/>
            <w:vAlign w:val="bottom"/>
          </w:tcPr>
          <w:p w14:paraId="6D330960" w14:textId="77777777" w:rsidR="004101AB" w:rsidRPr="00606E51" w:rsidRDefault="004101AB" w:rsidP="00371B49">
            <w:pPr>
              <w:rPr>
                <w:rFonts w:eastAsia="Times New Roman" w:cs="Times New Roman"/>
                <w:color w:val="000000"/>
                <w:sz w:val="16"/>
                <w:szCs w:val="16"/>
                <w:lang w:val="es-CO" w:eastAsia="es-CO"/>
              </w:rPr>
            </w:pPr>
          </w:p>
        </w:tc>
        <w:tc>
          <w:tcPr>
            <w:tcW w:w="773" w:type="pct"/>
            <w:gridSpan w:val="2"/>
            <w:tcBorders>
              <w:top w:val="single" w:sz="4" w:space="0" w:color="auto"/>
              <w:left w:val="nil"/>
              <w:bottom w:val="nil"/>
              <w:right w:val="nil"/>
            </w:tcBorders>
            <w:shd w:val="clear" w:color="auto" w:fill="auto"/>
            <w:noWrap/>
            <w:vAlign w:val="center"/>
            <w:hideMark/>
          </w:tcPr>
          <w:p w14:paraId="59FB9CE9"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MAICAO    </w:t>
            </w:r>
          </w:p>
        </w:tc>
        <w:tc>
          <w:tcPr>
            <w:tcW w:w="774" w:type="pct"/>
            <w:gridSpan w:val="2"/>
            <w:tcBorders>
              <w:top w:val="single" w:sz="4" w:space="0" w:color="auto"/>
              <w:left w:val="nil"/>
              <w:bottom w:val="nil"/>
              <w:right w:val="nil"/>
            </w:tcBorders>
            <w:shd w:val="clear" w:color="auto" w:fill="auto"/>
            <w:noWrap/>
            <w:vAlign w:val="center"/>
            <w:hideMark/>
          </w:tcPr>
          <w:p w14:paraId="24BF8C5C"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MANAURE   </w:t>
            </w:r>
          </w:p>
        </w:tc>
        <w:tc>
          <w:tcPr>
            <w:tcW w:w="774" w:type="pct"/>
            <w:gridSpan w:val="2"/>
            <w:tcBorders>
              <w:top w:val="single" w:sz="4" w:space="0" w:color="auto"/>
              <w:left w:val="nil"/>
              <w:bottom w:val="nil"/>
              <w:right w:val="nil"/>
            </w:tcBorders>
            <w:shd w:val="clear" w:color="auto" w:fill="auto"/>
            <w:noWrap/>
            <w:vAlign w:val="center"/>
            <w:hideMark/>
          </w:tcPr>
          <w:p w14:paraId="6378669C"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RIOHACHA  </w:t>
            </w:r>
          </w:p>
        </w:tc>
        <w:tc>
          <w:tcPr>
            <w:tcW w:w="774" w:type="pct"/>
            <w:gridSpan w:val="2"/>
            <w:tcBorders>
              <w:top w:val="single" w:sz="4" w:space="0" w:color="auto"/>
              <w:left w:val="nil"/>
              <w:bottom w:val="nil"/>
              <w:right w:val="nil"/>
            </w:tcBorders>
            <w:shd w:val="clear" w:color="auto" w:fill="auto"/>
            <w:noWrap/>
            <w:vAlign w:val="center"/>
            <w:hideMark/>
          </w:tcPr>
          <w:p w14:paraId="1D054990"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URIBIA    </w:t>
            </w:r>
          </w:p>
        </w:tc>
        <w:tc>
          <w:tcPr>
            <w:tcW w:w="817" w:type="pct"/>
            <w:gridSpan w:val="2"/>
            <w:tcBorders>
              <w:top w:val="single" w:sz="4" w:space="0" w:color="auto"/>
              <w:left w:val="single" w:sz="4" w:space="0" w:color="auto"/>
              <w:bottom w:val="nil"/>
              <w:right w:val="nil"/>
            </w:tcBorders>
            <w:shd w:val="clear" w:color="auto" w:fill="auto"/>
            <w:noWrap/>
            <w:vAlign w:val="center"/>
            <w:hideMark/>
          </w:tcPr>
          <w:p w14:paraId="6EE3D973"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Total</w:t>
            </w:r>
          </w:p>
        </w:tc>
      </w:tr>
      <w:tr w:rsidR="003F5B75" w:rsidRPr="00606E51" w14:paraId="6D272F49" w14:textId="77777777" w:rsidTr="003F5B75">
        <w:trPr>
          <w:trHeight w:val="163"/>
          <w:jc w:val="center"/>
        </w:trPr>
        <w:tc>
          <w:tcPr>
            <w:tcW w:w="1087" w:type="pct"/>
            <w:tcBorders>
              <w:top w:val="nil"/>
              <w:left w:val="nil"/>
              <w:bottom w:val="single" w:sz="4" w:space="0" w:color="auto"/>
              <w:right w:val="nil"/>
            </w:tcBorders>
            <w:shd w:val="clear" w:color="auto" w:fill="auto"/>
            <w:noWrap/>
            <w:vAlign w:val="bottom"/>
          </w:tcPr>
          <w:p w14:paraId="1E136113" w14:textId="77777777" w:rsidR="004101AB" w:rsidRPr="00606E51" w:rsidRDefault="004101AB" w:rsidP="00371B49">
            <w:pPr>
              <w:rPr>
                <w:rFonts w:eastAsia="Times New Roman" w:cs="Times New Roman"/>
                <w:color w:val="000000"/>
                <w:sz w:val="16"/>
                <w:szCs w:val="16"/>
                <w:lang w:val="es-CO" w:eastAsia="es-CO"/>
              </w:rPr>
            </w:pPr>
          </w:p>
        </w:tc>
        <w:tc>
          <w:tcPr>
            <w:tcW w:w="274" w:type="pct"/>
            <w:tcBorders>
              <w:top w:val="nil"/>
              <w:left w:val="nil"/>
              <w:bottom w:val="single" w:sz="4" w:space="0" w:color="auto"/>
              <w:right w:val="nil"/>
            </w:tcBorders>
            <w:shd w:val="clear" w:color="auto" w:fill="auto"/>
            <w:noWrap/>
            <w:vAlign w:val="center"/>
            <w:hideMark/>
          </w:tcPr>
          <w:p w14:paraId="687FDDAE"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500" w:type="pct"/>
            <w:tcBorders>
              <w:top w:val="nil"/>
              <w:left w:val="nil"/>
              <w:bottom w:val="single" w:sz="4" w:space="0" w:color="auto"/>
              <w:right w:val="nil"/>
            </w:tcBorders>
            <w:shd w:val="clear" w:color="auto" w:fill="auto"/>
            <w:noWrap/>
            <w:vAlign w:val="center"/>
            <w:hideMark/>
          </w:tcPr>
          <w:p w14:paraId="0C685CDE"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(N=301)    </w:t>
            </w:r>
          </w:p>
        </w:tc>
        <w:tc>
          <w:tcPr>
            <w:tcW w:w="274" w:type="pct"/>
            <w:tcBorders>
              <w:top w:val="nil"/>
              <w:left w:val="nil"/>
              <w:bottom w:val="single" w:sz="4" w:space="0" w:color="auto"/>
              <w:right w:val="nil"/>
            </w:tcBorders>
            <w:shd w:val="clear" w:color="auto" w:fill="auto"/>
            <w:noWrap/>
            <w:vAlign w:val="center"/>
            <w:hideMark/>
          </w:tcPr>
          <w:p w14:paraId="1ABF5F68"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500" w:type="pct"/>
            <w:tcBorders>
              <w:top w:val="nil"/>
              <w:left w:val="nil"/>
              <w:bottom w:val="single" w:sz="4" w:space="0" w:color="auto"/>
              <w:right w:val="nil"/>
            </w:tcBorders>
            <w:shd w:val="clear" w:color="auto" w:fill="auto"/>
            <w:noWrap/>
            <w:vAlign w:val="center"/>
            <w:hideMark/>
          </w:tcPr>
          <w:p w14:paraId="3ABBD972"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(N=374)    </w:t>
            </w:r>
          </w:p>
        </w:tc>
        <w:tc>
          <w:tcPr>
            <w:tcW w:w="274" w:type="pct"/>
            <w:tcBorders>
              <w:top w:val="nil"/>
              <w:left w:val="nil"/>
              <w:bottom w:val="single" w:sz="4" w:space="0" w:color="auto"/>
              <w:right w:val="nil"/>
            </w:tcBorders>
            <w:shd w:val="clear" w:color="auto" w:fill="auto"/>
            <w:noWrap/>
            <w:vAlign w:val="center"/>
            <w:hideMark/>
          </w:tcPr>
          <w:p w14:paraId="5391BAE3"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500" w:type="pct"/>
            <w:tcBorders>
              <w:top w:val="nil"/>
              <w:left w:val="nil"/>
              <w:bottom w:val="single" w:sz="4" w:space="0" w:color="auto"/>
              <w:right w:val="nil"/>
            </w:tcBorders>
            <w:shd w:val="clear" w:color="auto" w:fill="auto"/>
            <w:noWrap/>
            <w:vAlign w:val="center"/>
            <w:hideMark/>
          </w:tcPr>
          <w:p w14:paraId="18BB7374"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(N=616)    </w:t>
            </w:r>
          </w:p>
        </w:tc>
        <w:tc>
          <w:tcPr>
            <w:tcW w:w="274" w:type="pct"/>
            <w:tcBorders>
              <w:top w:val="nil"/>
              <w:left w:val="nil"/>
              <w:bottom w:val="single" w:sz="4" w:space="0" w:color="auto"/>
              <w:right w:val="nil"/>
            </w:tcBorders>
            <w:shd w:val="clear" w:color="auto" w:fill="auto"/>
            <w:noWrap/>
            <w:vAlign w:val="center"/>
            <w:hideMark/>
          </w:tcPr>
          <w:p w14:paraId="6A48EC93"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500" w:type="pct"/>
            <w:tcBorders>
              <w:top w:val="nil"/>
              <w:left w:val="nil"/>
              <w:bottom w:val="single" w:sz="4" w:space="0" w:color="auto"/>
              <w:right w:val="nil"/>
            </w:tcBorders>
            <w:shd w:val="clear" w:color="auto" w:fill="auto"/>
            <w:noWrap/>
            <w:vAlign w:val="center"/>
            <w:hideMark/>
          </w:tcPr>
          <w:p w14:paraId="0AA8AF87"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(N=613)    </w:t>
            </w:r>
          </w:p>
        </w:tc>
        <w:tc>
          <w:tcPr>
            <w:tcW w:w="274" w:type="pct"/>
            <w:tcBorders>
              <w:top w:val="nil"/>
              <w:left w:val="single" w:sz="4" w:space="0" w:color="auto"/>
              <w:bottom w:val="single" w:sz="4" w:space="0" w:color="auto"/>
              <w:right w:val="nil"/>
            </w:tcBorders>
            <w:shd w:val="clear" w:color="auto" w:fill="auto"/>
            <w:noWrap/>
            <w:vAlign w:val="center"/>
            <w:hideMark/>
          </w:tcPr>
          <w:p w14:paraId="046285A5"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543" w:type="pct"/>
            <w:tcBorders>
              <w:top w:val="nil"/>
              <w:left w:val="nil"/>
              <w:bottom w:val="single" w:sz="4" w:space="0" w:color="auto"/>
              <w:right w:val="nil"/>
            </w:tcBorders>
            <w:shd w:val="clear" w:color="auto" w:fill="auto"/>
            <w:noWrap/>
            <w:vAlign w:val="center"/>
            <w:hideMark/>
          </w:tcPr>
          <w:p w14:paraId="52ADB5E0" w14:textId="77777777" w:rsidR="004101AB" w:rsidRPr="00606E51" w:rsidRDefault="004101AB" w:rsidP="00371B49">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(N=1.904)   </w:t>
            </w:r>
          </w:p>
        </w:tc>
      </w:tr>
      <w:tr w:rsidR="003F5B75" w:rsidRPr="00606E51" w14:paraId="745B5CB9"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134DE65A" w14:textId="77777777" w:rsidR="004101AB" w:rsidRPr="00606E51" w:rsidRDefault="004101AB" w:rsidP="00371B49">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Área</w:t>
            </w:r>
          </w:p>
        </w:tc>
        <w:tc>
          <w:tcPr>
            <w:tcW w:w="274" w:type="pct"/>
            <w:tcBorders>
              <w:top w:val="nil"/>
              <w:left w:val="nil"/>
              <w:bottom w:val="nil"/>
              <w:right w:val="nil"/>
            </w:tcBorders>
            <w:shd w:val="clear" w:color="auto" w:fill="auto"/>
            <w:noWrap/>
            <w:vAlign w:val="bottom"/>
            <w:hideMark/>
          </w:tcPr>
          <w:p w14:paraId="2E8AD4A7" w14:textId="77777777" w:rsidR="004101AB" w:rsidRPr="00606E51" w:rsidRDefault="004101AB" w:rsidP="00371B49">
            <w:pPr>
              <w:rPr>
                <w:rFonts w:eastAsia="Times New Roman" w:cs="Times New Roman"/>
                <w:b/>
                <w:bCs/>
                <w:color w:val="000000"/>
                <w:sz w:val="16"/>
                <w:szCs w:val="16"/>
                <w:lang w:val="es-CO" w:eastAsia="es-CO"/>
              </w:rPr>
            </w:pPr>
          </w:p>
        </w:tc>
        <w:tc>
          <w:tcPr>
            <w:tcW w:w="500" w:type="pct"/>
            <w:tcBorders>
              <w:top w:val="nil"/>
              <w:left w:val="nil"/>
              <w:bottom w:val="nil"/>
              <w:right w:val="nil"/>
            </w:tcBorders>
            <w:shd w:val="clear" w:color="auto" w:fill="auto"/>
            <w:noWrap/>
            <w:vAlign w:val="bottom"/>
            <w:hideMark/>
          </w:tcPr>
          <w:p w14:paraId="1F0CC8DC" w14:textId="77777777" w:rsidR="004101AB" w:rsidRPr="00606E51" w:rsidRDefault="004101AB" w:rsidP="00371B49">
            <w:pP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bottom"/>
            <w:hideMark/>
          </w:tcPr>
          <w:p w14:paraId="4882709F" w14:textId="77777777" w:rsidR="004101AB" w:rsidRPr="00606E51" w:rsidRDefault="004101AB" w:rsidP="00371B49">
            <w:pP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bottom"/>
            <w:hideMark/>
          </w:tcPr>
          <w:p w14:paraId="4F274F4A" w14:textId="77777777" w:rsidR="004101AB" w:rsidRPr="00606E51" w:rsidRDefault="004101AB" w:rsidP="00371B49">
            <w:pP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bottom"/>
            <w:hideMark/>
          </w:tcPr>
          <w:p w14:paraId="3219A752" w14:textId="77777777" w:rsidR="004101AB" w:rsidRPr="00606E51" w:rsidRDefault="004101AB" w:rsidP="00371B49">
            <w:pP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bottom"/>
            <w:hideMark/>
          </w:tcPr>
          <w:p w14:paraId="1D34BBAC" w14:textId="77777777" w:rsidR="004101AB" w:rsidRPr="00606E51" w:rsidRDefault="004101AB" w:rsidP="00371B49">
            <w:pP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bottom"/>
            <w:hideMark/>
          </w:tcPr>
          <w:p w14:paraId="0B1088E2" w14:textId="77777777" w:rsidR="004101AB" w:rsidRPr="00606E51" w:rsidRDefault="004101AB" w:rsidP="00371B49">
            <w:pP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bottom"/>
            <w:hideMark/>
          </w:tcPr>
          <w:p w14:paraId="145FFFF3" w14:textId="77777777" w:rsidR="004101AB" w:rsidRPr="00606E51" w:rsidRDefault="004101AB" w:rsidP="00371B49">
            <w:pPr>
              <w:rPr>
                <w:rFonts w:eastAsia="Times New Roman" w:cs="Times New Roman"/>
                <w:sz w:val="16"/>
                <w:szCs w:val="16"/>
                <w:lang w:val="es-CO" w:eastAsia="es-CO"/>
              </w:rPr>
            </w:pPr>
          </w:p>
        </w:tc>
        <w:tc>
          <w:tcPr>
            <w:tcW w:w="274" w:type="pct"/>
            <w:tcBorders>
              <w:top w:val="nil"/>
              <w:left w:val="single" w:sz="4" w:space="0" w:color="auto"/>
              <w:bottom w:val="nil"/>
              <w:right w:val="nil"/>
            </w:tcBorders>
            <w:shd w:val="clear" w:color="auto" w:fill="auto"/>
            <w:noWrap/>
            <w:vAlign w:val="bottom"/>
            <w:hideMark/>
          </w:tcPr>
          <w:p w14:paraId="41EAC972" w14:textId="77777777" w:rsidR="004101AB" w:rsidRPr="00606E51" w:rsidRDefault="004101AB" w:rsidP="00371B49">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3" w:type="pct"/>
            <w:tcBorders>
              <w:top w:val="nil"/>
              <w:left w:val="nil"/>
              <w:bottom w:val="nil"/>
              <w:right w:val="nil"/>
            </w:tcBorders>
            <w:shd w:val="clear" w:color="auto" w:fill="auto"/>
            <w:noWrap/>
            <w:vAlign w:val="bottom"/>
            <w:hideMark/>
          </w:tcPr>
          <w:p w14:paraId="673EEEC8" w14:textId="77777777" w:rsidR="004101AB" w:rsidRPr="00606E51" w:rsidRDefault="004101AB" w:rsidP="00371B49">
            <w:pPr>
              <w:rPr>
                <w:rFonts w:eastAsia="Times New Roman" w:cs="Times New Roman"/>
                <w:color w:val="000000"/>
                <w:sz w:val="16"/>
                <w:szCs w:val="16"/>
                <w:lang w:val="es-CO" w:eastAsia="es-CO"/>
              </w:rPr>
            </w:pPr>
          </w:p>
        </w:tc>
      </w:tr>
      <w:tr w:rsidR="003F5B75" w:rsidRPr="00606E51" w14:paraId="016FC8D9"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70011EE3"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Cabecera</w:t>
            </w:r>
          </w:p>
        </w:tc>
        <w:tc>
          <w:tcPr>
            <w:tcW w:w="274" w:type="pct"/>
            <w:tcBorders>
              <w:top w:val="nil"/>
              <w:left w:val="nil"/>
              <w:bottom w:val="nil"/>
              <w:right w:val="nil"/>
            </w:tcBorders>
            <w:shd w:val="clear" w:color="auto" w:fill="auto"/>
            <w:noWrap/>
            <w:vAlign w:val="center"/>
            <w:hideMark/>
          </w:tcPr>
          <w:p w14:paraId="760AEA1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w:t>
            </w:r>
          </w:p>
        </w:tc>
        <w:tc>
          <w:tcPr>
            <w:tcW w:w="500" w:type="pct"/>
            <w:tcBorders>
              <w:top w:val="nil"/>
              <w:left w:val="nil"/>
              <w:bottom w:val="nil"/>
              <w:right w:val="nil"/>
            </w:tcBorders>
            <w:shd w:val="clear" w:color="auto" w:fill="auto"/>
            <w:noWrap/>
            <w:vAlign w:val="center"/>
            <w:hideMark/>
          </w:tcPr>
          <w:p w14:paraId="1BC274E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98</w:t>
            </w:r>
          </w:p>
        </w:tc>
        <w:tc>
          <w:tcPr>
            <w:tcW w:w="274" w:type="pct"/>
            <w:tcBorders>
              <w:top w:val="nil"/>
              <w:left w:val="nil"/>
              <w:bottom w:val="nil"/>
              <w:right w:val="nil"/>
            </w:tcBorders>
            <w:shd w:val="clear" w:color="auto" w:fill="auto"/>
            <w:noWrap/>
            <w:vAlign w:val="center"/>
            <w:hideMark/>
          </w:tcPr>
          <w:p w14:paraId="0E0B9CF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500" w:type="pct"/>
            <w:tcBorders>
              <w:top w:val="nil"/>
              <w:left w:val="nil"/>
              <w:bottom w:val="nil"/>
              <w:right w:val="nil"/>
            </w:tcBorders>
            <w:shd w:val="clear" w:color="auto" w:fill="auto"/>
            <w:noWrap/>
            <w:vAlign w:val="center"/>
            <w:hideMark/>
          </w:tcPr>
          <w:p w14:paraId="6E91311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274" w:type="pct"/>
            <w:tcBorders>
              <w:top w:val="nil"/>
              <w:left w:val="nil"/>
              <w:bottom w:val="nil"/>
              <w:right w:val="nil"/>
            </w:tcBorders>
            <w:shd w:val="clear" w:color="auto" w:fill="auto"/>
            <w:noWrap/>
            <w:vAlign w:val="center"/>
            <w:hideMark/>
          </w:tcPr>
          <w:p w14:paraId="5314B07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w:t>
            </w:r>
          </w:p>
        </w:tc>
        <w:tc>
          <w:tcPr>
            <w:tcW w:w="500" w:type="pct"/>
            <w:tcBorders>
              <w:top w:val="nil"/>
              <w:left w:val="nil"/>
              <w:bottom w:val="nil"/>
              <w:right w:val="nil"/>
            </w:tcBorders>
            <w:shd w:val="clear" w:color="auto" w:fill="auto"/>
            <w:noWrap/>
            <w:vAlign w:val="center"/>
            <w:hideMark/>
          </w:tcPr>
          <w:p w14:paraId="5BC1D9B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139</w:t>
            </w:r>
          </w:p>
        </w:tc>
        <w:tc>
          <w:tcPr>
            <w:tcW w:w="274" w:type="pct"/>
            <w:tcBorders>
              <w:top w:val="nil"/>
              <w:left w:val="nil"/>
              <w:bottom w:val="nil"/>
              <w:right w:val="nil"/>
            </w:tcBorders>
            <w:shd w:val="clear" w:color="auto" w:fill="auto"/>
            <w:noWrap/>
            <w:vAlign w:val="center"/>
            <w:hideMark/>
          </w:tcPr>
          <w:p w14:paraId="36C9DBD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500" w:type="pct"/>
            <w:tcBorders>
              <w:top w:val="nil"/>
              <w:left w:val="nil"/>
              <w:bottom w:val="nil"/>
              <w:right w:val="nil"/>
            </w:tcBorders>
            <w:shd w:val="clear" w:color="auto" w:fill="auto"/>
            <w:noWrap/>
            <w:vAlign w:val="center"/>
            <w:hideMark/>
          </w:tcPr>
          <w:p w14:paraId="790437F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116</w:t>
            </w:r>
          </w:p>
        </w:tc>
        <w:tc>
          <w:tcPr>
            <w:tcW w:w="274" w:type="pct"/>
            <w:tcBorders>
              <w:top w:val="nil"/>
              <w:left w:val="single" w:sz="4" w:space="0" w:color="auto"/>
              <w:bottom w:val="nil"/>
              <w:right w:val="nil"/>
            </w:tcBorders>
            <w:shd w:val="clear" w:color="auto" w:fill="auto"/>
            <w:noWrap/>
            <w:vAlign w:val="center"/>
            <w:hideMark/>
          </w:tcPr>
          <w:p w14:paraId="31E530D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43" w:type="pct"/>
            <w:tcBorders>
              <w:top w:val="nil"/>
              <w:left w:val="nil"/>
              <w:bottom w:val="nil"/>
              <w:right w:val="nil"/>
            </w:tcBorders>
            <w:shd w:val="clear" w:color="auto" w:fill="auto"/>
            <w:noWrap/>
            <w:vAlign w:val="center"/>
            <w:hideMark/>
          </w:tcPr>
          <w:p w14:paraId="4090789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374</w:t>
            </w:r>
          </w:p>
        </w:tc>
      </w:tr>
      <w:tr w:rsidR="003F5B75" w:rsidRPr="00606E51" w14:paraId="7864B03F"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3878EDF2"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Centro poblado</w:t>
            </w:r>
          </w:p>
        </w:tc>
        <w:tc>
          <w:tcPr>
            <w:tcW w:w="274" w:type="pct"/>
            <w:tcBorders>
              <w:top w:val="nil"/>
              <w:left w:val="nil"/>
              <w:bottom w:val="nil"/>
              <w:right w:val="nil"/>
            </w:tcBorders>
            <w:shd w:val="clear" w:color="auto" w:fill="auto"/>
            <w:noWrap/>
            <w:vAlign w:val="center"/>
            <w:hideMark/>
          </w:tcPr>
          <w:p w14:paraId="124D30D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500" w:type="pct"/>
            <w:tcBorders>
              <w:top w:val="nil"/>
              <w:left w:val="nil"/>
              <w:bottom w:val="nil"/>
              <w:right w:val="nil"/>
            </w:tcBorders>
            <w:shd w:val="clear" w:color="auto" w:fill="auto"/>
            <w:noWrap/>
            <w:vAlign w:val="center"/>
            <w:hideMark/>
          </w:tcPr>
          <w:p w14:paraId="3657517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w:t>
            </w:r>
          </w:p>
        </w:tc>
        <w:tc>
          <w:tcPr>
            <w:tcW w:w="274" w:type="pct"/>
            <w:tcBorders>
              <w:top w:val="nil"/>
              <w:left w:val="nil"/>
              <w:bottom w:val="nil"/>
              <w:right w:val="nil"/>
            </w:tcBorders>
            <w:shd w:val="clear" w:color="auto" w:fill="auto"/>
            <w:noWrap/>
            <w:vAlign w:val="center"/>
            <w:hideMark/>
          </w:tcPr>
          <w:p w14:paraId="4EDD264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500" w:type="pct"/>
            <w:tcBorders>
              <w:top w:val="nil"/>
              <w:left w:val="nil"/>
              <w:bottom w:val="nil"/>
              <w:right w:val="nil"/>
            </w:tcBorders>
            <w:shd w:val="clear" w:color="auto" w:fill="auto"/>
            <w:noWrap/>
            <w:vAlign w:val="center"/>
            <w:hideMark/>
          </w:tcPr>
          <w:p w14:paraId="15119EA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w:t>
            </w:r>
          </w:p>
        </w:tc>
        <w:tc>
          <w:tcPr>
            <w:tcW w:w="274" w:type="pct"/>
            <w:tcBorders>
              <w:top w:val="nil"/>
              <w:left w:val="nil"/>
              <w:bottom w:val="nil"/>
              <w:right w:val="nil"/>
            </w:tcBorders>
            <w:shd w:val="clear" w:color="auto" w:fill="auto"/>
            <w:noWrap/>
            <w:vAlign w:val="center"/>
            <w:hideMark/>
          </w:tcPr>
          <w:p w14:paraId="5FFF222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500" w:type="pct"/>
            <w:tcBorders>
              <w:top w:val="nil"/>
              <w:left w:val="nil"/>
              <w:bottom w:val="nil"/>
              <w:right w:val="nil"/>
            </w:tcBorders>
            <w:shd w:val="clear" w:color="auto" w:fill="auto"/>
            <w:noWrap/>
            <w:vAlign w:val="center"/>
            <w:hideMark/>
          </w:tcPr>
          <w:p w14:paraId="59CD738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w:t>
            </w:r>
          </w:p>
        </w:tc>
        <w:tc>
          <w:tcPr>
            <w:tcW w:w="274" w:type="pct"/>
            <w:tcBorders>
              <w:top w:val="nil"/>
              <w:left w:val="nil"/>
              <w:bottom w:val="nil"/>
              <w:right w:val="nil"/>
            </w:tcBorders>
            <w:shd w:val="clear" w:color="auto" w:fill="auto"/>
            <w:noWrap/>
            <w:vAlign w:val="center"/>
            <w:hideMark/>
          </w:tcPr>
          <w:p w14:paraId="39D5E19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00" w:type="pct"/>
            <w:tcBorders>
              <w:top w:val="nil"/>
              <w:left w:val="nil"/>
              <w:bottom w:val="nil"/>
              <w:right w:val="nil"/>
            </w:tcBorders>
            <w:shd w:val="clear" w:color="auto" w:fill="auto"/>
            <w:noWrap/>
            <w:vAlign w:val="center"/>
            <w:hideMark/>
          </w:tcPr>
          <w:p w14:paraId="5D3BB4F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102</w:t>
            </w:r>
          </w:p>
        </w:tc>
        <w:tc>
          <w:tcPr>
            <w:tcW w:w="274" w:type="pct"/>
            <w:tcBorders>
              <w:top w:val="nil"/>
              <w:left w:val="single" w:sz="4" w:space="0" w:color="auto"/>
              <w:bottom w:val="nil"/>
              <w:right w:val="nil"/>
            </w:tcBorders>
            <w:shd w:val="clear" w:color="auto" w:fill="auto"/>
            <w:noWrap/>
            <w:vAlign w:val="center"/>
            <w:hideMark/>
          </w:tcPr>
          <w:p w14:paraId="56997B0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43" w:type="pct"/>
            <w:tcBorders>
              <w:top w:val="nil"/>
              <w:left w:val="nil"/>
              <w:bottom w:val="nil"/>
              <w:right w:val="nil"/>
            </w:tcBorders>
            <w:shd w:val="clear" w:color="auto" w:fill="auto"/>
            <w:noWrap/>
            <w:vAlign w:val="center"/>
            <w:hideMark/>
          </w:tcPr>
          <w:p w14:paraId="5910E66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197</w:t>
            </w:r>
          </w:p>
        </w:tc>
      </w:tr>
      <w:tr w:rsidR="003F5B75" w:rsidRPr="00606E51" w14:paraId="17F9E39B"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49CA5A1F"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Rural</w:t>
            </w:r>
          </w:p>
        </w:tc>
        <w:tc>
          <w:tcPr>
            <w:tcW w:w="274" w:type="pct"/>
            <w:tcBorders>
              <w:top w:val="nil"/>
              <w:left w:val="nil"/>
              <w:bottom w:val="nil"/>
              <w:right w:val="nil"/>
            </w:tcBorders>
            <w:shd w:val="clear" w:color="auto" w:fill="auto"/>
            <w:noWrap/>
            <w:vAlign w:val="center"/>
            <w:hideMark/>
          </w:tcPr>
          <w:p w14:paraId="72F02D3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54%</w:t>
            </w:r>
          </w:p>
        </w:tc>
        <w:tc>
          <w:tcPr>
            <w:tcW w:w="500" w:type="pct"/>
            <w:tcBorders>
              <w:top w:val="nil"/>
              <w:left w:val="nil"/>
              <w:bottom w:val="nil"/>
              <w:right w:val="nil"/>
            </w:tcBorders>
            <w:shd w:val="clear" w:color="auto" w:fill="auto"/>
            <w:noWrap/>
            <w:vAlign w:val="center"/>
            <w:hideMark/>
          </w:tcPr>
          <w:p w14:paraId="03030AD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164</w:t>
            </w:r>
          </w:p>
        </w:tc>
        <w:tc>
          <w:tcPr>
            <w:tcW w:w="274" w:type="pct"/>
            <w:tcBorders>
              <w:top w:val="nil"/>
              <w:left w:val="nil"/>
              <w:bottom w:val="nil"/>
              <w:right w:val="nil"/>
            </w:tcBorders>
            <w:shd w:val="clear" w:color="auto" w:fill="auto"/>
            <w:noWrap/>
            <w:vAlign w:val="center"/>
            <w:hideMark/>
          </w:tcPr>
          <w:p w14:paraId="26C3CA2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w:t>
            </w:r>
          </w:p>
        </w:tc>
        <w:tc>
          <w:tcPr>
            <w:tcW w:w="500" w:type="pct"/>
            <w:tcBorders>
              <w:top w:val="nil"/>
              <w:left w:val="nil"/>
              <w:bottom w:val="nil"/>
              <w:right w:val="nil"/>
            </w:tcBorders>
            <w:shd w:val="clear" w:color="auto" w:fill="auto"/>
            <w:noWrap/>
            <w:vAlign w:val="center"/>
            <w:hideMark/>
          </w:tcPr>
          <w:p w14:paraId="402DF64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330</w:t>
            </w:r>
          </w:p>
        </w:tc>
        <w:tc>
          <w:tcPr>
            <w:tcW w:w="274" w:type="pct"/>
            <w:tcBorders>
              <w:top w:val="nil"/>
              <w:left w:val="nil"/>
              <w:bottom w:val="nil"/>
              <w:right w:val="nil"/>
            </w:tcBorders>
            <w:shd w:val="clear" w:color="auto" w:fill="auto"/>
            <w:noWrap/>
            <w:vAlign w:val="center"/>
            <w:hideMark/>
          </w:tcPr>
          <w:p w14:paraId="3E4F068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72%</w:t>
            </w:r>
          </w:p>
        </w:tc>
        <w:tc>
          <w:tcPr>
            <w:tcW w:w="500" w:type="pct"/>
            <w:tcBorders>
              <w:top w:val="nil"/>
              <w:left w:val="nil"/>
              <w:bottom w:val="nil"/>
              <w:right w:val="nil"/>
            </w:tcBorders>
            <w:shd w:val="clear" w:color="auto" w:fill="auto"/>
            <w:noWrap/>
            <w:vAlign w:val="center"/>
            <w:hideMark/>
          </w:tcPr>
          <w:p w14:paraId="78BA03A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444</w:t>
            </w:r>
          </w:p>
        </w:tc>
        <w:tc>
          <w:tcPr>
            <w:tcW w:w="274" w:type="pct"/>
            <w:tcBorders>
              <w:top w:val="nil"/>
              <w:left w:val="nil"/>
              <w:bottom w:val="nil"/>
              <w:right w:val="nil"/>
            </w:tcBorders>
            <w:shd w:val="clear" w:color="auto" w:fill="auto"/>
            <w:noWrap/>
            <w:vAlign w:val="center"/>
            <w:hideMark/>
          </w:tcPr>
          <w:p w14:paraId="132A96ED"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64%</w:t>
            </w:r>
          </w:p>
        </w:tc>
        <w:tc>
          <w:tcPr>
            <w:tcW w:w="500" w:type="pct"/>
            <w:tcBorders>
              <w:top w:val="nil"/>
              <w:left w:val="nil"/>
              <w:bottom w:val="nil"/>
              <w:right w:val="nil"/>
            </w:tcBorders>
            <w:shd w:val="clear" w:color="auto" w:fill="auto"/>
            <w:noWrap/>
            <w:vAlign w:val="center"/>
            <w:hideMark/>
          </w:tcPr>
          <w:p w14:paraId="63ECCEB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395</w:t>
            </w:r>
          </w:p>
        </w:tc>
        <w:tc>
          <w:tcPr>
            <w:tcW w:w="274" w:type="pct"/>
            <w:tcBorders>
              <w:top w:val="nil"/>
              <w:left w:val="single" w:sz="4" w:space="0" w:color="auto"/>
              <w:bottom w:val="nil"/>
              <w:right w:val="nil"/>
            </w:tcBorders>
            <w:shd w:val="clear" w:color="auto" w:fill="auto"/>
            <w:noWrap/>
            <w:vAlign w:val="center"/>
            <w:hideMark/>
          </w:tcPr>
          <w:p w14:paraId="0EC46EA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70%</w:t>
            </w:r>
          </w:p>
        </w:tc>
        <w:tc>
          <w:tcPr>
            <w:tcW w:w="543" w:type="pct"/>
            <w:tcBorders>
              <w:top w:val="nil"/>
              <w:left w:val="nil"/>
              <w:bottom w:val="nil"/>
              <w:right w:val="nil"/>
            </w:tcBorders>
            <w:shd w:val="clear" w:color="auto" w:fill="auto"/>
            <w:noWrap/>
            <w:vAlign w:val="center"/>
            <w:hideMark/>
          </w:tcPr>
          <w:p w14:paraId="20D49F8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1.333</w:t>
            </w:r>
          </w:p>
        </w:tc>
      </w:tr>
      <w:tr w:rsidR="003F5B75" w:rsidRPr="00606E51" w14:paraId="0B0E56F0"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689D5CB1" w14:textId="77777777" w:rsidR="004101AB" w:rsidRPr="00606E51" w:rsidRDefault="004101AB" w:rsidP="00371B49">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Edad (años)</w:t>
            </w:r>
          </w:p>
        </w:tc>
        <w:tc>
          <w:tcPr>
            <w:tcW w:w="274" w:type="pct"/>
            <w:tcBorders>
              <w:top w:val="nil"/>
              <w:left w:val="nil"/>
              <w:bottom w:val="nil"/>
              <w:right w:val="nil"/>
            </w:tcBorders>
            <w:shd w:val="clear" w:color="auto" w:fill="auto"/>
            <w:noWrap/>
            <w:vAlign w:val="center"/>
            <w:hideMark/>
          </w:tcPr>
          <w:p w14:paraId="77F9D2A8" w14:textId="77777777" w:rsidR="004101AB" w:rsidRPr="00606E51" w:rsidRDefault="004101AB" w:rsidP="00371B49">
            <w:pPr>
              <w:rPr>
                <w:rFonts w:eastAsia="Times New Roman" w:cs="Times New Roman"/>
                <w:b/>
                <w:bCs/>
                <w:color w:val="000000"/>
                <w:sz w:val="16"/>
                <w:szCs w:val="16"/>
                <w:lang w:val="es-CO" w:eastAsia="es-CO"/>
              </w:rPr>
            </w:pPr>
          </w:p>
        </w:tc>
        <w:tc>
          <w:tcPr>
            <w:tcW w:w="500" w:type="pct"/>
            <w:tcBorders>
              <w:top w:val="nil"/>
              <w:left w:val="nil"/>
              <w:bottom w:val="nil"/>
              <w:right w:val="nil"/>
            </w:tcBorders>
            <w:shd w:val="clear" w:color="auto" w:fill="auto"/>
            <w:noWrap/>
            <w:vAlign w:val="center"/>
            <w:hideMark/>
          </w:tcPr>
          <w:p w14:paraId="46136780"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717665B3"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662879D0"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39D60F15"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640D6F65"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72775C91"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68270F93"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single" w:sz="4" w:space="0" w:color="auto"/>
              <w:bottom w:val="nil"/>
              <w:right w:val="nil"/>
            </w:tcBorders>
            <w:shd w:val="clear" w:color="auto" w:fill="auto"/>
            <w:noWrap/>
            <w:vAlign w:val="center"/>
            <w:hideMark/>
          </w:tcPr>
          <w:p w14:paraId="3D8D5FA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3" w:type="pct"/>
            <w:tcBorders>
              <w:top w:val="nil"/>
              <w:left w:val="nil"/>
              <w:bottom w:val="nil"/>
              <w:right w:val="nil"/>
            </w:tcBorders>
            <w:shd w:val="clear" w:color="auto" w:fill="auto"/>
            <w:noWrap/>
            <w:vAlign w:val="center"/>
            <w:hideMark/>
          </w:tcPr>
          <w:p w14:paraId="739A8C89" w14:textId="77777777" w:rsidR="004101AB" w:rsidRPr="00606E51" w:rsidRDefault="004101AB" w:rsidP="00371B49">
            <w:pPr>
              <w:jc w:val="center"/>
              <w:rPr>
                <w:rFonts w:eastAsia="Times New Roman" w:cs="Times New Roman"/>
                <w:color w:val="000000"/>
                <w:sz w:val="16"/>
                <w:szCs w:val="16"/>
                <w:lang w:val="es-CO" w:eastAsia="es-CO"/>
              </w:rPr>
            </w:pPr>
          </w:p>
        </w:tc>
      </w:tr>
      <w:tr w:rsidR="003F5B75" w:rsidRPr="00606E51" w14:paraId="6573A51C"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4029EFB5"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4" w:type="pct"/>
            <w:tcBorders>
              <w:top w:val="nil"/>
              <w:left w:val="nil"/>
              <w:bottom w:val="nil"/>
              <w:right w:val="nil"/>
            </w:tcBorders>
            <w:shd w:val="clear" w:color="auto" w:fill="auto"/>
            <w:noWrap/>
            <w:vAlign w:val="center"/>
            <w:hideMark/>
          </w:tcPr>
          <w:p w14:paraId="23DDC74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28%</w:t>
            </w:r>
          </w:p>
        </w:tc>
        <w:tc>
          <w:tcPr>
            <w:tcW w:w="500" w:type="pct"/>
            <w:tcBorders>
              <w:top w:val="nil"/>
              <w:left w:val="nil"/>
              <w:bottom w:val="nil"/>
              <w:right w:val="nil"/>
            </w:tcBorders>
            <w:shd w:val="clear" w:color="auto" w:fill="auto"/>
            <w:noWrap/>
            <w:vAlign w:val="center"/>
            <w:hideMark/>
          </w:tcPr>
          <w:p w14:paraId="0E329E1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83</w:t>
            </w:r>
          </w:p>
        </w:tc>
        <w:tc>
          <w:tcPr>
            <w:tcW w:w="274" w:type="pct"/>
            <w:tcBorders>
              <w:top w:val="nil"/>
              <w:left w:val="nil"/>
              <w:bottom w:val="nil"/>
              <w:right w:val="nil"/>
            </w:tcBorders>
            <w:shd w:val="clear" w:color="auto" w:fill="auto"/>
            <w:noWrap/>
            <w:vAlign w:val="center"/>
            <w:hideMark/>
          </w:tcPr>
          <w:p w14:paraId="46E709F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500" w:type="pct"/>
            <w:tcBorders>
              <w:top w:val="nil"/>
              <w:left w:val="nil"/>
              <w:bottom w:val="nil"/>
              <w:right w:val="nil"/>
            </w:tcBorders>
            <w:shd w:val="clear" w:color="auto" w:fill="auto"/>
            <w:noWrap/>
            <w:vAlign w:val="center"/>
            <w:hideMark/>
          </w:tcPr>
          <w:p w14:paraId="2876BC2D"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274" w:type="pct"/>
            <w:tcBorders>
              <w:top w:val="nil"/>
              <w:left w:val="nil"/>
              <w:bottom w:val="nil"/>
              <w:right w:val="nil"/>
            </w:tcBorders>
            <w:shd w:val="clear" w:color="auto" w:fill="auto"/>
            <w:noWrap/>
            <w:vAlign w:val="center"/>
            <w:hideMark/>
          </w:tcPr>
          <w:p w14:paraId="6E1DC39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00" w:type="pct"/>
            <w:tcBorders>
              <w:top w:val="nil"/>
              <w:left w:val="nil"/>
              <w:bottom w:val="nil"/>
              <w:right w:val="nil"/>
            </w:tcBorders>
            <w:shd w:val="clear" w:color="auto" w:fill="auto"/>
            <w:noWrap/>
            <w:vAlign w:val="center"/>
            <w:hideMark/>
          </w:tcPr>
          <w:p w14:paraId="06E56F5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107</w:t>
            </w:r>
          </w:p>
        </w:tc>
        <w:tc>
          <w:tcPr>
            <w:tcW w:w="274" w:type="pct"/>
            <w:tcBorders>
              <w:top w:val="nil"/>
              <w:left w:val="nil"/>
              <w:bottom w:val="nil"/>
              <w:right w:val="nil"/>
            </w:tcBorders>
            <w:shd w:val="clear" w:color="auto" w:fill="auto"/>
            <w:noWrap/>
            <w:vAlign w:val="center"/>
            <w:hideMark/>
          </w:tcPr>
          <w:p w14:paraId="2AEE383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00" w:type="pct"/>
            <w:tcBorders>
              <w:top w:val="nil"/>
              <w:left w:val="nil"/>
              <w:bottom w:val="nil"/>
              <w:right w:val="nil"/>
            </w:tcBorders>
            <w:shd w:val="clear" w:color="auto" w:fill="auto"/>
            <w:noWrap/>
            <w:vAlign w:val="center"/>
            <w:hideMark/>
          </w:tcPr>
          <w:p w14:paraId="0FEEC83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122</w:t>
            </w:r>
          </w:p>
        </w:tc>
        <w:tc>
          <w:tcPr>
            <w:tcW w:w="274" w:type="pct"/>
            <w:tcBorders>
              <w:top w:val="nil"/>
              <w:left w:val="single" w:sz="4" w:space="0" w:color="auto"/>
              <w:bottom w:val="nil"/>
              <w:right w:val="nil"/>
            </w:tcBorders>
            <w:shd w:val="clear" w:color="auto" w:fill="auto"/>
            <w:noWrap/>
            <w:vAlign w:val="center"/>
            <w:hideMark/>
          </w:tcPr>
          <w:p w14:paraId="56835E4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543" w:type="pct"/>
            <w:tcBorders>
              <w:top w:val="nil"/>
              <w:left w:val="nil"/>
              <w:bottom w:val="nil"/>
              <w:right w:val="nil"/>
            </w:tcBorders>
            <w:shd w:val="clear" w:color="auto" w:fill="auto"/>
            <w:noWrap/>
            <w:vAlign w:val="center"/>
            <w:hideMark/>
          </w:tcPr>
          <w:p w14:paraId="08C4155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412</w:t>
            </w:r>
          </w:p>
        </w:tc>
      </w:tr>
      <w:tr w:rsidR="003F5B75" w:rsidRPr="00606E51" w14:paraId="7FF9F45E"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209222B4"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4" w:type="pct"/>
            <w:tcBorders>
              <w:top w:val="nil"/>
              <w:left w:val="nil"/>
              <w:bottom w:val="nil"/>
              <w:right w:val="nil"/>
            </w:tcBorders>
            <w:shd w:val="clear" w:color="auto" w:fill="auto"/>
            <w:noWrap/>
            <w:vAlign w:val="center"/>
            <w:hideMark/>
          </w:tcPr>
          <w:p w14:paraId="214A0CB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30%</w:t>
            </w:r>
          </w:p>
        </w:tc>
        <w:tc>
          <w:tcPr>
            <w:tcW w:w="500" w:type="pct"/>
            <w:tcBorders>
              <w:top w:val="nil"/>
              <w:left w:val="nil"/>
              <w:bottom w:val="nil"/>
              <w:right w:val="nil"/>
            </w:tcBorders>
            <w:shd w:val="clear" w:color="auto" w:fill="auto"/>
            <w:noWrap/>
            <w:vAlign w:val="center"/>
            <w:hideMark/>
          </w:tcPr>
          <w:p w14:paraId="30D67A3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91</w:t>
            </w:r>
          </w:p>
        </w:tc>
        <w:tc>
          <w:tcPr>
            <w:tcW w:w="274" w:type="pct"/>
            <w:tcBorders>
              <w:top w:val="nil"/>
              <w:left w:val="nil"/>
              <w:bottom w:val="nil"/>
              <w:right w:val="nil"/>
            </w:tcBorders>
            <w:shd w:val="clear" w:color="auto" w:fill="auto"/>
            <w:noWrap/>
            <w:vAlign w:val="center"/>
            <w:hideMark/>
          </w:tcPr>
          <w:p w14:paraId="2F1C1AA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w:t>
            </w:r>
          </w:p>
        </w:tc>
        <w:tc>
          <w:tcPr>
            <w:tcW w:w="500" w:type="pct"/>
            <w:tcBorders>
              <w:top w:val="nil"/>
              <w:left w:val="nil"/>
              <w:bottom w:val="nil"/>
              <w:right w:val="nil"/>
            </w:tcBorders>
            <w:shd w:val="clear" w:color="auto" w:fill="auto"/>
            <w:noWrap/>
            <w:vAlign w:val="center"/>
            <w:hideMark/>
          </w:tcPr>
          <w:p w14:paraId="64373DC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178</w:t>
            </w:r>
          </w:p>
        </w:tc>
        <w:tc>
          <w:tcPr>
            <w:tcW w:w="274" w:type="pct"/>
            <w:tcBorders>
              <w:top w:val="nil"/>
              <w:left w:val="nil"/>
              <w:bottom w:val="nil"/>
              <w:right w:val="nil"/>
            </w:tcBorders>
            <w:shd w:val="clear" w:color="auto" w:fill="auto"/>
            <w:noWrap/>
            <w:vAlign w:val="center"/>
            <w:hideMark/>
          </w:tcPr>
          <w:p w14:paraId="3648DAB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38%</w:t>
            </w:r>
          </w:p>
        </w:tc>
        <w:tc>
          <w:tcPr>
            <w:tcW w:w="500" w:type="pct"/>
            <w:tcBorders>
              <w:top w:val="nil"/>
              <w:left w:val="nil"/>
              <w:bottom w:val="nil"/>
              <w:right w:val="nil"/>
            </w:tcBorders>
            <w:shd w:val="clear" w:color="auto" w:fill="auto"/>
            <w:noWrap/>
            <w:vAlign w:val="center"/>
            <w:hideMark/>
          </w:tcPr>
          <w:p w14:paraId="23FBBB3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231</w:t>
            </w:r>
          </w:p>
        </w:tc>
        <w:tc>
          <w:tcPr>
            <w:tcW w:w="274" w:type="pct"/>
            <w:tcBorders>
              <w:top w:val="nil"/>
              <w:left w:val="nil"/>
              <w:bottom w:val="nil"/>
              <w:right w:val="nil"/>
            </w:tcBorders>
            <w:shd w:val="clear" w:color="auto" w:fill="auto"/>
            <w:noWrap/>
            <w:vAlign w:val="center"/>
            <w:hideMark/>
          </w:tcPr>
          <w:p w14:paraId="0B4A9FFA"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37%</w:t>
            </w:r>
          </w:p>
        </w:tc>
        <w:tc>
          <w:tcPr>
            <w:tcW w:w="500" w:type="pct"/>
            <w:tcBorders>
              <w:top w:val="nil"/>
              <w:left w:val="nil"/>
              <w:bottom w:val="nil"/>
              <w:right w:val="nil"/>
            </w:tcBorders>
            <w:shd w:val="clear" w:color="auto" w:fill="auto"/>
            <w:noWrap/>
            <w:vAlign w:val="center"/>
            <w:hideMark/>
          </w:tcPr>
          <w:p w14:paraId="48E7EF9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226</w:t>
            </w:r>
          </w:p>
        </w:tc>
        <w:tc>
          <w:tcPr>
            <w:tcW w:w="274" w:type="pct"/>
            <w:tcBorders>
              <w:top w:val="nil"/>
              <w:left w:val="single" w:sz="4" w:space="0" w:color="auto"/>
              <w:bottom w:val="nil"/>
              <w:right w:val="nil"/>
            </w:tcBorders>
            <w:shd w:val="clear" w:color="auto" w:fill="auto"/>
            <w:noWrap/>
            <w:vAlign w:val="center"/>
            <w:hideMark/>
          </w:tcPr>
          <w:p w14:paraId="04E06A4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38%</w:t>
            </w:r>
          </w:p>
        </w:tc>
        <w:tc>
          <w:tcPr>
            <w:tcW w:w="543" w:type="pct"/>
            <w:tcBorders>
              <w:top w:val="nil"/>
              <w:left w:val="nil"/>
              <w:bottom w:val="nil"/>
              <w:right w:val="nil"/>
            </w:tcBorders>
            <w:shd w:val="clear" w:color="auto" w:fill="auto"/>
            <w:noWrap/>
            <w:vAlign w:val="center"/>
            <w:hideMark/>
          </w:tcPr>
          <w:p w14:paraId="3059CC2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726</w:t>
            </w:r>
          </w:p>
        </w:tc>
      </w:tr>
      <w:tr w:rsidR="003F5B75" w:rsidRPr="00606E51" w14:paraId="49B92715"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3320B22F"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4" w:type="pct"/>
            <w:tcBorders>
              <w:top w:val="nil"/>
              <w:left w:val="nil"/>
              <w:bottom w:val="nil"/>
              <w:right w:val="nil"/>
            </w:tcBorders>
            <w:shd w:val="clear" w:color="auto" w:fill="auto"/>
            <w:noWrap/>
            <w:vAlign w:val="center"/>
            <w:hideMark/>
          </w:tcPr>
          <w:p w14:paraId="08608E9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00" w:type="pct"/>
            <w:tcBorders>
              <w:top w:val="nil"/>
              <w:left w:val="nil"/>
              <w:bottom w:val="nil"/>
              <w:right w:val="nil"/>
            </w:tcBorders>
            <w:shd w:val="clear" w:color="auto" w:fill="auto"/>
            <w:noWrap/>
            <w:vAlign w:val="center"/>
            <w:hideMark/>
          </w:tcPr>
          <w:p w14:paraId="7B4BF93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59</w:t>
            </w:r>
          </w:p>
        </w:tc>
        <w:tc>
          <w:tcPr>
            <w:tcW w:w="274" w:type="pct"/>
            <w:tcBorders>
              <w:top w:val="nil"/>
              <w:left w:val="nil"/>
              <w:bottom w:val="nil"/>
              <w:right w:val="nil"/>
            </w:tcBorders>
            <w:shd w:val="clear" w:color="auto" w:fill="auto"/>
            <w:noWrap/>
            <w:vAlign w:val="center"/>
            <w:hideMark/>
          </w:tcPr>
          <w:p w14:paraId="2CA3DD0A"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c>
          <w:tcPr>
            <w:tcW w:w="500" w:type="pct"/>
            <w:tcBorders>
              <w:top w:val="nil"/>
              <w:left w:val="nil"/>
              <w:bottom w:val="nil"/>
              <w:right w:val="nil"/>
            </w:tcBorders>
            <w:shd w:val="clear" w:color="auto" w:fill="auto"/>
            <w:noWrap/>
            <w:vAlign w:val="center"/>
            <w:hideMark/>
          </w:tcPr>
          <w:p w14:paraId="2563957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53</w:t>
            </w:r>
          </w:p>
        </w:tc>
        <w:tc>
          <w:tcPr>
            <w:tcW w:w="274" w:type="pct"/>
            <w:tcBorders>
              <w:top w:val="nil"/>
              <w:left w:val="nil"/>
              <w:bottom w:val="nil"/>
              <w:right w:val="nil"/>
            </w:tcBorders>
            <w:shd w:val="clear" w:color="auto" w:fill="auto"/>
            <w:noWrap/>
            <w:vAlign w:val="center"/>
            <w:hideMark/>
          </w:tcPr>
          <w:p w14:paraId="7868A42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00" w:type="pct"/>
            <w:tcBorders>
              <w:top w:val="nil"/>
              <w:left w:val="nil"/>
              <w:bottom w:val="nil"/>
              <w:right w:val="nil"/>
            </w:tcBorders>
            <w:shd w:val="clear" w:color="auto" w:fill="auto"/>
            <w:noWrap/>
            <w:vAlign w:val="center"/>
            <w:hideMark/>
          </w:tcPr>
          <w:p w14:paraId="616D79E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106</w:t>
            </w:r>
          </w:p>
        </w:tc>
        <w:tc>
          <w:tcPr>
            <w:tcW w:w="274" w:type="pct"/>
            <w:tcBorders>
              <w:top w:val="nil"/>
              <w:left w:val="nil"/>
              <w:bottom w:val="nil"/>
              <w:right w:val="nil"/>
            </w:tcBorders>
            <w:shd w:val="clear" w:color="auto" w:fill="auto"/>
            <w:noWrap/>
            <w:vAlign w:val="center"/>
            <w:hideMark/>
          </w:tcPr>
          <w:p w14:paraId="3FEA6CC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500" w:type="pct"/>
            <w:tcBorders>
              <w:top w:val="nil"/>
              <w:left w:val="nil"/>
              <w:bottom w:val="nil"/>
              <w:right w:val="nil"/>
            </w:tcBorders>
            <w:shd w:val="clear" w:color="auto" w:fill="auto"/>
            <w:noWrap/>
            <w:vAlign w:val="center"/>
            <w:hideMark/>
          </w:tcPr>
          <w:p w14:paraId="1F5B202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118</w:t>
            </w:r>
          </w:p>
        </w:tc>
        <w:tc>
          <w:tcPr>
            <w:tcW w:w="274" w:type="pct"/>
            <w:tcBorders>
              <w:top w:val="nil"/>
              <w:left w:val="single" w:sz="4" w:space="0" w:color="auto"/>
              <w:bottom w:val="nil"/>
              <w:right w:val="nil"/>
            </w:tcBorders>
            <w:shd w:val="clear" w:color="auto" w:fill="auto"/>
            <w:noWrap/>
            <w:vAlign w:val="center"/>
            <w:hideMark/>
          </w:tcPr>
          <w:p w14:paraId="05ED2B3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w:t>
            </w:r>
          </w:p>
        </w:tc>
        <w:tc>
          <w:tcPr>
            <w:tcW w:w="543" w:type="pct"/>
            <w:tcBorders>
              <w:top w:val="nil"/>
              <w:left w:val="nil"/>
              <w:bottom w:val="nil"/>
              <w:right w:val="nil"/>
            </w:tcBorders>
            <w:shd w:val="clear" w:color="auto" w:fill="auto"/>
            <w:noWrap/>
            <w:vAlign w:val="center"/>
            <w:hideMark/>
          </w:tcPr>
          <w:p w14:paraId="769EEB6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336</w:t>
            </w:r>
          </w:p>
        </w:tc>
      </w:tr>
      <w:tr w:rsidR="003F5B75" w:rsidRPr="00606E51" w14:paraId="46C0B1FC"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5F1D1CAE"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4" w:type="pct"/>
            <w:tcBorders>
              <w:top w:val="nil"/>
              <w:left w:val="nil"/>
              <w:bottom w:val="nil"/>
              <w:right w:val="nil"/>
            </w:tcBorders>
            <w:shd w:val="clear" w:color="auto" w:fill="auto"/>
            <w:noWrap/>
            <w:vAlign w:val="center"/>
            <w:hideMark/>
          </w:tcPr>
          <w:p w14:paraId="7AE2270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500" w:type="pct"/>
            <w:tcBorders>
              <w:top w:val="nil"/>
              <w:left w:val="nil"/>
              <w:bottom w:val="nil"/>
              <w:right w:val="nil"/>
            </w:tcBorders>
            <w:shd w:val="clear" w:color="auto" w:fill="auto"/>
            <w:noWrap/>
            <w:vAlign w:val="center"/>
            <w:hideMark/>
          </w:tcPr>
          <w:p w14:paraId="5101613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w:t>
            </w:r>
          </w:p>
        </w:tc>
        <w:tc>
          <w:tcPr>
            <w:tcW w:w="274" w:type="pct"/>
            <w:tcBorders>
              <w:top w:val="nil"/>
              <w:left w:val="nil"/>
              <w:bottom w:val="nil"/>
              <w:right w:val="nil"/>
            </w:tcBorders>
            <w:shd w:val="clear" w:color="auto" w:fill="auto"/>
            <w:noWrap/>
            <w:vAlign w:val="center"/>
            <w:hideMark/>
          </w:tcPr>
          <w:p w14:paraId="3CFB2AB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500" w:type="pct"/>
            <w:tcBorders>
              <w:top w:val="nil"/>
              <w:left w:val="nil"/>
              <w:bottom w:val="nil"/>
              <w:right w:val="nil"/>
            </w:tcBorders>
            <w:shd w:val="clear" w:color="auto" w:fill="auto"/>
            <w:noWrap/>
            <w:vAlign w:val="center"/>
            <w:hideMark/>
          </w:tcPr>
          <w:p w14:paraId="0AA256A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274" w:type="pct"/>
            <w:tcBorders>
              <w:top w:val="nil"/>
              <w:left w:val="nil"/>
              <w:bottom w:val="nil"/>
              <w:right w:val="nil"/>
            </w:tcBorders>
            <w:shd w:val="clear" w:color="auto" w:fill="auto"/>
            <w:noWrap/>
            <w:vAlign w:val="center"/>
            <w:hideMark/>
          </w:tcPr>
          <w:p w14:paraId="10E2B93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500" w:type="pct"/>
            <w:tcBorders>
              <w:top w:val="nil"/>
              <w:left w:val="nil"/>
              <w:bottom w:val="nil"/>
              <w:right w:val="nil"/>
            </w:tcBorders>
            <w:shd w:val="clear" w:color="auto" w:fill="auto"/>
            <w:noWrap/>
            <w:vAlign w:val="center"/>
            <w:hideMark/>
          </w:tcPr>
          <w:p w14:paraId="64E7E1B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91</w:t>
            </w:r>
          </w:p>
        </w:tc>
        <w:tc>
          <w:tcPr>
            <w:tcW w:w="274" w:type="pct"/>
            <w:tcBorders>
              <w:top w:val="nil"/>
              <w:left w:val="nil"/>
              <w:bottom w:val="nil"/>
              <w:right w:val="nil"/>
            </w:tcBorders>
            <w:shd w:val="clear" w:color="auto" w:fill="auto"/>
            <w:noWrap/>
            <w:vAlign w:val="center"/>
            <w:hideMark/>
          </w:tcPr>
          <w:p w14:paraId="2ECC3EC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00" w:type="pct"/>
            <w:tcBorders>
              <w:top w:val="nil"/>
              <w:left w:val="nil"/>
              <w:bottom w:val="nil"/>
              <w:right w:val="nil"/>
            </w:tcBorders>
            <w:shd w:val="clear" w:color="auto" w:fill="auto"/>
            <w:noWrap/>
            <w:vAlign w:val="center"/>
            <w:hideMark/>
          </w:tcPr>
          <w:p w14:paraId="6C90D1F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60</w:t>
            </w:r>
          </w:p>
        </w:tc>
        <w:tc>
          <w:tcPr>
            <w:tcW w:w="274" w:type="pct"/>
            <w:tcBorders>
              <w:top w:val="nil"/>
              <w:left w:val="single" w:sz="4" w:space="0" w:color="auto"/>
              <w:bottom w:val="nil"/>
              <w:right w:val="nil"/>
            </w:tcBorders>
            <w:shd w:val="clear" w:color="auto" w:fill="auto"/>
            <w:noWrap/>
            <w:vAlign w:val="center"/>
            <w:hideMark/>
          </w:tcPr>
          <w:p w14:paraId="0AD519F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543" w:type="pct"/>
            <w:tcBorders>
              <w:top w:val="nil"/>
              <w:left w:val="nil"/>
              <w:bottom w:val="nil"/>
              <w:right w:val="nil"/>
            </w:tcBorders>
            <w:shd w:val="clear" w:color="auto" w:fill="auto"/>
            <w:noWrap/>
            <w:vAlign w:val="center"/>
            <w:hideMark/>
          </w:tcPr>
          <w:p w14:paraId="2C5151ED"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206</w:t>
            </w:r>
          </w:p>
        </w:tc>
      </w:tr>
      <w:tr w:rsidR="003F5B75" w:rsidRPr="00606E51" w14:paraId="776BE7FF" w14:textId="77777777" w:rsidTr="003F5B75">
        <w:trPr>
          <w:trHeight w:val="273"/>
          <w:jc w:val="center"/>
        </w:trPr>
        <w:tc>
          <w:tcPr>
            <w:tcW w:w="1087" w:type="pct"/>
            <w:tcBorders>
              <w:top w:val="nil"/>
              <w:left w:val="nil"/>
              <w:bottom w:val="nil"/>
              <w:right w:val="nil"/>
            </w:tcBorders>
            <w:shd w:val="clear" w:color="auto" w:fill="auto"/>
            <w:noWrap/>
            <w:vAlign w:val="bottom"/>
            <w:hideMark/>
          </w:tcPr>
          <w:p w14:paraId="6978F5EC"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4" w:type="pct"/>
            <w:tcBorders>
              <w:top w:val="nil"/>
              <w:left w:val="nil"/>
              <w:bottom w:val="nil"/>
              <w:right w:val="nil"/>
            </w:tcBorders>
            <w:shd w:val="clear" w:color="auto" w:fill="auto"/>
            <w:noWrap/>
            <w:vAlign w:val="center"/>
            <w:hideMark/>
          </w:tcPr>
          <w:p w14:paraId="607F55B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00" w:type="pct"/>
            <w:tcBorders>
              <w:top w:val="nil"/>
              <w:left w:val="nil"/>
              <w:bottom w:val="nil"/>
              <w:right w:val="nil"/>
            </w:tcBorders>
            <w:shd w:val="clear" w:color="auto" w:fill="auto"/>
            <w:noWrap/>
            <w:vAlign w:val="center"/>
            <w:hideMark/>
          </w:tcPr>
          <w:p w14:paraId="10085EC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29</w:t>
            </w:r>
          </w:p>
        </w:tc>
        <w:tc>
          <w:tcPr>
            <w:tcW w:w="274" w:type="pct"/>
            <w:tcBorders>
              <w:top w:val="nil"/>
              <w:left w:val="nil"/>
              <w:bottom w:val="nil"/>
              <w:right w:val="nil"/>
            </w:tcBorders>
            <w:shd w:val="clear" w:color="auto" w:fill="auto"/>
            <w:noWrap/>
            <w:vAlign w:val="center"/>
            <w:hideMark/>
          </w:tcPr>
          <w:p w14:paraId="2C2866C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500" w:type="pct"/>
            <w:tcBorders>
              <w:top w:val="nil"/>
              <w:left w:val="nil"/>
              <w:bottom w:val="nil"/>
              <w:right w:val="nil"/>
            </w:tcBorders>
            <w:shd w:val="clear" w:color="auto" w:fill="auto"/>
            <w:noWrap/>
            <w:vAlign w:val="center"/>
            <w:hideMark/>
          </w:tcPr>
          <w:p w14:paraId="24FB0D5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274" w:type="pct"/>
            <w:tcBorders>
              <w:top w:val="nil"/>
              <w:left w:val="nil"/>
              <w:bottom w:val="nil"/>
              <w:right w:val="nil"/>
            </w:tcBorders>
            <w:shd w:val="clear" w:color="auto" w:fill="auto"/>
            <w:noWrap/>
            <w:vAlign w:val="center"/>
            <w:hideMark/>
          </w:tcPr>
          <w:p w14:paraId="4E3BE64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500" w:type="pct"/>
            <w:tcBorders>
              <w:top w:val="nil"/>
              <w:left w:val="nil"/>
              <w:bottom w:val="nil"/>
              <w:right w:val="nil"/>
            </w:tcBorders>
            <w:shd w:val="clear" w:color="auto" w:fill="auto"/>
            <w:noWrap/>
            <w:vAlign w:val="center"/>
            <w:hideMark/>
          </w:tcPr>
          <w:p w14:paraId="6AFCF3B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81</w:t>
            </w:r>
          </w:p>
        </w:tc>
        <w:tc>
          <w:tcPr>
            <w:tcW w:w="274" w:type="pct"/>
            <w:tcBorders>
              <w:top w:val="nil"/>
              <w:left w:val="nil"/>
              <w:bottom w:val="nil"/>
              <w:right w:val="nil"/>
            </w:tcBorders>
            <w:shd w:val="clear" w:color="auto" w:fill="auto"/>
            <w:noWrap/>
            <w:vAlign w:val="center"/>
            <w:hideMark/>
          </w:tcPr>
          <w:p w14:paraId="051DFAB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c>
          <w:tcPr>
            <w:tcW w:w="500" w:type="pct"/>
            <w:tcBorders>
              <w:top w:val="nil"/>
              <w:left w:val="nil"/>
              <w:bottom w:val="nil"/>
              <w:right w:val="nil"/>
            </w:tcBorders>
            <w:shd w:val="clear" w:color="auto" w:fill="auto"/>
            <w:noWrap/>
            <w:vAlign w:val="center"/>
            <w:hideMark/>
          </w:tcPr>
          <w:p w14:paraId="6A26F1B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87</w:t>
            </w:r>
          </w:p>
        </w:tc>
        <w:tc>
          <w:tcPr>
            <w:tcW w:w="274" w:type="pct"/>
            <w:tcBorders>
              <w:top w:val="nil"/>
              <w:left w:val="single" w:sz="4" w:space="0" w:color="auto"/>
              <w:bottom w:val="nil"/>
              <w:right w:val="nil"/>
            </w:tcBorders>
            <w:shd w:val="clear" w:color="auto" w:fill="auto"/>
            <w:noWrap/>
            <w:vAlign w:val="center"/>
            <w:hideMark/>
          </w:tcPr>
          <w:p w14:paraId="73134FF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543" w:type="pct"/>
            <w:tcBorders>
              <w:top w:val="nil"/>
              <w:left w:val="nil"/>
              <w:bottom w:val="nil"/>
              <w:right w:val="nil"/>
            </w:tcBorders>
            <w:shd w:val="clear" w:color="auto" w:fill="auto"/>
            <w:noWrap/>
            <w:vAlign w:val="center"/>
            <w:hideMark/>
          </w:tcPr>
          <w:p w14:paraId="46EFC52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224</w:t>
            </w:r>
          </w:p>
        </w:tc>
      </w:tr>
      <w:tr w:rsidR="003F5B75" w:rsidRPr="00606E51" w14:paraId="0EE6B5CB"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01B018A1" w14:textId="77777777" w:rsidR="004101AB" w:rsidRPr="00606E51" w:rsidRDefault="004101AB" w:rsidP="00371B49">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Menores de 5 meses</w:t>
            </w:r>
          </w:p>
        </w:tc>
        <w:tc>
          <w:tcPr>
            <w:tcW w:w="274" w:type="pct"/>
            <w:tcBorders>
              <w:top w:val="nil"/>
              <w:left w:val="nil"/>
              <w:bottom w:val="nil"/>
              <w:right w:val="nil"/>
            </w:tcBorders>
            <w:shd w:val="clear" w:color="auto" w:fill="auto"/>
            <w:noWrap/>
            <w:vAlign w:val="center"/>
            <w:hideMark/>
          </w:tcPr>
          <w:p w14:paraId="5BAD76AF" w14:textId="77777777" w:rsidR="004101AB" w:rsidRPr="00606E51" w:rsidRDefault="004101AB" w:rsidP="00371B49">
            <w:pPr>
              <w:rPr>
                <w:rFonts w:eastAsia="Times New Roman" w:cs="Times New Roman"/>
                <w:b/>
                <w:bCs/>
                <w:color w:val="000000"/>
                <w:sz w:val="16"/>
                <w:szCs w:val="16"/>
                <w:lang w:val="es-CO" w:eastAsia="es-CO"/>
              </w:rPr>
            </w:pPr>
          </w:p>
        </w:tc>
        <w:tc>
          <w:tcPr>
            <w:tcW w:w="500" w:type="pct"/>
            <w:tcBorders>
              <w:top w:val="nil"/>
              <w:left w:val="nil"/>
              <w:bottom w:val="nil"/>
              <w:right w:val="nil"/>
            </w:tcBorders>
            <w:shd w:val="clear" w:color="auto" w:fill="auto"/>
            <w:noWrap/>
            <w:vAlign w:val="center"/>
            <w:hideMark/>
          </w:tcPr>
          <w:p w14:paraId="28AEF923"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5B986ADC"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01486E24"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52B603FD"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2BC3E17F"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14AE8940"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06D41400"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single" w:sz="4" w:space="0" w:color="auto"/>
              <w:bottom w:val="nil"/>
              <w:right w:val="nil"/>
            </w:tcBorders>
            <w:shd w:val="clear" w:color="auto" w:fill="auto"/>
            <w:noWrap/>
            <w:vAlign w:val="center"/>
            <w:hideMark/>
          </w:tcPr>
          <w:p w14:paraId="110FFCE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3" w:type="pct"/>
            <w:tcBorders>
              <w:top w:val="nil"/>
              <w:left w:val="nil"/>
              <w:bottom w:val="nil"/>
              <w:right w:val="nil"/>
            </w:tcBorders>
            <w:shd w:val="clear" w:color="auto" w:fill="auto"/>
            <w:noWrap/>
            <w:vAlign w:val="center"/>
            <w:hideMark/>
          </w:tcPr>
          <w:p w14:paraId="2D64CBAF" w14:textId="77777777" w:rsidR="004101AB" w:rsidRPr="00606E51" w:rsidRDefault="004101AB" w:rsidP="00371B49">
            <w:pPr>
              <w:jc w:val="center"/>
              <w:rPr>
                <w:rFonts w:eastAsia="Times New Roman" w:cs="Times New Roman"/>
                <w:color w:val="000000"/>
                <w:sz w:val="16"/>
                <w:szCs w:val="16"/>
                <w:lang w:val="es-CO" w:eastAsia="es-CO"/>
              </w:rPr>
            </w:pPr>
          </w:p>
        </w:tc>
      </w:tr>
      <w:tr w:rsidR="003F5B75" w:rsidRPr="00606E51" w14:paraId="4F4CBD26"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43D8EF95"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274" w:type="pct"/>
            <w:tcBorders>
              <w:top w:val="nil"/>
              <w:left w:val="nil"/>
              <w:bottom w:val="nil"/>
              <w:right w:val="nil"/>
            </w:tcBorders>
            <w:shd w:val="clear" w:color="auto" w:fill="auto"/>
            <w:noWrap/>
            <w:vAlign w:val="center"/>
            <w:hideMark/>
          </w:tcPr>
          <w:p w14:paraId="746C01DD"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89%</w:t>
            </w:r>
          </w:p>
        </w:tc>
        <w:tc>
          <w:tcPr>
            <w:tcW w:w="500" w:type="pct"/>
            <w:tcBorders>
              <w:top w:val="nil"/>
              <w:left w:val="nil"/>
              <w:bottom w:val="nil"/>
              <w:right w:val="nil"/>
            </w:tcBorders>
            <w:shd w:val="clear" w:color="auto" w:fill="auto"/>
            <w:noWrap/>
            <w:vAlign w:val="center"/>
            <w:hideMark/>
          </w:tcPr>
          <w:p w14:paraId="6E907A3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268</w:t>
            </w:r>
          </w:p>
        </w:tc>
        <w:tc>
          <w:tcPr>
            <w:tcW w:w="274" w:type="pct"/>
            <w:tcBorders>
              <w:top w:val="nil"/>
              <w:left w:val="nil"/>
              <w:bottom w:val="nil"/>
              <w:right w:val="nil"/>
            </w:tcBorders>
            <w:shd w:val="clear" w:color="auto" w:fill="auto"/>
            <w:noWrap/>
            <w:vAlign w:val="center"/>
            <w:hideMark/>
          </w:tcPr>
          <w:p w14:paraId="37AD5E6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90%</w:t>
            </w:r>
          </w:p>
        </w:tc>
        <w:tc>
          <w:tcPr>
            <w:tcW w:w="500" w:type="pct"/>
            <w:tcBorders>
              <w:top w:val="nil"/>
              <w:left w:val="nil"/>
              <w:bottom w:val="nil"/>
              <w:right w:val="nil"/>
            </w:tcBorders>
            <w:shd w:val="clear" w:color="auto" w:fill="auto"/>
            <w:noWrap/>
            <w:vAlign w:val="center"/>
            <w:hideMark/>
          </w:tcPr>
          <w:p w14:paraId="110C82B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338</w:t>
            </w:r>
          </w:p>
        </w:tc>
        <w:tc>
          <w:tcPr>
            <w:tcW w:w="274" w:type="pct"/>
            <w:tcBorders>
              <w:top w:val="nil"/>
              <w:left w:val="nil"/>
              <w:bottom w:val="nil"/>
              <w:right w:val="nil"/>
            </w:tcBorders>
            <w:shd w:val="clear" w:color="auto" w:fill="auto"/>
            <w:noWrap/>
            <w:vAlign w:val="center"/>
            <w:hideMark/>
          </w:tcPr>
          <w:p w14:paraId="27FEAD4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93%</w:t>
            </w:r>
          </w:p>
        </w:tc>
        <w:tc>
          <w:tcPr>
            <w:tcW w:w="500" w:type="pct"/>
            <w:tcBorders>
              <w:top w:val="nil"/>
              <w:left w:val="nil"/>
              <w:bottom w:val="nil"/>
              <w:right w:val="nil"/>
            </w:tcBorders>
            <w:shd w:val="clear" w:color="auto" w:fill="auto"/>
            <w:noWrap/>
            <w:vAlign w:val="center"/>
            <w:hideMark/>
          </w:tcPr>
          <w:p w14:paraId="704927C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573</w:t>
            </w:r>
          </w:p>
        </w:tc>
        <w:tc>
          <w:tcPr>
            <w:tcW w:w="274" w:type="pct"/>
            <w:tcBorders>
              <w:top w:val="nil"/>
              <w:left w:val="nil"/>
              <w:bottom w:val="nil"/>
              <w:right w:val="nil"/>
            </w:tcBorders>
            <w:shd w:val="clear" w:color="auto" w:fill="auto"/>
            <w:noWrap/>
            <w:vAlign w:val="center"/>
            <w:hideMark/>
          </w:tcPr>
          <w:p w14:paraId="4187A14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92%</w:t>
            </w:r>
          </w:p>
        </w:tc>
        <w:tc>
          <w:tcPr>
            <w:tcW w:w="500" w:type="pct"/>
            <w:tcBorders>
              <w:top w:val="nil"/>
              <w:left w:val="nil"/>
              <w:bottom w:val="nil"/>
              <w:right w:val="nil"/>
            </w:tcBorders>
            <w:shd w:val="clear" w:color="auto" w:fill="auto"/>
            <w:noWrap/>
            <w:vAlign w:val="center"/>
            <w:hideMark/>
          </w:tcPr>
          <w:p w14:paraId="0B42420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562</w:t>
            </w:r>
          </w:p>
        </w:tc>
        <w:tc>
          <w:tcPr>
            <w:tcW w:w="274" w:type="pct"/>
            <w:tcBorders>
              <w:top w:val="nil"/>
              <w:left w:val="single" w:sz="4" w:space="0" w:color="auto"/>
              <w:bottom w:val="nil"/>
              <w:right w:val="nil"/>
            </w:tcBorders>
            <w:shd w:val="clear" w:color="auto" w:fill="auto"/>
            <w:noWrap/>
            <w:vAlign w:val="center"/>
            <w:hideMark/>
          </w:tcPr>
          <w:p w14:paraId="07EB293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91%</w:t>
            </w:r>
          </w:p>
        </w:tc>
        <w:tc>
          <w:tcPr>
            <w:tcW w:w="543" w:type="pct"/>
            <w:tcBorders>
              <w:top w:val="nil"/>
              <w:left w:val="nil"/>
              <w:bottom w:val="nil"/>
              <w:right w:val="nil"/>
            </w:tcBorders>
            <w:shd w:val="clear" w:color="auto" w:fill="auto"/>
            <w:noWrap/>
            <w:vAlign w:val="center"/>
            <w:hideMark/>
          </w:tcPr>
          <w:p w14:paraId="6397BD7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1741</w:t>
            </w:r>
          </w:p>
        </w:tc>
      </w:tr>
      <w:tr w:rsidR="003F5B75" w:rsidRPr="00606E51" w14:paraId="425F2503"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4E012DC0"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4" w:type="pct"/>
            <w:tcBorders>
              <w:top w:val="nil"/>
              <w:left w:val="nil"/>
              <w:bottom w:val="nil"/>
              <w:right w:val="nil"/>
            </w:tcBorders>
            <w:shd w:val="clear" w:color="auto" w:fill="auto"/>
            <w:noWrap/>
            <w:vAlign w:val="center"/>
            <w:hideMark/>
          </w:tcPr>
          <w:p w14:paraId="1E44FB8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500" w:type="pct"/>
            <w:tcBorders>
              <w:top w:val="nil"/>
              <w:left w:val="nil"/>
              <w:bottom w:val="nil"/>
              <w:right w:val="nil"/>
            </w:tcBorders>
            <w:shd w:val="clear" w:color="auto" w:fill="auto"/>
            <w:noWrap/>
            <w:vAlign w:val="center"/>
            <w:hideMark/>
          </w:tcPr>
          <w:p w14:paraId="5771A57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w:t>
            </w:r>
          </w:p>
        </w:tc>
        <w:tc>
          <w:tcPr>
            <w:tcW w:w="274" w:type="pct"/>
            <w:tcBorders>
              <w:top w:val="nil"/>
              <w:left w:val="nil"/>
              <w:bottom w:val="nil"/>
              <w:right w:val="nil"/>
            </w:tcBorders>
            <w:shd w:val="clear" w:color="auto" w:fill="auto"/>
            <w:noWrap/>
            <w:vAlign w:val="center"/>
            <w:hideMark/>
          </w:tcPr>
          <w:p w14:paraId="3DE6582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00" w:type="pct"/>
            <w:tcBorders>
              <w:top w:val="nil"/>
              <w:left w:val="nil"/>
              <w:bottom w:val="nil"/>
              <w:right w:val="nil"/>
            </w:tcBorders>
            <w:shd w:val="clear" w:color="auto" w:fill="auto"/>
            <w:noWrap/>
            <w:vAlign w:val="center"/>
            <w:hideMark/>
          </w:tcPr>
          <w:p w14:paraId="48D1467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36</w:t>
            </w:r>
          </w:p>
        </w:tc>
        <w:tc>
          <w:tcPr>
            <w:tcW w:w="274" w:type="pct"/>
            <w:tcBorders>
              <w:top w:val="nil"/>
              <w:left w:val="nil"/>
              <w:bottom w:val="nil"/>
              <w:right w:val="nil"/>
            </w:tcBorders>
            <w:shd w:val="clear" w:color="auto" w:fill="auto"/>
            <w:noWrap/>
            <w:vAlign w:val="center"/>
            <w:hideMark/>
          </w:tcPr>
          <w:p w14:paraId="1F88D25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500" w:type="pct"/>
            <w:tcBorders>
              <w:top w:val="nil"/>
              <w:left w:val="nil"/>
              <w:bottom w:val="nil"/>
              <w:right w:val="nil"/>
            </w:tcBorders>
            <w:shd w:val="clear" w:color="auto" w:fill="auto"/>
            <w:noWrap/>
            <w:vAlign w:val="center"/>
            <w:hideMark/>
          </w:tcPr>
          <w:p w14:paraId="5EFB2E2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43</w:t>
            </w:r>
          </w:p>
        </w:tc>
        <w:tc>
          <w:tcPr>
            <w:tcW w:w="274" w:type="pct"/>
            <w:tcBorders>
              <w:top w:val="nil"/>
              <w:left w:val="nil"/>
              <w:bottom w:val="nil"/>
              <w:right w:val="nil"/>
            </w:tcBorders>
            <w:shd w:val="clear" w:color="auto" w:fill="auto"/>
            <w:noWrap/>
            <w:vAlign w:val="center"/>
            <w:hideMark/>
          </w:tcPr>
          <w:p w14:paraId="6526450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500" w:type="pct"/>
            <w:tcBorders>
              <w:top w:val="nil"/>
              <w:left w:val="nil"/>
              <w:bottom w:val="nil"/>
              <w:right w:val="nil"/>
            </w:tcBorders>
            <w:shd w:val="clear" w:color="auto" w:fill="auto"/>
            <w:noWrap/>
            <w:vAlign w:val="center"/>
            <w:hideMark/>
          </w:tcPr>
          <w:p w14:paraId="083282C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274" w:type="pct"/>
            <w:tcBorders>
              <w:top w:val="nil"/>
              <w:left w:val="single" w:sz="4" w:space="0" w:color="auto"/>
              <w:bottom w:val="nil"/>
              <w:right w:val="nil"/>
            </w:tcBorders>
            <w:shd w:val="clear" w:color="auto" w:fill="auto"/>
            <w:noWrap/>
            <w:vAlign w:val="center"/>
            <w:hideMark/>
          </w:tcPr>
          <w:p w14:paraId="14D0858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543" w:type="pct"/>
            <w:tcBorders>
              <w:top w:val="nil"/>
              <w:left w:val="nil"/>
              <w:bottom w:val="nil"/>
              <w:right w:val="nil"/>
            </w:tcBorders>
            <w:shd w:val="clear" w:color="auto" w:fill="auto"/>
            <w:noWrap/>
            <w:vAlign w:val="center"/>
            <w:hideMark/>
          </w:tcPr>
          <w:p w14:paraId="1E9E84F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163</w:t>
            </w:r>
          </w:p>
        </w:tc>
      </w:tr>
      <w:tr w:rsidR="003F5B75" w:rsidRPr="00606E51" w14:paraId="286981D3"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571BA98C" w14:textId="77777777" w:rsidR="004101AB" w:rsidRPr="00606E51" w:rsidRDefault="004101AB" w:rsidP="00371B49">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Sexo</w:t>
            </w:r>
          </w:p>
        </w:tc>
        <w:tc>
          <w:tcPr>
            <w:tcW w:w="274" w:type="pct"/>
            <w:tcBorders>
              <w:top w:val="nil"/>
              <w:left w:val="nil"/>
              <w:bottom w:val="nil"/>
              <w:right w:val="nil"/>
            </w:tcBorders>
            <w:shd w:val="clear" w:color="auto" w:fill="auto"/>
            <w:noWrap/>
            <w:vAlign w:val="center"/>
            <w:hideMark/>
          </w:tcPr>
          <w:p w14:paraId="5B44484F" w14:textId="77777777" w:rsidR="004101AB" w:rsidRPr="00606E51" w:rsidRDefault="004101AB" w:rsidP="00371B49">
            <w:pPr>
              <w:rPr>
                <w:rFonts w:eastAsia="Times New Roman" w:cs="Times New Roman"/>
                <w:b/>
                <w:bCs/>
                <w:color w:val="000000"/>
                <w:sz w:val="16"/>
                <w:szCs w:val="16"/>
                <w:lang w:val="es-CO" w:eastAsia="es-CO"/>
              </w:rPr>
            </w:pPr>
          </w:p>
        </w:tc>
        <w:tc>
          <w:tcPr>
            <w:tcW w:w="500" w:type="pct"/>
            <w:tcBorders>
              <w:top w:val="nil"/>
              <w:left w:val="nil"/>
              <w:bottom w:val="nil"/>
              <w:right w:val="nil"/>
            </w:tcBorders>
            <w:shd w:val="clear" w:color="auto" w:fill="auto"/>
            <w:noWrap/>
            <w:vAlign w:val="center"/>
            <w:hideMark/>
          </w:tcPr>
          <w:p w14:paraId="6596E07B"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682EAA18"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61404BA2"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7AA27BC9"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4673CA7A"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632B78EB"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15CABDF8"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single" w:sz="4" w:space="0" w:color="auto"/>
              <w:bottom w:val="nil"/>
              <w:right w:val="nil"/>
            </w:tcBorders>
            <w:shd w:val="clear" w:color="auto" w:fill="auto"/>
            <w:noWrap/>
            <w:vAlign w:val="center"/>
            <w:hideMark/>
          </w:tcPr>
          <w:p w14:paraId="1DE68A7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3" w:type="pct"/>
            <w:tcBorders>
              <w:top w:val="nil"/>
              <w:left w:val="nil"/>
              <w:bottom w:val="nil"/>
              <w:right w:val="nil"/>
            </w:tcBorders>
            <w:shd w:val="clear" w:color="auto" w:fill="auto"/>
            <w:noWrap/>
            <w:vAlign w:val="center"/>
            <w:hideMark/>
          </w:tcPr>
          <w:p w14:paraId="305AD9FD" w14:textId="77777777" w:rsidR="004101AB" w:rsidRPr="00606E51" w:rsidRDefault="004101AB" w:rsidP="00371B49">
            <w:pPr>
              <w:jc w:val="center"/>
              <w:rPr>
                <w:rFonts w:eastAsia="Times New Roman" w:cs="Times New Roman"/>
                <w:color w:val="000000"/>
                <w:sz w:val="16"/>
                <w:szCs w:val="16"/>
                <w:lang w:val="es-CO" w:eastAsia="es-CO"/>
              </w:rPr>
            </w:pPr>
          </w:p>
        </w:tc>
      </w:tr>
      <w:tr w:rsidR="003F5B75" w:rsidRPr="00606E51" w14:paraId="1EA5267E"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72A636FE"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F</w:t>
            </w:r>
          </w:p>
        </w:tc>
        <w:tc>
          <w:tcPr>
            <w:tcW w:w="274" w:type="pct"/>
            <w:tcBorders>
              <w:top w:val="nil"/>
              <w:left w:val="nil"/>
              <w:bottom w:val="nil"/>
              <w:right w:val="nil"/>
            </w:tcBorders>
            <w:shd w:val="clear" w:color="auto" w:fill="auto"/>
            <w:noWrap/>
            <w:vAlign w:val="center"/>
            <w:hideMark/>
          </w:tcPr>
          <w:p w14:paraId="6D98A91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55%</w:t>
            </w:r>
          </w:p>
        </w:tc>
        <w:tc>
          <w:tcPr>
            <w:tcW w:w="500" w:type="pct"/>
            <w:tcBorders>
              <w:top w:val="nil"/>
              <w:left w:val="nil"/>
              <w:bottom w:val="nil"/>
              <w:right w:val="nil"/>
            </w:tcBorders>
            <w:shd w:val="clear" w:color="auto" w:fill="auto"/>
            <w:noWrap/>
            <w:vAlign w:val="center"/>
            <w:hideMark/>
          </w:tcPr>
          <w:p w14:paraId="149B596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166</w:t>
            </w:r>
          </w:p>
        </w:tc>
        <w:tc>
          <w:tcPr>
            <w:tcW w:w="274" w:type="pct"/>
            <w:tcBorders>
              <w:top w:val="nil"/>
              <w:left w:val="nil"/>
              <w:bottom w:val="nil"/>
              <w:right w:val="nil"/>
            </w:tcBorders>
            <w:shd w:val="clear" w:color="auto" w:fill="auto"/>
            <w:noWrap/>
            <w:vAlign w:val="center"/>
            <w:hideMark/>
          </w:tcPr>
          <w:p w14:paraId="26C0B47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52%</w:t>
            </w:r>
          </w:p>
        </w:tc>
        <w:tc>
          <w:tcPr>
            <w:tcW w:w="500" w:type="pct"/>
            <w:tcBorders>
              <w:top w:val="nil"/>
              <w:left w:val="nil"/>
              <w:bottom w:val="nil"/>
              <w:right w:val="nil"/>
            </w:tcBorders>
            <w:shd w:val="clear" w:color="auto" w:fill="auto"/>
            <w:noWrap/>
            <w:vAlign w:val="center"/>
            <w:hideMark/>
          </w:tcPr>
          <w:p w14:paraId="49D8AF2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196</w:t>
            </w:r>
          </w:p>
        </w:tc>
        <w:tc>
          <w:tcPr>
            <w:tcW w:w="274" w:type="pct"/>
            <w:tcBorders>
              <w:top w:val="nil"/>
              <w:left w:val="nil"/>
              <w:bottom w:val="nil"/>
              <w:right w:val="nil"/>
            </w:tcBorders>
            <w:shd w:val="clear" w:color="auto" w:fill="auto"/>
            <w:noWrap/>
            <w:vAlign w:val="center"/>
            <w:hideMark/>
          </w:tcPr>
          <w:p w14:paraId="18C3FDD4"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54%</w:t>
            </w:r>
          </w:p>
        </w:tc>
        <w:tc>
          <w:tcPr>
            <w:tcW w:w="500" w:type="pct"/>
            <w:tcBorders>
              <w:top w:val="nil"/>
              <w:left w:val="nil"/>
              <w:bottom w:val="nil"/>
              <w:right w:val="nil"/>
            </w:tcBorders>
            <w:shd w:val="clear" w:color="auto" w:fill="auto"/>
            <w:noWrap/>
            <w:vAlign w:val="center"/>
            <w:hideMark/>
          </w:tcPr>
          <w:p w14:paraId="31ED6A4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335</w:t>
            </w:r>
          </w:p>
        </w:tc>
        <w:tc>
          <w:tcPr>
            <w:tcW w:w="274" w:type="pct"/>
            <w:tcBorders>
              <w:top w:val="nil"/>
              <w:left w:val="nil"/>
              <w:bottom w:val="nil"/>
              <w:right w:val="nil"/>
            </w:tcBorders>
            <w:shd w:val="clear" w:color="auto" w:fill="auto"/>
            <w:noWrap/>
            <w:vAlign w:val="center"/>
            <w:hideMark/>
          </w:tcPr>
          <w:p w14:paraId="7C12415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44%</w:t>
            </w:r>
          </w:p>
        </w:tc>
        <w:tc>
          <w:tcPr>
            <w:tcW w:w="500" w:type="pct"/>
            <w:tcBorders>
              <w:top w:val="nil"/>
              <w:left w:val="nil"/>
              <w:bottom w:val="nil"/>
              <w:right w:val="nil"/>
            </w:tcBorders>
            <w:shd w:val="clear" w:color="auto" w:fill="auto"/>
            <w:noWrap/>
            <w:vAlign w:val="center"/>
            <w:hideMark/>
          </w:tcPr>
          <w:p w14:paraId="6360840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271</w:t>
            </w:r>
          </w:p>
        </w:tc>
        <w:tc>
          <w:tcPr>
            <w:tcW w:w="274" w:type="pct"/>
            <w:tcBorders>
              <w:top w:val="nil"/>
              <w:left w:val="single" w:sz="4" w:space="0" w:color="auto"/>
              <w:bottom w:val="nil"/>
              <w:right w:val="nil"/>
            </w:tcBorders>
            <w:shd w:val="clear" w:color="auto" w:fill="auto"/>
            <w:noWrap/>
            <w:vAlign w:val="center"/>
            <w:hideMark/>
          </w:tcPr>
          <w:p w14:paraId="08B53AF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543" w:type="pct"/>
            <w:tcBorders>
              <w:top w:val="nil"/>
              <w:left w:val="nil"/>
              <w:bottom w:val="nil"/>
              <w:right w:val="nil"/>
            </w:tcBorders>
            <w:shd w:val="clear" w:color="auto" w:fill="auto"/>
            <w:noWrap/>
            <w:vAlign w:val="center"/>
            <w:hideMark/>
          </w:tcPr>
          <w:p w14:paraId="2BA2C67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968</w:t>
            </w:r>
          </w:p>
        </w:tc>
      </w:tr>
      <w:tr w:rsidR="003F5B75" w:rsidRPr="00606E51" w14:paraId="0E72B2B8"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40C26007"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M</w:t>
            </w:r>
          </w:p>
        </w:tc>
        <w:tc>
          <w:tcPr>
            <w:tcW w:w="274" w:type="pct"/>
            <w:tcBorders>
              <w:top w:val="nil"/>
              <w:left w:val="nil"/>
              <w:bottom w:val="nil"/>
              <w:right w:val="nil"/>
            </w:tcBorders>
            <w:shd w:val="clear" w:color="auto" w:fill="auto"/>
            <w:noWrap/>
            <w:vAlign w:val="center"/>
            <w:hideMark/>
          </w:tcPr>
          <w:p w14:paraId="7BEAC57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45%</w:t>
            </w:r>
          </w:p>
        </w:tc>
        <w:tc>
          <w:tcPr>
            <w:tcW w:w="500" w:type="pct"/>
            <w:tcBorders>
              <w:top w:val="nil"/>
              <w:left w:val="nil"/>
              <w:bottom w:val="nil"/>
              <w:right w:val="nil"/>
            </w:tcBorders>
            <w:shd w:val="clear" w:color="auto" w:fill="auto"/>
            <w:noWrap/>
            <w:vAlign w:val="center"/>
            <w:hideMark/>
          </w:tcPr>
          <w:p w14:paraId="78A6F0D2"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135</w:t>
            </w:r>
          </w:p>
        </w:tc>
        <w:tc>
          <w:tcPr>
            <w:tcW w:w="274" w:type="pct"/>
            <w:tcBorders>
              <w:top w:val="nil"/>
              <w:left w:val="nil"/>
              <w:bottom w:val="nil"/>
              <w:right w:val="nil"/>
            </w:tcBorders>
            <w:shd w:val="clear" w:color="auto" w:fill="auto"/>
            <w:noWrap/>
            <w:vAlign w:val="center"/>
            <w:hideMark/>
          </w:tcPr>
          <w:p w14:paraId="3771B34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w:t>
            </w:r>
          </w:p>
        </w:tc>
        <w:tc>
          <w:tcPr>
            <w:tcW w:w="500" w:type="pct"/>
            <w:tcBorders>
              <w:top w:val="nil"/>
              <w:left w:val="nil"/>
              <w:bottom w:val="nil"/>
              <w:right w:val="nil"/>
            </w:tcBorders>
            <w:shd w:val="clear" w:color="auto" w:fill="auto"/>
            <w:noWrap/>
            <w:vAlign w:val="center"/>
            <w:hideMark/>
          </w:tcPr>
          <w:p w14:paraId="1FF7A8E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178</w:t>
            </w:r>
          </w:p>
        </w:tc>
        <w:tc>
          <w:tcPr>
            <w:tcW w:w="274" w:type="pct"/>
            <w:tcBorders>
              <w:top w:val="nil"/>
              <w:left w:val="nil"/>
              <w:bottom w:val="nil"/>
              <w:right w:val="nil"/>
            </w:tcBorders>
            <w:shd w:val="clear" w:color="auto" w:fill="auto"/>
            <w:noWrap/>
            <w:vAlign w:val="center"/>
            <w:hideMark/>
          </w:tcPr>
          <w:p w14:paraId="7B174DED"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w:t>
            </w:r>
          </w:p>
        </w:tc>
        <w:tc>
          <w:tcPr>
            <w:tcW w:w="500" w:type="pct"/>
            <w:tcBorders>
              <w:top w:val="nil"/>
              <w:left w:val="nil"/>
              <w:bottom w:val="nil"/>
              <w:right w:val="nil"/>
            </w:tcBorders>
            <w:shd w:val="clear" w:color="auto" w:fill="auto"/>
            <w:noWrap/>
            <w:vAlign w:val="center"/>
            <w:hideMark/>
          </w:tcPr>
          <w:p w14:paraId="48157D26"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281</w:t>
            </w:r>
          </w:p>
        </w:tc>
        <w:tc>
          <w:tcPr>
            <w:tcW w:w="274" w:type="pct"/>
            <w:tcBorders>
              <w:top w:val="nil"/>
              <w:left w:val="nil"/>
              <w:bottom w:val="nil"/>
              <w:right w:val="nil"/>
            </w:tcBorders>
            <w:shd w:val="clear" w:color="auto" w:fill="auto"/>
            <w:noWrap/>
            <w:vAlign w:val="center"/>
            <w:hideMark/>
          </w:tcPr>
          <w:p w14:paraId="7B6F04FA"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56%</w:t>
            </w:r>
          </w:p>
        </w:tc>
        <w:tc>
          <w:tcPr>
            <w:tcW w:w="500" w:type="pct"/>
            <w:tcBorders>
              <w:top w:val="nil"/>
              <w:left w:val="nil"/>
              <w:bottom w:val="nil"/>
              <w:right w:val="nil"/>
            </w:tcBorders>
            <w:shd w:val="clear" w:color="auto" w:fill="auto"/>
            <w:noWrap/>
            <w:vAlign w:val="center"/>
            <w:hideMark/>
          </w:tcPr>
          <w:p w14:paraId="6D1ED36B"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342</w:t>
            </w:r>
          </w:p>
        </w:tc>
        <w:tc>
          <w:tcPr>
            <w:tcW w:w="274" w:type="pct"/>
            <w:tcBorders>
              <w:top w:val="nil"/>
              <w:left w:val="single" w:sz="4" w:space="0" w:color="auto"/>
              <w:bottom w:val="nil"/>
              <w:right w:val="nil"/>
            </w:tcBorders>
            <w:shd w:val="clear" w:color="auto" w:fill="auto"/>
            <w:noWrap/>
            <w:vAlign w:val="center"/>
            <w:hideMark/>
          </w:tcPr>
          <w:p w14:paraId="52A19F9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w:t>
            </w:r>
          </w:p>
        </w:tc>
        <w:tc>
          <w:tcPr>
            <w:tcW w:w="543" w:type="pct"/>
            <w:tcBorders>
              <w:top w:val="nil"/>
              <w:left w:val="nil"/>
              <w:bottom w:val="nil"/>
              <w:right w:val="nil"/>
            </w:tcBorders>
            <w:shd w:val="clear" w:color="auto" w:fill="auto"/>
            <w:noWrap/>
            <w:vAlign w:val="center"/>
            <w:hideMark/>
          </w:tcPr>
          <w:p w14:paraId="1D74371A"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936</w:t>
            </w:r>
          </w:p>
        </w:tc>
      </w:tr>
      <w:tr w:rsidR="003F5B75" w:rsidRPr="00606E51" w14:paraId="0B02CEE9"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613F0140" w14:textId="77777777" w:rsidR="004101AB" w:rsidRPr="00606E51" w:rsidRDefault="004101AB" w:rsidP="00371B49">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Hospitalizado</w:t>
            </w:r>
          </w:p>
        </w:tc>
        <w:tc>
          <w:tcPr>
            <w:tcW w:w="274" w:type="pct"/>
            <w:tcBorders>
              <w:top w:val="nil"/>
              <w:left w:val="nil"/>
              <w:bottom w:val="nil"/>
              <w:right w:val="nil"/>
            </w:tcBorders>
            <w:shd w:val="clear" w:color="auto" w:fill="auto"/>
            <w:noWrap/>
            <w:vAlign w:val="center"/>
            <w:hideMark/>
          </w:tcPr>
          <w:p w14:paraId="491FEE3C" w14:textId="77777777" w:rsidR="004101AB" w:rsidRPr="00606E51" w:rsidRDefault="004101AB" w:rsidP="00371B49">
            <w:pPr>
              <w:rPr>
                <w:rFonts w:eastAsia="Times New Roman" w:cs="Times New Roman"/>
                <w:b/>
                <w:bCs/>
                <w:color w:val="000000"/>
                <w:sz w:val="16"/>
                <w:szCs w:val="16"/>
                <w:lang w:val="es-CO" w:eastAsia="es-CO"/>
              </w:rPr>
            </w:pPr>
          </w:p>
        </w:tc>
        <w:tc>
          <w:tcPr>
            <w:tcW w:w="500" w:type="pct"/>
            <w:tcBorders>
              <w:top w:val="nil"/>
              <w:left w:val="nil"/>
              <w:bottom w:val="nil"/>
              <w:right w:val="nil"/>
            </w:tcBorders>
            <w:shd w:val="clear" w:color="auto" w:fill="auto"/>
            <w:noWrap/>
            <w:vAlign w:val="center"/>
            <w:hideMark/>
          </w:tcPr>
          <w:p w14:paraId="6903428B"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3D1CCB07"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14A5A10A"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311FB9C7"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2926C32A"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nil"/>
              <w:bottom w:val="nil"/>
              <w:right w:val="nil"/>
            </w:tcBorders>
            <w:shd w:val="clear" w:color="auto" w:fill="auto"/>
            <w:noWrap/>
            <w:vAlign w:val="center"/>
            <w:hideMark/>
          </w:tcPr>
          <w:p w14:paraId="4F19DAC1" w14:textId="77777777" w:rsidR="004101AB" w:rsidRPr="00606E51" w:rsidRDefault="004101AB" w:rsidP="00371B49">
            <w:pPr>
              <w:jc w:val="center"/>
              <w:rPr>
                <w:rFonts w:eastAsia="Times New Roman" w:cs="Times New Roman"/>
                <w:sz w:val="16"/>
                <w:szCs w:val="16"/>
                <w:lang w:val="es-CO" w:eastAsia="es-CO"/>
              </w:rPr>
            </w:pPr>
          </w:p>
        </w:tc>
        <w:tc>
          <w:tcPr>
            <w:tcW w:w="500" w:type="pct"/>
            <w:tcBorders>
              <w:top w:val="nil"/>
              <w:left w:val="nil"/>
              <w:bottom w:val="nil"/>
              <w:right w:val="nil"/>
            </w:tcBorders>
            <w:shd w:val="clear" w:color="auto" w:fill="auto"/>
            <w:noWrap/>
            <w:vAlign w:val="center"/>
            <w:hideMark/>
          </w:tcPr>
          <w:p w14:paraId="2DE9F64E" w14:textId="77777777" w:rsidR="004101AB" w:rsidRPr="00606E51" w:rsidRDefault="004101AB" w:rsidP="00371B49">
            <w:pPr>
              <w:jc w:val="center"/>
              <w:rPr>
                <w:rFonts w:eastAsia="Times New Roman" w:cs="Times New Roman"/>
                <w:sz w:val="16"/>
                <w:szCs w:val="16"/>
                <w:lang w:val="es-CO" w:eastAsia="es-CO"/>
              </w:rPr>
            </w:pPr>
          </w:p>
        </w:tc>
        <w:tc>
          <w:tcPr>
            <w:tcW w:w="274" w:type="pct"/>
            <w:tcBorders>
              <w:top w:val="nil"/>
              <w:left w:val="single" w:sz="4" w:space="0" w:color="auto"/>
              <w:bottom w:val="nil"/>
              <w:right w:val="nil"/>
            </w:tcBorders>
            <w:shd w:val="clear" w:color="auto" w:fill="auto"/>
            <w:noWrap/>
            <w:vAlign w:val="center"/>
            <w:hideMark/>
          </w:tcPr>
          <w:p w14:paraId="039AE029"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3" w:type="pct"/>
            <w:tcBorders>
              <w:top w:val="nil"/>
              <w:left w:val="nil"/>
              <w:bottom w:val="nil"/>
              <w:right w:val="nil"/>
            </w:tcBorders>
            <w:shd w:val="clear" w:color="auto" w:fill="auto"/>
            <w:noWrap/>
            <w:vAlign w:val="center"/>
            <w:hideMark/>
          </w:tcPr>
          <w:p w14:paraId="679645DB" w14:textId="77777777" w:rsidR="004101AB" w:rsidRPr="00606E51" w:rsidRDefault="004101AB" w:rsidP="00371B49">
            <w:pPr>
              <w:jc w:val="center"/>
              <w:rPr>
                <w:rFonts w:eastAsia="Times New Roman" w:cs="Times New Roman"/>
                <w:color w:val="000000"/>
                <w:sz w:val="16"/>
                <w:szCs w:val="16"/>
                <w:lang w:val="es-CO" w:eastAsia="es-CO"/>
              </w:rPr>
            </w:pPr>
          </w:p>
        </w:tc>
      </w:tr>
      <w:tr w:rsidR="003F5B75" w:rsidRPr="00606E51" w14:paraId="31F930E6" w14:textId="77777777" w:rsidTr="003F5B75">
        <w:trPr>
          <w:trHeight w:val="163"/>
          <w:jc w:val="center"/>
        </w:trPr>
        <w:tc>
          <w:tcPr>
            <w:tcW w:w="1087" w:type="pct"/>
            <w:tcBorders>
              <w:top w:val="nil"/>
              <w:left w:val="nil"/>
              <w:bottom w:val="nil"/>
              <w:right w:val="nil"/>
            </w:tcBorders>
            <w:shd w:val="clear" w:color="auto" w:fill="auto"/>
            <w:noWrap/>
            <w:vAlign w:val="bottom"/>
            <w:hideMark/>
          </w:tcPr>
          <w:p w14:paraId="05C866C9"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4" w:type="pct"/>
            <w:tcBorders>
              <w:top w:val="nil"/>
              <w:left w:val="nil"/>
              <w:bottom w:val="nil"/>
              <w:right w:val="nil"/>
            </w:tcBorders>
            <w:shd w:val="clear" w:color="auto" w:fill="auto"/>
            <w:noWrap/>
            <w:vAlign w:val="center"/>
            <w:hideMark/>
          </w:tcPr>
          <w:p w14:paraId="741BF1F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40%</w:t>
            </w:r>
          </w:p>
        </w:tc>
        <w:tc>
          <w:tcPr>
            <w:tcW w:w="500" w:type="pct"/>
            <w:tcBorders>
              <w:top w:val="nil"/>
              <w:left w:val="nil"/>
              <w:bottom w:val="nil"/>
              <w:right w:val="nil"/>
            </w:tcBorders>
            <w:shd w:val="clear" w:color="auto" w:fill="auto"/>
            <w:noWrap/>
            <w:vAlign w:val="center"/>
            <w:hideMark/>
          </w:tcPr>
          <w:p w14:paraId="6F1DFBA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119</w:t>
            </w:r>
          </w:p>
        </w:tc>
        <w:tc>
          <w:tcPr>
            <w:tcW w:w="274" w:type="pct"/>
            <w:tcBorders>
              <w:top w:val="nil"/>
              <w:left w:val="nil"/>
              <w:bottom w:val="nil"/>
              <w:right w:val="nil"/>
            </w:tcBorders>
            <w:shd w:val="clear" w:color="auto" w:fill="auto"/>
            <w:noWrap/>
            <w:vAlign w:val="center"/>
            <w:hideMark/>
          </w:tcPr>
          <w:p w14:paraId="6C4CF43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43%</w:t>
            </w:r>
          </w:p>
        </w:tc>
        <w:tc>
          <w:tcPr>
            <w:tcW w:w="500" w:type="pct"/>
            <w:tcBorders>
              <w:top w:val="nil"/>
              <w:left w:val="nil"/>
              <w:bottom w:val="nil"/>
              <w:right w:val="nil"/>
            </w:tcBorders>
            <w:shd w:val="clear" w:color="auto" w:fill="auto"/>
            <w:noWrap/>
            <w:vAlign w:val="center"/>
            <w:hideMark/>
          </w:tcPr>
          <w:p w14:paraId="5F40B545"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161</w:t>
            </w:r>
          </w:p>
        </w:tc>
        <w:tc>
          <w:tcPr>
            <w:tcW w:w="274" w:type="pct"/>
            <w:tcBorders>
              <w:top w:val="nil"/>
              <w:left w:val="nil"/>
              <w:bottom w:val="nil"/>
              <w:right w:val="nil"/>
            </w:tcBorders>
            <w:shd w:val="clear" w:color="auto" w:fill="auto"/>
            <w:noWrap/>
            <w:vAlign w:val="center"/>
            <w:hideMark/>
          </w:tcPr>
          <w:p w14:paraId="5076FE3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500" w:type="pct"/>
            <w:tcBorders>
              <w:top w:val="nil"/>
              <w:left w:val="nil"/>
              <w:bottom w:val="nil"/>
              <w:right w:val="nil"/>
            </w:tcBorders>
            <w:shd w:val="clear" w:color="auto" w:fill="auto"/>
            <w:noWrap/>
            <w:vAlign w:val="center"/>
            <w:hideMark/>
          </w:tcPr>
          <w:p w14:paraId="00028DB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169</w:t>
            </w:r>
          </w:p>
        </w:tc>
        <w:tc>
          <w:tcPr>
            <w:tcW w:w="274" w:type="pct"/>
            <w:tcBorders>
              <w:top w:val="nil"/>
              <w:left w:val="nil"/>
              <w:bottom w:val="nil"/>
              <w:right w:val="nil"/>
            </w:tcBorders>
            <w:shd w:val="clear" w:color="auto" w:fill="auto"/>
            <w:noWrap/>
            <w:vAlign w:val="center"/>
            <w:hideMark/>
          </w:tcPr>
          <w:p w14:paraId="7D049A18"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500" w:type="pct"/>
            <w:tcBorders>
              <w:top w:val="nil"/>
              <w:left w:val="nil"/>
              <w:bottom w:val="nil"/>
              <w:right w:val="nil"/>
            </w:tcBorders>
            <w:shd w:val="clear" w:color="auto" w:fill="auto"/>
            <w:noWrap/>
            <w:vAlign w:val="center"/>
            <w:hideMark/>
          </w:tcPr>
          <w:p w14:paraId="3498966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163</w:t>
            </w:r>
          </w:p>
        </w:tc>
        <w:tc>
          <w:tcPr>
            <w:tcW w:w="274" w:type="pct"/>
            <w:tcBorders>
              <w:top w:val="nil"/>
              <w:left w:val="single" w:sz="4" w:space="0" w:color="auto"/>
              <w:bottom w:val="nil"/>
              <w:right w:val="nil"/>
            </w:tcBorders>
            <w:shd w:val="clear" w:color="auto" w:fill="auto"/>
            <w:noWrap/>
            <w:vAlign w:val="center"/>
            <w:hideMark/>
          </w:tcPr>
          <w:p w14:paraId="5CCE2B8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w:t>
            </w:r>
          </w:p>
        </w:tc>
        <w:tc>
          <w:tcPr>
            <w:tcW w:w="543" w:type="pct"/>
            <w:tcBorders>
              <w:top w:val="nil"/>
              <w:left w:val="nil"/>
              <w:bottom w:val="nil"/>
              <w:right w:val="nil"/>
            </w:tcBorders>
            <w:shd w:val="clear" w:color="auto" w:fill="auto"/>
            <w:noWrap/>
            <w:vAlign w:val="center"/>
            <w:hideMark/>
          </w:tcPr>
          <w:p w14:paraId="6C69CD63"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612</w:t>
            </w:r>
          </w:p>
        </w:tc>
      </w:tr>
      <w:tr w:rsidR="003F5B75" w:rsidRPr="00606E51" w14:paraId="2D8DC4E5" w14:textId="77777777" w:rsidTr="003F5B75">
        <w:trPr>
          <w:trHeight w:val="163"/>
          <w:jc w:val="center"/>
        </w:trPr>
        <w:tc>
          <w:tcPr>
            <w:tcW w:w="1087" w:type="pct"/>
            <w:tcBorders>
              <w:top w:val="nil"/>
              <w:left w:val="nil"/>
              <w:bottom w:val="single" w:sz="4" w:space="0" w:color="auto"/>
              <w:right w:val="nil"/>
            </w:tcBorders>
            <w:shd w:val="clear" w:color="auto" w:fill="auto"/>
            <w:noWrap/>
            <w:vAlign w:val="bottom"/>
            <w:hideMark/>
          </w:tcPr>
          <w:p w14:paraId="3FD5AA9E" w14:textId="77777777" w:rsidR="004101AB" w:rsidRPr="00606E51" w:rsidRDefault="004101AB" w:rsidP="00371B49">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274" w:type="pct"/>
            <w:tcBorders>
              <w:top w:val="nil"/>
              <w:left w:val="nil"/>
              <w:bottom w:val="single" w:sz="4" w:space="0" w:color="auto"/>
              <w:right w:val="nil"/>
            </w:tcBorders>
            <w:shd w:val="clear" w:color="auto" w:fill="auto"/>
            <w:noWrap/>
            <w:vAlign w:val="center"/>
            <w:hideMark/>
          </w:tcPr>
          <w:p w14:paraId="02FF38A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60%</w:t>
            </w:r>
          </w:p>
        </w:tc>
        <w:tc>
          <w:tcPr>
            <w:tcW w:w="500" w:type="pct"/>
            <w:tcBorders>
              <w:top w:val="nil"/>
              <w:left w:val="nil"/>
              <w:bottom w:val="single" w:sz="4" w:space="0" w:color="auto"/>
              <w:right w:val="nil"/>
            </w:tcBorders>
            <w:shd w:val="clear" w:color="auto" w:fill="auto"/>
            <w:noWrap/>
            <w:vAlign w:val="center"/>
            <w:hideMark/>
          </w:tcPr>
          <w:p w14:paraId="142E376A"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182</w:t>
            </w:r>
          </w:p>
        </w:tc>
        <w:tc>
          <w:tcPr>
            <w:tcW w:w="274" w:type="pct"/>
            <w:tcBorders>
              <w:top w:val="nil"/>
              <w:left w:val="nil"/>
              <w:bottom w:val="single" w:sz="4" w:space="0" w:color="auto"/>
              <w:right w:val="nil"/>
            </w:tcBorders>
            <w:shd w:val="clear" w:color="auto" w:fill="auto"/>
            <w:noWrap/>
            <w:vAlign w:val="center"/>
            <w:hideMark/>
          </w:tcPr>
          <w:p w14:paraId="4C10ACE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57%</w:t>
            </w:r>
          </w:p>
        </w:tc>
        <w:tc>
          <w:tcPr>
            <w:tcW w:w="500" w:type="pct"/>
            <w:tcBorders>
              <w:top w:val="nil"/>
              <w:left w:val="nil"/>
              <w:bottom w:val="single" w:sz="4" w:space="0" w:color="auto"/>
              <w:right w:val="nil"/>
            </w:tcBorders>
            <w:shd w:val="clear" w:color="auto" w:fill="auto"/>
            <w:noWrap/>
            <w:vAlign w:val="center"/>
            <w:hideMark/>
          </w:tcPr>
          <w:p w14:paraId="36C72BFC"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213</w:t>
            </w:r>
          </w:p>
        </w:tc>
        <w:tc>
          <w:tcPr>
            <w:tcW w:w="274" w:type="pct"/>
            <w:tcBorders>
              <w:top w:val="nil"/>
              <w:left w:val="nil"/>
              <w:bottom w:val="single" w:sz="4" w:space="0" w:color="auto"/>
              <w:right w:val="nil"/>
            </w:tcBorders>
            <w:shd w:val="clear" w:color="auto" w:fill="auto"/>
            <w:noWrap/>
            <w:vAlign w:val="center"/>
            <w:hideMark/>
          </w:tcPr>
          <w:p w14:paraId="11EF3040"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73%</w:t>
            </w:r>
          </w:p>
        </w:tc>
        <w:tc>
          <w:tcPr>
            <w:tcW w:w="500" w:type="pct"/>
            <w:tcBorders>
              <w:top w:val="nil"/>
              <w:left w:val="nil"/>
              <w:bottom w:val="single" w:sz="4" w:space="0" w:color="auto"/>
              <w:right w:val="nil"/>
            </w:tcBorders>
            <w:shd w:val="clear" w:color="auto" w:fill="auto"/>
            <w:noWrap/>
            <w:vAlign w:val="center"/>
            <w:hideMark/>
          </w:tcPr>
          <w:p w14:paraId="201AC897"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447</w:t>
            </w:r>
          </w:p>
        </w:tc>
        <w:tc>
          <w:tcPr>
            <w:tcW w:w="274" w:type="pct"/>
            <w:tcBorders>
              <w:top w:val="nil"/>
              <w:left w:val="nil"/>
              <w:bottom w:val="single" w:sz="4" w:space="0" w:color="auto"/>
              <w:right w:val="nil"/>
            </w:tcBorders>
            <w:shd w:val="clear" w:color="auto" w:fill="auto"/>
            <w:noWrap/>
            <w:vAlign w:val="center"/>
            <w:hideMark/>
          </w:tcPr>
          <w:p w14:paraId="3E8E0B5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73%</w:t>
            </w:r>
          </w:p>
        </w:tc>
        <w:tc>
          <w:tcPr>
            <w:tcW w:w="500" w:type="pct"/>
            <w:tcBorders>
              <w:top w:val="nil"/>
              <w:left w:val="nil"/>
              <w:bottom w:val="single" w:sz="4" w:space="0" w:color="auto"/>
              <w:right w:val="nil"/>
            </w:tcBorders>
            <w:shd w:val="clear" w:color="auto" w:fill="auto"/>
            <w:noWrap/>
            <w:vAlign w:val="center"/>
            <w:hideMark/>
          </w:tcPr>
          <w:p w14:paraId="6A5500AF"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450</w:t>
            </w:r>
          </w:p>
        </w:tc>
        <w:tc>
          <w:tcPr>
            <w:tcW w:w="274" w:type="pct"/>
            <w:tcBorders>
              <w:top w:val="nil"/>
              <w:left w:val="single" w:sz="4" w:space="0" w:color="auto"/>
              <w:bottom w:val="single" w:sz="4" w:space="0" w:color="auto"/>
              <w:right w:val="nil"/>
            </w:tcBorders>
            <w:shd w:val="clear" w:color="auto" w:fill="auto"/>
            <w:noWrap/>
            <w:vAlign w:val="center"/>
            <w:hideMark/>
          </w:tcPr>
          <w:p w14:paraId="5A0826BE"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68%</w:t>
            </w:r>
          </w:p>
        </w:tc>
        <w:tc>
          <w:tcPr>
            <w:tcW w:w="543" w:type="pct"/>
            <w:tcBorders>
              <w:top w:val="nil"/>
              <w:left w:val="nil"/>
              <w:bottom w:val="single" w:sz="4" w:space="0" w:color="auto"/>
              <w:right w:val="nil"/>
            </w:tcBorders>
            <w:shd w:val="clear" w:color="auto" w:fill="auto"/>
            <w:noWrap/>
            <w:vAlign w:val="center"/>
            <w:hideMark/>
          </w:tcPr>
          <w:p w14:paraId="05C339D1" w14:textId="77777777" w:rsidR="004101AB" w:rsidRPr="00606E51" w:rsidRDefault="004101AB" w:rsidP="00371B49">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1.292</w:t>
            </w:r>
          </w:p>
        </w:tc>
      </w:tr>
    </w:tbl>
    <w:p w14:paraId="32C740FC" w14:textId="77777777" w:rsidR="003E7C43" w:rsidRPr="00606E51" w:rsidRDefault="004101AB" w:rsidP="001C40D3">
      <w:pPr>
        <w:rPr>
          <w:lang w:val="es-CO"/>
        </w:rPr>
      </w:pPr>
      <w:r w:rsidRPr="00606E51">
        <w:rPr>
          <w:sz w:val="20"/>
          <w:lang w:val="es-CO"/>
        </w:rPr>
        <w:t>Fuente: SIVIGILA</w:t>
      </w:r>
    </w:p>
    <w:p w14:paraId="2114DB71" w14:textId="77777777" w:rsidR="00BC2FA7" w:rsidRPr="00606E51" w:rsidRDefault="00BC2FA7" w:rsidP="001C40D3">
      <w:pPr>
        <w:rPr>
          <w:b/>
          <w:lang w:val="es-CO"/>
        </w:rPr>
      </w:pPr>
    </w:p>
    <w:p w14:paraId="38333400" w14:textId="77777777" w:rsidR="00942B8B" w:rsidRPr="00606E51" w:rsidRDefault="00F1370E" w:rsidP="00101D3A">
      <w:pPr>
        <w:pStyle w:val="Caption"/>
        <w:rPr>
          <w:lang w:val="es-CO"/>
        </w:rPr>
      </w:pPr>
      <w:bookmarkStart w:id="10" w:name="_Toc490045698"/>
      <w:r w:rsidRPr="00606E51">
        <w:rPr>
          <w:lang w:val="es-CO"/>
        </w:rPr>
        <w:t xml:space="preserve">Cuadro </w:t>
      </w:r>
      <w:r w:rsidRPr="00606E51">
        <w:rPr>
          <w:lang w:val="es-CO"/>
        </w:rPr>
        <w:fldChar w:fldCharType="begin"/>
      </w:r>
      <w:r w:rsidRPr="00606E51">
        <w:rPr>
          <w:lang w:val="es-CO"/>
        </w:rPr>
        <w:instrText xml:space="preserve"> STYLEREF 1 \s </w:instrText>
      </w:r>
      <w:r w:rsidRPr="00606E51">
        <w:rPr>
          <w:lang w:val="es-CO"/>
        </w:rPr>
        <w:fldChar w:fldCharType="separate"/>
      </w:r>
      <w:r w:rsidRPr="00606E51">
        <w:rPr>
          <w:lang w:val="es-CO"/>
        </w:rPr>
        <w:t>1</w:t>
      </w:r>
      <w:r w:rsidRPr="00606E51">
        <w:rPr>
          <w:lang w:val="es-CO"/>
        </w:rPr>
        <w:fldChar w:fldCharType="end"/>
      </w:r>
      <w:r w:rsidRPr="00606E51">
        <w:rPr>
          <w:lang w:val="es-CO"/>
        </w:rPr>
        <w:noBreakHyphen/>
      </w:r>
      <w:r w:rsidRPr="00606E51">
        <w:rPr>
          <w:lang w:val="es-CO"/>
        </w:rPr>
        <w:fldChar w:fldCharType="begin"/>
      </w:r>
      <w:r w:rsidRPr="00606E51">
        <w:rPr>
          <w:lang w:val="es-CO"/>
        </w:rPr>
        <w:instrText xml:space="preserve"> SEQ Cuadro \* ROMAN \s 1 </w:instrText>
      </w:r>
      <w:r w:rsidRPr="00606E51">
        <w:rPr>
          <w:lang w:val="es-CO"/>
        </w:rPr>
        <w:fldChar w:fldCharType="separate"/>
      </w:r>
      <w:r w:rsidRPr="00606E51">
        <w:rPr>
          <w:lang w:val="es-CO"/>
        </w:rPr>
        <w:t>III</w:t>
      </w:r>
      <w:r w:rsidRPr="00606E51">
        <w:rPr>
          <w:lang w:val="es-CO"/>
        </w:rPr>
        <w:fldChar w:fldCharType="end"/>
      </w:r>
      <w:r w:rsidRPr="00606E51">
        <w:rPr>
          <w:lang w:val="es-CO"/>
        </w:rPr>
        <w:t xml:space="preserve"> </w:t>
      </w:r>
      <w:r w:rsidR="00942B8B" w:rsidRPr="00606E51">
        <w:rPr>
          <w:lang w:val="es-CO"/>
        </w:rPr>
        <w:t>Mortalidad por desnutrición (SIVIGILA - evento 112), por municipio de residencia. 2016</w:t>
      </w:r>
      <w:bookmarkEnd w:id="10"/>
    </w:p>
    <w:tbl>
      <w:tblPr>
        <w:tblW w:w="5000" w:type="pct"/>
        <w:jc w:val="center"/>
        <w:tblCellMar>
          <w:left w:w="70" w:type="dxa"/>
          <w:right w:w="70" w:type="dxa"/>
        </w:tblCellMar>
        <w:tblLook w:val="04A0" w:firstRow="1" w:lastRow="0" w:firstColumn="1" w:lastColumn="0" w:noHBand="0" w:noVBand="1"/>
      </w:tblPr>
      <w:tblGrid>
        <w:gridCol w:w="2250"/>
        <w:gridCol w:w="343"/>
        <w:gridCol w:w="589"/>
        <w:gridCol w:w="698"/>
        <w:gridCol w:w="486"/>
        <w:gridCol w:w="725"/>
        <w:gridCol w:w="486"/>
        <w:gridCol w:w="698"/>
        <w:gridCol w:w="486"/>
        <w:gridCol w:w="725"/>
        <w:gridCol w:w="516"/>
        <w:gridCol w:w="836"/>
      </w:tblGrid>
      <w:tr w:rsidR="00942B8B" w:rsidRPr="00606E51" w14:paraId="4C267FF0" w14:textId="77777777" w:rsidTr="00BD0EF7">
        <w:trPr>
          <w:trHeight w:val="20"/>
          <w:jc w:val="center"/>
        </w:trPr>
        <w:tc>
          <w:tcPr>
            <w:tcW w:w="1273" w:type="pct"/>
            <w:tcBorders>
              <w:top w:val="nil"/>
              <w:left w:val="nil"/>
              <w:bottom w:val="nil"/>
              <w:right w:val="nil"/>
            </w:tcBorders>
            <w:shd w:val="clear" w:color="auto" w:fill="auto"/>
            <w:noWrap/>
            <w:vAlign w:val="bottom"/>
          </w:tcPr>
          <w:p w14:paraId="1F5EB573" w14:textId="77777777" w:rsidR="00942B8B" w:rsidRPr="00606E51" w:rsidRDefault="00942B8B" w:rsidP="00BD0EF7">
            <w:pPr>
              <w:rPr>
                <w:rFonts w:eastAsia="Times New Roman" w:cs="Times New Roman"/>
                <w:color w:val="000000"/>
                <w:sz w:val="16"/>
                <w:szCs w:val="16"/>
                <w:lang w:val="es-CO" w:eastAsia="es-CO"/>
              </w:rPr>
            </w:pPr>
          </w:p>
        </w:tc>
        <w:tc>
          <w:tcPr>
            <w:tcW w:w="194" w:type="pct"/>
            <w:vMerge w:val="restart"/>
            <w:tcBorders>
              <w:top w:val="single" w:sz="4" w:space="0" w:color="auto"/>
              <w:left w:val="nil"/>
              <w:bottom w:val="single" w:sz="4" w:space="0" w:color="000000"/>
              <w:right w:val="nil"/>
            </w:tcBorders>
            <w:shd w:val="clear" w:color="auto" w:fill="auto"/>
            <w:noWrap/>
            <w:vAlign w:val="center"/>
            <w:hideMark/>
          </w:tcPr>
          <w:p w14:paraId="0F63C144"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N </w:t>
            </w:r>
          </w:p>
        </w:tc>
        <w:tc>
          <w:tcPr>
            <w:tcW w:w="728" w:type="pct"/>
            <w:gridSpan w:val="2"/>
            <w:tcBorders>
              <w:top w:val="single" w:sz="4" w:space="0" w:color="auto"/>
              <w:left w:val="nil"/>
              <w:bottom w:val="nil"/>
              <w:right w:val="nil"/>
            </w:tcBorders>
            <w:shd w:val="clear" w:color="auto" w:fill="auto"/>
            <w:noWrap/>
            <w:vAlign w:val="center"/>
            <w:hideMark/>
          </w:tcPr>
          <w:p w14:paraId="00FA01EF"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MAICAO</w:t>
            </w:r>
          </w:p>
        </w:tc>
        <w:tc>
          <w:tcPr>
            <w:tcW w:w="685" w:type="pct"/>
            <w:gridSpan w:val="2"/>
            <w:tcBorders>
              <w:top w:val="single" w:sz="4" w:space="0" w:color="auto"/>
              <w:left w:val="nil"/>
              <w:bottom w:val="nil"/>
              <w:right w:val="nil"/>
            </w:tcBorders>
            <w:shd w:val="clear" w:color="auto" w:fill="auto"/>
            <w:noWrap/>
            <w:vAlign w:val="center"/>
            <w:hideMark/>
          </w:tcPr>
          <w:p w14:paraId="1228D218"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MANAURE</w:t>
            </w:r>
          </w:p>
        </w:tc>
        <w:tc>
          <w:tcPr>
            <w:tcW w:w="670" w:type="pct"/>
            <w:gridSpan w:val="2"/>
            <w:tcBorders>
              <w:top w:val="single" w:sz="4" w:space="0" w:color="auto"/>
              <w:left w:val="nil"/>
              <w:bottom w:val="nil"/>
              <w:right w:val="nil"/>
            </w:tcBorders>
            <w:shd w:val="clear" w:color="auto" w:fill="auto"/>
            <w:noWrap/>
            <w:vAlign w:val="center"/>
            <w:hideMark/>
          </w:tcPr>
          <w:p w14:paraId="431092E6"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RIOHACHA</w:t>
            </w:r>
          </w:p>
        </w:tc>
        <w:tc>
          <w:tcPr>
            <w:tcW w:w="685" w:type="pct"/>
            <w:gridSpan w:val="2"/>
            <w:tcBorders>
              <w:top w:val="single" w:sz="4" w:space="0" w:color="auto"/>
              <w:left w:val="nil"/>
              <w:bottom w:val="nil"/>
              <w:right w:val="nil"/>
            </w:tcBorders>
            <w:shd w:val="clear" w:color="auto" w:fill="auto"/>
            <w:noWrap/>
            <w:vAlign w:val="center"/>
            <w:hideMark/>
          </w:tcPr>
          <w:p w14:paraId="6DE05F06"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URIBIA</w:t>
            </w:r>
          </w:p>
        </w:tc>
        <w:tc>
          <w:tcPr>
            <w:tcW w:w="765" w:type="pct"/>
            <w:gridSpan w:val="2"/>
            <w:tcBorders>
              <w:top w:val="single" w:sz="4" w:space="0" w:color="auto"/>
              <w:left w:val="single" w:sz="4" w:space="0" w:color="auto"/>
              <w:bottom w:val="nil"/>
              <w:right w:val="nil"/>
            </w:tcBorders>
            <w:shd w:val="clear" w:color="auto" w:fill="auto"/>
            <w:noWrap/>
            <w:vAlign w:val="center"/>
            <w:hideMark/>
          </w:tcPr>
          <w:p w14:paraId="53AA6D0D"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Total</w:t>
            </w:r>
          </w:p>
        </w:tc>
      </w:tr>
      <w:tr w:rsidR="00942B8B" w:rsidRPr="00606E51" w14:paraId="4FF2DCF1" w14:textId="77777777" w:rsidTr="00BD0EF7">
        <w:trPr>
          <w:trHeight w:val="20"/>
          <w:jc w:val="center"/>
        </w:trPr>
        <w:tc>
          <w:tcPr>
            <w:tcW w:w="1273" w:type="pct"/>
            <w:tcBorders>
              <w:top w:val="nil"/>
              <w:left w:val="nil"/>
              <w:bottom w:val="single" w:sz="4" w:space="0" w:color="auto"/>
              <w:right w:val="nil"/>
            </w:tcBorders>
            <w:shd w:val="clear" w:color="auto" w:fill="auto"/>
            <w:noWrap/>
            <w:vAlign w:val="bottom"/>
          </w:tcPr>
          <w:p w14:paraId="7C06E975" w14:textId="77777777" w:rsidR="00942B8B" w:rsidRPr="00606E51" w:rsidRDefault="00942B8B" w:rsidP="00BD0EF7">
            <w:pPr>
              <w:rPr>
                <w:rFonts w:eastAsia="Times New Roman" w:cs="Times New Roman"/>
                <w:color w:val="000000"/>
                <w:sz w:val="16"/>
                <w:szCs w:val="16"/>
                <w:lang w:val="es-CO" w:eastAsia="es-CO"/>
              </w:rPr>
            </w:pPr>
          </w:p>
        </w:tc>
        <w:tc>
          <w:tcPr>
            <w:tcW w:w="194" w:type="pct"/>
            <w:vMerge/>
            <w:tcBorders>
              <w:top w:val="single" w:sz="4" w:space="0" w:color="auto"/>
              <w:left w:val="nil"/>
              <w:bottom w:val="single" w:sz="4" w:space="0" w:color="000000"/>
              <w:right w:val="nil"/>
            </w:tcBorders>
            <w:vAlign w:val="center"/>
            <w:hideMark/>
          </w:tcPr>
          <w:p w14:paraId="30373473" w14:textId="77777777" w:rsidR="00942B8B" w:rsidRPr="00606E51" w:rsidRDefault="00942B8B" w:rsidP="00BD0EF7">
            <w:pPr>
              <w:rPr>
                <w:rFonts w:eastAsia="Times New Roman" w:cs="Times New Roman"/>
                <w:b/>
                <w:bCs/>
                <w:color w:val="000000"/>
                <w:sz w:val="16"/>
                <w:szCs w:val="16"/>
                <w:lang w:val="es-CO" w:eastAsia="es-CO"/>
              </w:rPr>
            </w:pPr>
          </w:p>
        </w:tc>
        <w:tc>
          <w:tcPr>
            <w:tcW w:w="333" w:type="pct"/>
            <w:tcBorders>
              <w:top w:val="nil"/>
              <w:left w:val="nil"/>
              <w:bottom w:val="single" w:sz="4" w:space="0" w:color="auto"/>
              <w:right w:val="nil"/>
            </w:tcBorders>
            <w:shd w:val="clear" w:color="auto" w:fill="auto"/>
            <w:noWrap/>
            <w:vAlign w:val="center"/>
            <w:hideMark/>
          </w:tcPr>
          <w:p w14:paraId="50E3FEDC"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395" w:type="pct"/>
            <w:tcBorders>
              <w:top w:val="nil"/>
              <w:left w:val="nil"/>
              <w:bottom w:val="single" w:sz="4" w:space="0" w:color="auto"/>
              <w:right w:val="nil"/>
            </w:tcBorders>
            <w:shd w:val="clear" w:color="auto" w:fill="auto"/>
            <w:noWrap/>
            <w:vAlign w:val="center"/>
            <w:hideMark/>
          </w:tcPr>
          <w:p w14:paraId="55B52B04"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(N=13)</w:t>
            </w:r>
          </w:p>
        </w:tc>
        <w:tc>
          <w:tcPr>
            <w:tcW w:w="275" w:type="pct"/>
            <w:tcBorders>
              <w:top w:val="nil"/>
              <w:left w:val="nil"/>
              <w:bottom w:val="single" w:sz="4" w:space="0" w:color="auto"/>
              <w:right w:val="nil"/>
            </w:tcBorders>
            <w:shd w:val="clear" w:color="auto" w:fill="auto"/>
            <w:noWrap/>
            <w:vAlign w:val="center"/>
            <w:hideMark/>
          </w:tcPr>
          <w:p w14:paraId="22402447"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410" w:type="pct"/>
            <w:tcBorders>
              <w:top w:val="nil"/>
              <w:left w:val="nil"/>
              <w:bottom w:val="single" w:sz="4" w:space="0" w:color="auto"/>
              <w:right w:val="nil"/>
            </w:tcBorders>
            <w:shd w:val="clear" w:color="auto" w:fill="auto"/>
            <w:noWrap/>
            <w:vAlign w:val="center"/>
            <w:hideMark/>
          </w:tcPr>
          <w:p w14:paraId="11BC79E2"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(N=18)</w:t>
            </w:r>
          </w:p>
        </w:tc>
        <w:tc>
          <w:tcPr>
            <w:tcW w:w="275" w:type="pct"/>
            <w:tcBorders>
              <w:top w:val="nil"/>
              <w:left w:val="nil"/>
              <w:bottom w:val="single" w:sz="4" w:space="0" w:color="auto"/>
              <w:right w:val="nil"/>
            </w:tcBorders>
            <w:shd w:val="clear" w:color="auto" w:fill="auto"/>
            <w:noWrap/>
            <w:vAlign w:val="center"/>
            <w:hideMark/>
          </w:tcPr>
          <w:p w14:paraId="069C8E86"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395" w:type="pct"/>
            <w:tcBorders>
              <w:top w:val="nil"/>
              <w:left w:val="nil"/>
              <w:bottom w:val="single" w:sz="4" w:space="0" w:color="auto"/>
              <w:right w:val="nil"/>
            </w:tcBorders>
            <w:shd w:val="clear" w:color="auto" w:fill="auto"/>
            <w:noWrap/>
            <w:vAlign w:val="center"/>
            <w:hideMark/>
          </w:tcPr>
          <w:p w14:paraId="3F145FBB"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(N=17)</w:t>
            </w:r>
          </w:p>
        </w:tc>
        <w:tc>
          <w:tcPr>
            <w:tcW w:w="275" w:type="pct"/>
            <w:tcBorders>
              <w:top w:val="nil"/>
              <w:left w:val="nil"/>
              <w:bottom w:val="single" w:sz="4" w:space="0" w:color="auto"/>
              <w:right w:val="nil"/>
            </w:tcBorders>
            <w:shd w:val="clear" w:color="auto" w:fill="auto"/>
            <w:noWrap/>
            <w:vAlign w:val="center"/>
            <w:hideMark/>
          </w:tcPr>
          <w:p w14:paraId="0BA9537E"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410" w:type="pct"/>
            <w:tcBorders>
              <w:top w:val="nil"/>
              <w:left w:val="nil"/>
              <w:bottom w:val="single" w:sz="4" w:space="0" w:color="auto"/>
              <w:right w:val="nil"/>
            </w:tcBorders>
            <w:shd w:val="clear" w:color="auto" w:fill="auto"/>
            <w:noWrap/>
            <w:vAlign w:val="center"/>
            <w:hideMark/>
          </w:tcPr>
          <w:p w14:paraId="79F4B1FB"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(N=26)</w:t>
            </w:r>
          </w:p>
        </w:tc>
        <w:tc>
          <w:tcPr>
            <w:tcW w:w="292" w:type="pct"/>
            <w:tcBorders>
              <w:top w:val="nil"/>
              <w:left w:val="single" w:sz="4" w:space="0" w:color="auto"/>
              <w:bottom w:val="single" w:sz="4" w:space="0" w:color="auto"/>
              <w:right w:val="nil"/>
            </w:tcBorders>
            <w:shd w:val="clear" w:color="auto" w:fill="auto"/>
            <w:noWrap/>
            <w:vAlign w:val="center"/>
            <w:hideMark/>
          </w:tcPr>
          <w:p w14:paraId="3B5CE6A4"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w:t>
            </w:r>
          </w:p>
        </w:tc>
        <w:tc>
          <w:tcPr>
            <w:tcW w:w="474" w:type="pct"/>
            <w:tcBorders>
              <w:top w:val="nil"/>
              <w:left w:val="nil"/>
              <w:bottom w:val="single" w:sz="4" w:space="0" w:color="auto"/>
              <w:right w:val="nil"/>
            </w:tcBorders>
            <w:shd w:val="clear" w:color="auto" w:fill="auto"/>
            <w:noWrap/>
            <w:vAlign w:val="center"/>
            <w:hideMark/>
          </w:tcPr>
          <w:p w14:paraId="7608F02D" w14:textId="77777777" w:rsidR="00942B8B" w:rsidRPr="00606E51" w:rsidRDefault="00942B8B" w:rsidP="00BD0EF7">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(N=74)</w:t>
            </w:r>
          </w:p>
        </w:tc>
      </w:tr>
      <w:tr w:rsidR="00942B8B" w:rsidRPr="00606E51" w14:paraId="0BA276F5"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3312E74A"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Municipio de notificación</w:t>
            </w:r>
          </w:p>
        </w:tc>
        <w:tc>
          <w:tcPr>
            <w:tcW w:w="194" w:type="pct"/>
            <w:tcBorders>
              <w:top w:val="nil"/>
              <w:left w:val="nil"/>
              <w:bottom w:val="nil"/>
              <w:right w:val="nil"/>
            </w:tcBorders>
            <w:shd w:val="clear" w:color="auto" w:fill="auto"/>
            <w:noWrap/>
            <w:vAlign w:val="bottom"/>
            <w:hideMark/>
          </w:tcPr>
          <w:p w14:paraId="773FBE46"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69</w:t>
            </w:r>
          </w:p>
        </w:tc>
        <w:tc>
          <w:tcPr>
            <w:tcW w:w="333" w:type="pct"/>
            <w:tcBorders>
              <w:top w:val="nil"/>
              <w:left w:val="nil"/>
              <w:bottom w:val="nil"/>
              <w:right w:val="nil"/>
            </w:tcBorders>
            <w:shd w:val="clear" w:color="auto" w:fill="auto"/>
            <w:noWrap/>
            <w:vAlign w:val="bottom"/>
            <w:hideMark/>
          </w:tcPr>
          <w:p w14:paraId="63736CB4"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bottom"/>
            <w:hideMark/>
          </w:tcPr>
          <w:p w14:paraId="5E1E172C" w14:textId="77777777" w:rsidR="00942B8B" w:rsidRPr="00606E51" w:rsidRDefault="00942B8B" w:rsidP="00BD0EF7">
            <w:pP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bottom"/>
            <w:hideMark/>
          </w:tcPr>
          <w:p w14:paraId="436BCE66" w14:textId="77777777" w:rsidR="00942B8B" w:rsidRPr="00606E51" w:rsidRDefault="00942B8B" w:rsidP="00BD0EF7">
            <w:pP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bottom"/>
            <w:hideMark/>
          </w:tcPr>
          <w:p w14:paraId="19D9E99C" w14:textId="77777777" w:rsidR="00942B8B" w:rsidRPr="00606E51" w:rsidRDefault="00942B8B" w:rsidP="00BD0EF7">
            <w:pP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bottom"/>
            <w:hideMark/>
          </w:tcPr>
          <w:p w14:paraId="57E3D53F" w14:textId="77777777" w:rsidR="00942B8B" w:rsidRPr="00606E51" w:rsidRDefault="00942B8B" w:rsidP="00BD0EF7">
            <w:pP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bottom"/>
            <w:hideMark/>
          </w:tcPr>
          <w:p w14:paraId="5A78A7FA" w14:textId="77777777" w:rsidR="00942B8B" w:rsidRPr="00606E51" w:rsidRDefault="00942B8B" w:rsidP="00BD0EF7">
            <w:pP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bottom"/>
            <w:hideMark/>
          </w:tcPr>
          <w:p w14:paraId="61D116B5" w14:textId="77777777" w:rsidR="00942B8B" w:rsidRPr="00606E51" w:rsidRDefault="00942B8B" w:rsidP="00BD0EF7">
            <w:pP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bottom"/>
            <w:hideMark/>
          </w:tcPr>
          <w:p w14:paraId="2D610562" w14:textId="77777777" w:rsidR="00942B8B" w:rsidRPr="00606E51" w:rsidRDefault="00942B8B" w:rsidP="00BD0EF7">
            <w:pP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bottom"/>
            <w:hideMark/>
          </w:tcPr>
          <w:p w14:paraId="7E183C17"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bottom"/>
            <w:hideMark/>
          </w:tcPr>
          <w:p w14:paraId="02C6471B" w14:textId="77777777" w:rsidR="00942B8B" w:rsidRPr="00606E51" w:rsidRDefault="00942B8B" w:rsidP="00BD0EF7">
            <w:pPr>
              <w:rPr>
                <w:rFonts w:eastAsia="Times New Roman" w:cs="Times New Roman"/>
                <w:color w:val="000000"/>
                <w:sz w:val="16"/>
                <w:szCs w:val="16"/>
                <w:lang w:val="es-CO" w:eastAsia="es-CO"/>
              </w:rPr>
            </w:pPr>
          </w:p>
        </w:tc>
      </w:tr>
      <w:tr w:rsidR="00942B8B" w:rsidRPr="00606E51" w14:paraId="7700D76D"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2BA458F"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Maicao</w:t>
            </w:r>
          </w:p>
        </w:tc>
        <w:tc>
          <w:tcPr>
            <w:tcW w:w="194" w:type="pct"/>
            <w:tcBorders>
              <w:top w:val="nil"/>
              <w:left w:val="nil"/>
              <w:bottom w:val="nil"/>
              <w:right w:val="nil"/>
            </w:tcBorders>
            <w:shd w:val="clear" w:color="auto" w:fill="auto"/>
            <w:noWrap/>
            <w:vAlign w:val="bottom"/>
            <w:hideMark/>
          </w:tcPr>
          <w:p w14:paraId="6F0B6464"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23173F2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73%</w:t>
            </w:r>
          </w:p>
        </w:tc>
        <w:tc>
          <w:tcPr>
            <w:tcW w:w="395" w:type="pct"/>
            <w:tcBorders>
              <w:top w:val="nil"/>
              <w:left w:val="nil"/>
              <w:bottom w:val="nil"/>
              <w:right w:val="nil"/>
            </w:tcBorders>
            <w:shd w:val="clear" w:color="auto" w:fill="auto"/>
            <w:noWrap/>
            <w:vAlign w:val="center"/>
            <w:hideMark/>
          </w:tcPr>
          <w:p w14:paraId="4DDE612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275" w:type="pct"/>
            <w:tcBorders>
              <w:top w:val="nil"/>
              <w:left w:val="nil"/>
              <w:bottom w:val="nil"/>
              <w:right w:val="nil"/>
            </w:tcBorders>
            <w:shd w:val="clear" w:color="auto" w:fill="auto"/>
            <w:noWrap/>
            <w:vAlign w:val="center"/>
            <w:hideMark/>
          </w:tcPr>
          <w:p w14:paraId="674218E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410" w:type="pct"/>
            <w:tcBorders>
              <w:top w:val="nil"/>
              <w:left w:val="nil"/>
              <w:bottom w:val="nil"/>
              <w:right w:val="nil"/>
            </w:tcBorders>
            <w:shd w:val="clear" w:color="auto" w:fill="auto"/>
            <w:noWrap/>
            <w:vAlign w:val="center"/>
            <w:hideMark/>
          </w:tcPr>
          <w:p w14:paraId="6DC1C91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3E4CE85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395" w:type="pct"/>
            <w:tcBorders>
              <w:top w:val="nil"/>
              <w:left w:val="nil"/>
              <w:bottom w:val="nil"/>
              <w:right w:val="nil"/>
            </w:tcBorders>
            <w:shd w:val="clear" w:color="auto" w:fill="auto"/>
            <w:noWrap/>
            <w:vAlign w:val="center"/>
            <w:hideMark/>
          </w:tcPr>
          <w:p w14:paraId="277997F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7EC8849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410" w:type="pct"/>
            <w:tcBorders>
              <w:top w:val="nil"/>
              <w:left w:val="nil"/>
              <w:bottom w:val="nil"/>
              <w:right w:val="nil"/>
            </w:tcBorders>
            <w:shd w:val="clear" w:color="auto" w:fill="auto"/>
            <w:noWrap/>
            <w:vAlign w:val="center"/>
            <w:hideMark/>
          </w:tcPr>
          <w:p w14:paraId="6D93CA8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92" w:type="pct"/>
            <w:tcBorders>
              <w:top w:val="nil"/>
              <w:left w:val="single" w:sz="4" w:space="0" w:color="auto"/>
              <w:bottom w:val="nil"/>
              <w:right w:val="nil"/>
            </w:tcBorders>
            <w:shd w:val="clear" w:color="auto" w:fill="auto"/>
            <w:noWrap/>
            <w:vAlign w:val="center"/>
            <w:hideMark/>
          </w:tcPr>
          <w:p w14:paraId="59CE95D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474" w:type="pct"/>
            <w:tcBorders>
              <w:top w:val="nil"/>
              <w:left w:val="nil"/>
              <w:bottom w:val="nil"/>
              <w:right w:val="nil"/>
            </w:tcBorders>
            <w:shd w:val="clear" w:color="auto" w:fill="auto"/>
            <w:noWrap/>
            <w:vAlign w:val="center"/>
            <w:hideMark/>
          </w:tcPr>
          <w:p w14:paraId="6557DE8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r>
      <w:tr w:rsidR="00942B8B" w:rsidRPr="00606E51" w14:paraId="3E70AED3"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655707F"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Manaure</w:t>
            </w:r>
          </w:p>
        </w:tc>
        <w:tc>
          <w:tcPr>
            <w:tcW w:w="194" w:type="pct"/>
            <w:tcBorders>
              <w:top w:val="nil"/>
              <w:left w:val="nil"/>
              <w:bottom w:val="nil"/>
              <w:right w:val="nil"/>
            </w:tcBorders>
            <w:shd w:val="clear" w:color="auto" w:fill="auto"/>
            <w:noWrap/>
            <w:vAlign w:val="bottom"/>
            <w:hideMark/>
          </w:tcPr>
          <w:p w14:paraId="46C9BABD"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440DAF3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5C07A08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2BA73DA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410" w:type="pct"/>
            <w:tcBorders>
              <w:top w:val="nil"/>
              <w:left w:val="nil"/>
              <w:bottom w:val="nil"/>
              <w:right w:val="nil"/>
            </w:tcBorders>
            <w:shd w:val="clear" w:color="auto" w:fill="auto"/>
            <w:noWrap/>
            <w:vAlign w:val="center"/>
            <w:hideMark/>
          </w:tcPr>
          <w:p w14:paraId="49F60AB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7F06B5E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3F7E009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5FE9836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10" w:type="pct"/>
            <w:tcBorders>
              <w:top w:val="nil"/>
              <w:left w:val="nil"/>
              <w:bottom w:val="nil"/>
              <w:right w:val="nil"/>
            </w:tcBorders>
            <w:shd w:val="clear" w:color="auto" w:fill="auto"/>
            <w:noWrap/>
            <w:vAlign w:val="center"/>
            <w:hideMark/>
          </w:tcPr>
          <w:p w14:paraId="1C62415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92" w:type="pct"/>
            <w:tcBorders>
              <w:top w:val="nil"/>
              <w:left w:val="single" w:sz="4" w:space="0" w:color="auto"/>
              <w:bottom w:val="nil"/>
              <w:right w:val="nil"/>
            </w:tcBorders>
            <w:shd w:val="clear" w:color="auto" w:fill="auto"/>
            <w:noWrap/>
            <w:vAlign w:val="center"/>
            <w:hideMark/>
          </w:tcPr>
          <w:p w14:paraId="007147F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474" w:type="pct"/>
            <w:tcBorders>
              <w:top w:val="nil"/>
              <w:left w:val="nil"/>
              <w:bottom w:val="nil"/>
              <w:right w:val="nil"/>
            </w:tcBorders>
            <w:shd w:val="clear" w:color="auto" w:fill="auto"/>
            <w:noWrap/>
            <w:vAlign w:val="center"/>
            <w:hideMark/>
          </w:tcPr>
          <w:p w14:paraId="14E2089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r>
      <w:tr w:rsidR="00942B8B" w:rsidRPr="00606E51" w14:paraId="52F51A6B"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03EFA072"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Riohacha</w:t>
            </w:r>
          </w:p>
        </w:tc>
        <w:tc>
          <w:tcPr>
            <w:tcW w:w="194" w:type="pct"/>
            <w:tcBorders>
              <w:top w:val="nil"/>
              <w:left w:val="nil"/>
              <w:bottom w:val="nil"/>
              <w:right w:val="nil"/>
            </w:tcBorders>
            <w:shd w:val="clear" w:color="auto" w:fill="auto"/>
            <w:noWrap/>
            <w:vAlign w:val="bottom"/>
            <w:hideMark/>
          </w:tcPr>
          <w:p w14:paraId="1AEAF1A9"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4245955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395" w:type="pct"/>
            <w:tcBorders>
              <w:top w:val="nil"/>
              <w:left w:val="nil"/>
              <w:bottom w:val="nil"/>
              <w:right w:val="nil"/>
            </w:tcBorders>
            <w:shd w:val="clear" w:color="auto" w:fill="auto"/>
            <w:noWrap/>
            <w:vAlign w:val="center"/>
            <w:hideMark/>
          </w:tcPr>
          <w:p w14:paraId="0280211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08828FC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59%</w:t>
            </w:r>
          </w:p>
        </w:tc>
        <w:tc>
          <w:tcPr>
            <w:tcW w:w="410" w:type="pct"/>
            <w:tcBorders>
              <w:top w:val="nil"/>
              <w:left w:val="nil"/>
              <w:bottom w:val="nil"/>
              <w:right w:val="nil"/>
            </w:tcBorders>
            <w:shd w:val="clear" w:color="auto" w:fill="auto"/>
            <w:noWrap/>
            <w:vAlign w:val="center"/>
            <w:hideMark/>
          </w:tcPr>
          <w:p w14:paraId="13D29B0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275" w:type="pct"/>
            <w:tcBorders>
              <w:top w:val="nil"/>
              <w:left w:val="nil"/>
              <w:bottom w:val="nil"/>
              <w:right w:val="nil"/>
            </w:tcBorders>
            <w:shd w:val="clear" w:color="auto" w:fill="auto"/>
            <w:noWrap/>
            <w:vAlign w:val="center"/>
            <w:hideMark/>
          </w:tcPr>
          <w:p w14:paraId="1191AB2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69%</w:t>
            </w:r>
          </w:p>
        </w:tc>
        <w:tc>
          <w:tcPr>
            <w:tcW w:w="395" w:type="pct"/>
            <w:tcBorders>
              <w:top w:val="nil"/>
              <w:left w:val="nil"/>
              <w:bottom w:val="nil"/>
              <w:right w:val="nil"/>
            </w:tcBorders>
            <w:shd w:val="clear" w:color="auto" w:fill="auto"/>
            <w:noWrap/>
            <w:vAlign w:val="center"/>
            <w:hideMark/>
          </w:tcPr>
          <w:p w14:paraId="1C5EF4E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275" w:type="pct"/>
            <w:tcBorders>
              <w:top w:val="nil"/>
              <w:left w:val="nil"/>
              <w:bottom w:val="nil"/>
              <w:right w:val="nil"/>
            </w:tcBorders>
            <w:shd w:val="clear" w:color="auto" w:fill="auto"/>
            <w:noWrap/>
            <w:vAlign w:val="center"/>
            <w:hideMark/>
          </w:tcPr>
          <w:p w14:paraId="01E6374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64%</w:t>
            </w:r>
          </w:p>
        </w:tc>
        <w:tc>
          <w:tcPr>
            <w:tcW w:w="410" w:type="pct"/>
            <w:tcBorders>
              <w:top w:val="nil"/>
              <w:left w:val="nil"/>
              <w:bottom w:val="nil"/>
              <w:right w:val="nil"/>
            </w:tcBorders>
            <w:shd w:val="clear" w:color="auto" w:fill="auto"/>
            <w:noWrap/>
            <w:vAlign w:val="center"/>
            <w:hideMark/>
          </w:tcPr>
          <w:p w14:paraId="77E4139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292" w:type="pct"/>
            <w:tcBorders>
              <w:top w:val="nil"/>
              <w:left w:val="single" w:sz="4" w:space="0" w:color="auto"/>
              <w:bottom w:val="nil"/>
              <w:right w:val="nil"/>
            </w:tcBorders>
            <w:shd w:val="clear" w:color="auto" w:fill="auto"/>
            <w:noWrap/>
            <w:vAlign w:val="center"/>
            <w:hideMark/>
          </w:tcPr>
          <w:p w14:paraId="03D1950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58%</w:t>
            </w:r>
          </w:p>
        </w:tc>
        <w:tc>
          <w:tcPr>
            <w:tcW w:w="474" w:type="pct"/>
            <w:tcBorders>
              <w:top w:val="nil"/>
              <w:left w:val="nil"/>
              <w:bottom w:val="nil"/>
              <w:right w:val="nil"/>
            </w:tcBorders>
            <w:shd w:val="clear" w:color="auto" w:fill="auto"/>
            <w:noWrap/>
            <w:vAlign w:val="center"/>
            <w:hideMark/>
          </w:tcPr>
          <w:p w14:paraId="1A4E8FF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40</w:t>
            </w:r>
          </w:p>
        </w:tc>
      </w:tr>
      <w:tr w:rsidR="00942B8B" w:rsidRPr="00606E51" w14:paraId="6EDBA56F"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20035D1B"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San Juan Del Cesar</w:t>
            </w:r>
          </w:p>
        </w:tc>
        <w:tc>
          <w:tcPr>
            <w:tcW w:w="194" w:type="pct"/>
            <w:tcBorders>
              <w:top w:val="nil"/>
              <w:left w:val="nil"/>
              <w:bottom w:val="nil"/>
              <w:right w:val="nil"/>
            </w:tcBorders>
            <w:shd w:val="clear" w:color="auto" w:fill="auto"/>
            <w:noWrap/>
            <w:vAlign w:val="bottom"/>
            <w:hideMark/>
          </w:tcPr>
          <w:p w14:paraId="3C178D4E"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6E94C18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5BD129D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023FEA9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24%</w:t>
            </w:r>
          </w:p>
        </w:tc>
        <w:tc>
          <w:tcPr>
            <w:tcW w:w="410" w:type="pct"/>
            <w:tcBorders>
              <w:top w:val="nil"/>
              <w:left w:val="nil"/>
              <w:bottom w:val="nil"/>
              <w:right w:val="nil"/>
            </w:tcBorders>
            <w:shd w:val="clear" w:color="auto" w:fill="auto"/>
            <w:noWrap/>
            <w:vAlign w:val="center"/>
            <w:hideMark/>
          </w:tcPr>
          <w:p w14:paraId="69184F0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649C3F5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395" w:type="pct"/>
            <w:tcBorders>
              <w:top w:val="nil"/>
              <w:left w:val="nil"/>
              <w:bottom w:val="nil"/>
              <w:right w:val="nil"/>
            </w:tcBorders>
            <w:shd w:val="clear" w:color="auto" w:fill="auto"/>
            <w:noWrap/>
            <w:vAlign w:val="center"/>
            <w:hideMark/>
          </w:tcPr>
          <w:p w14:paraId="593608B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08F99C8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410" w:type="pct"/>
            <w:tcBorders>
              <w:top w:val="nil"/>
              <w:left w:val="nil"/>
              <w:bottom w:val="nil"/>
              <w:right w:val="nil"/>
            </w:tcBorders>
            <w:shd w:val="clear" w:color="auto" w:fill="auto"/>
            <w:noWrap/>
            <w:vAlign w:val="center"/>
            <w:hideMark/>
          </w:tcPr>
          <w:p w14:paraId="6AF7333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92" w:type="pct"/>
            <w:tcBorders>
              <w:top w:val="nil"/>
              <w:left w:val="single" w:sz="4" w:space="0" w:color="auto"/>
              <w:bottom w:val="nil"/>
              <w:right w:val="nil"/>
            </w:tcBorders>
            <w:shd w:val="clear" w:color="auto" w:fill="auto"/>
            <w:noWrap/>
            <w:vAlign w:val="center"/>
            <w:hideMark/>
          </w:tcPr>
          <w:p w14:paraId="2874EA6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474" w:type="pct"/>
            <w:tcBorders>
              <w:top w:val="nil"/>
              <w:left w:val="nil"/>
              <w:bottom w:val="nil"/>
              <w:right w:val="nil"/>
            </w:tcBorders>
            <w:shd w:val="clear" w:color="auto" w:fill="auto"/>
            <w:noWrap/>
            <w:vAlign w:val="center"/>
            <w:hideMark/>
          </w:tcPr>
          <w:p w14:paraId="28520D7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r>
      <w:tr w:rsidR="00942B8B" w:rsidRPr="00606E51" w14:paraId="1F45D28B"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B66824A"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Uribia</w:t>
            </w:r>
          </w:p>
        </w:tc>
        <w:tc>
          <w:tcPr>
            <w:tcW w:w="194" w:type="pct"/>
            <w:tcBorders>
              <w:top w:val="nil"/>
              <w:left w:val="nil"/>
              <w:bottom w:val="nil"/>
              <w:right w:val="nil"/>
            </w:tcBorders>
            <w:shd w:val="clear" w:color="auto" w:fill="auto"/>
            <w:noWrap/>
            <w:vAlign w:val="bottom"/>
            <w:hideMark/>
          </w:tcPr>
          <w:p w14:paraId="26A15189"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15C1C9F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466DD05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DDF4C2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10" w:type="pct"/>
            <w:tcBorders>
              <w:top w:val="nil"/>
              <w:left w:val="nil"/>
              <w:bottom w:val="nil"/>
              <w:right w:val="nil"/>
            </w:tcBorders>
            <w:shd w:val="clear" w:color="auto" w:fill="auto"/>
            <w:noWrap/>
            <w:vAlign w:val="center"/>
            <w:hideMark/>
          </w:tcPr>
          <w:p w14:paraId="7A78B81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043A975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56CC570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8341F8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410" w:type="pct"/>
            <w:tcBorders>
              <w:top w:val="nil"/>
              <w:left w:val="nil"/>
              <w:bottom w:val="nil"/>
              <w:right w:val="nil"/>
            </w:tcBorders>
            <w:shd w:val="clear" w:color="auto" w:fill="auto"/>
            <w:noWrap/>
            <w:vAlign w:val="center"/>
            <w:hideMark/>
          </w:tcPr>
          <w:p w14:paraId="02AB6D4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92" w:type="pct"/>
            <w:tcBorders>
              <w:top w:val="nil"/>
              <w:left w:val="single" w:sz="4" w:space="0" w:color="auto"/>
              <w:bottom w:val="nil"/>
              <w:right w:val="nil"/>
            </w:tcBorders>
            <w:shd w:val="clear" w:color="auto" w:fill="auto"/>
            <w:noWrap/>
            <w:vAlign w:val="center"/>
            <w:hideMark/>
          </w:tcPr>
          <w:p w14:paraId="058BAC1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474" w:type="pct"/>
            <w:tcBorders>
              <w:top w:val="nil"/>
              <w:left w:val="nil"/>
              <w:bottom w:val="nil"/>
              <w:right w:val="nil"/>
            </w:tcBorders>
            <w:shd w:val="clear" w:color="auto" w:fill="auto"/>
            <w:noWrap/>
            <w:vAlign w:val="center"/>
            <w:hideMark/>
          </w:tcPr>
          <w:p w14:paraId="5A558E6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r>
      <w:tr w:rsidR="00942B8B" w:rsidRPr="00606E51" w14:paraId="1E7F6416"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54AAD8B7"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Área</w:t>
            </w:r>
          </w:p>
        </w:tc>
        <w:tc>
          <w:tcPr>
            <w:tcW w:w="194" w:type="pct"/>
            <w:tcBorders>
              <w:top w:val="nil"/>
              <w:left w:val="nil"/>
              <w:bottom w:val="nil"/>
              <w:right w:val="nil"/>
            </w:tcBorders>
            <w:shd w:val="clear" w:color="auto" w:fill="auto"/>
            <w:noWrap/>
            <w:vAlign w:val="bottom"/>
            <w:hideMark/>
          </w:tcPr>
          <w:p w14:paraId="3948C37E"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74</w:t>
            </w:r>
          </w:p>
        </w:tc>
        <w:tc>
          <w:tcPr>
            <w:tcW w:w="333" w:type="pct"/>
            <w:tcBorders>
              <w:top w:val="nil"/>
              <w:left w:val="nil"/>
              <w:bottom w:val="nil"/>
              <w:right w:val="nil"/>
            </w:tcBorders>
            <w:shd w:val="clear" w:color="auto" w:fill="auto"/>
            <w:noWrap/>
            <w:vAlign w:val="center"/>
            <w:hideMark/>
          </w:tcPr>
          <w:p w14:paraId="3780788A"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center"/>
            <w:hideMark/>
          </w:tcPr>
          <w:p w14:paraId="569D0FB6"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6270A131"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15E4BA1B"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02C46778" w14:textId="77777777" w:rsidR="00942B8B" w:rsidRPr="00606E51" w:rsidRDefault="00942B8B" w:rsidP="00BD0EF7">
            <w:pPr>
              <w:jc w:val="cente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center"/>
            <w:hideMark/>
          </w:tcPr>
          <w:p w14:paraId="43C208E9"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05DCB3D5"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7EEBAD0B" w14:textId="77777777" w:rsidR="00942B8B" w:rsidRPr="00606E51" w:rsidRDefault="00942B8B" w:rsidP="00BD0EF7">
            <w:pPr>
              <w:jc w:val="cente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center"/>
            <w:hideMark/>
          </w:tcPr>
          <w:p w14:paraId="325A87D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center"/>
            <w:hideMark/>
          </w:tcPr>
          <w:p w14:paraId="56192A7A" w14:textId="77777777" w:rsidR="00942B8B" w:rsidRPr="00606E51" w:rsidRDefault="00942B8B" w:rsidP="00BD0EF7">
            <w:pPr>
              <w:jc w:val="center"/>
              <w:rPr>
                <w:rFonts w:eastAsia="Times New Roman" w:cs="Times New Roman"/>
                <w:color w:val="000000"/>
                <w:sz w:val="16"/>
                <w:szCs w:val="16"/>
                <w:lang w:val="es-CO" w:eastAsia="es-CO"/>
              </w:rPr>
            </w:pPr>
          </w:p>
        </w:tc>
      </w:tr>
      <w:tr w:rsidR="00942B8B" w:rsidRPr="00606E51" w14:paraId="6FA6E798"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182F6AB3"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Cabecera</w:t>
            </w:r>
          </w:p>
        </w:tc>
        <w:tc>
          <w:tcPr>
            <w:tcW w:w="194" w:type="pct"/>
            <w:tcBorders>
              <w:top w:val="nil"/>
              <w:left w:val="nil"/>
              <w:bottom w:val="nil"/>
              <w:right w:val="nil"/>
            </w:tcBorders>
            <w:shd w:val="clear" w:color="auto" w:fill="auto"/>
            <w:noWrap/>
            <w:vAlign w:val="bottom"/>
            <w:hideMark/>
          </w:tcPr>
          <w:p w14:paraId="6E1D0C2C"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6B68E83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w:t>
            </w:r>
          </w:p>
        </w:tc>
        <w:tc>
          <w:tcPr>
            <w:tcW w:w="395" w:type="pct"/>
            <w:tcBorders>
              <w:top w:val="nil"/>
              <w:left w:val="nil"/>
              <w:bottom w:val="nil"/>
              <w:right w:val="nil"/>
            </w:tcBorders>
            <w:shd w:val="clear" w:color="auto" w:fill="auto"/>
            <w:noWrap/>
            <w:vAlign w:val="center"/>
            <w:hideMark/>
          </w:tcPr>
          <w:p w14:paraId="32A0BBE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nil"/>
              <w:bottom w:val="nil"/>
              <w:right w:val="nil"/>
            </w:tcBorders>
            <w:shd w:val="clear" w:color="auto" w:fill="auto"/>
            <w:noWrap/>
            <w:vAlign w:val="center"/>
            <w:hideMark/>
          </w:tcPr>
          <w:p w14:paraId="5B54680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410" w:type="pct"/>
            <w:tcBorders>
              <w:top w:val="nil"/>
              <w:left w:val="nil"/>
              <w:bottom w:val="nil"/>
              <w:right w:val="nil"/>
            </w:tcBorders>
            <w:shd w:val="clear" w:color="auto" w:fill="auto"/>
            <w:noWrap/>
            <w:vAlign w:val="center"/>
            <w:hideMark/>
          </w:tcPr>
          <w:p w14:paraId="5026A9D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764F18F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53%</w:t>
            </w:r>
          </w:p>
        </w:tc>
        <w:tc>
          <w:tcPr>
            <w:tcW w:w="395" w:type="pct"/>
            <w:tcBorders>
              <w:top w:val="nil"/>
              <w:left w:val="nil"/>
              <w:bottom w:val="nil"/>
              <w:right w:val="nil"/>
            </w:tcBorders>
            <w:shd w:val="clear" w:color="auto" w:fill="auto"/>
            <w:noWrap/>
            <w:vAlign w:val="center"/>
            <w:hideMark/>
          </w:tcPr>
          <w:p w14:paraId="537C9BF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275" w:type="pct"/>
            <w:tcBorders>
              <w:top w:val="nil"/>
              <w:left w:val="nil"/>
              <w:bottom w:val="nil"/>
              <w:right w:val="nil"/>
            </w:tcBorders>
            <w:shd w:val="clear" w:color="auto" w:fill="auto"/>
            <w:noWrap/>
            <w:vAlign w:val="center"/>
            <w:hideMark/>
          </w:tcPr>
          <w:p w14:paraId="6E78E27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31%</w:t>
            </w:r>
          </w:p>
        </w:tc>
        <w:tc>
          <w:tcPr>
            <w:tcW w:w="410" w:type="pct"/>
            <w:tcBorders>
              <w:top w:val="nil"/>
              <w:left w:val="nil"/>
              <w:bottom w:val="nil"/>
              <w:right w:val="nil"/>
            </w:tcBorders>
            <w:shd w:val="clear" w:color="auto" w:fill="auto"/>
            <w:noWrap/>
            <w:vAlign w:val="center"/>
            <w:hideMark/>
          </w:tcPr>
          <w:p w14:paraId="2E95F4B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292" w:type="pct"/>
            <w:tcBorders>
              <w:top w:val="nil"/>
              <w:left w:val="single" w:sz="4" w:space="0" w:color="auto"/>
              <w:bottom w:val="nil"/>
              <w:right w:val="nil"/>
            </w:tcBorders>
            <w:shd w:val="clear" w:color="auto" w:fill="auto"/>
            <w:noWrap/>
            <w:vAlign w:val="center"/>
            <w:hideMark/>
          </w:tcPr>
          <w:p w14:paraId="49D9A43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36%</w:t>
            </w:r>
          </w:p>
        </w:tc>
        <w:tc>
          <w:tcPr>
            <w:tcW w:w="474" w:type="pct"/>
            <w:tcBorders>
              <w:top w:val="nil"/>
              <w:left w:val="nil"/>
              <w:bottom w:val="nil"/>
              <w:right w:val="nil"/>
            </w:tcBorders>
            <w:shd w:val="clear" w:color="auto" w:fill="auto"/>
            <w:noWrap/>
            <w:vAlign w:val="center"/>
            <w:hideMark/>
          </w:tcPr>
          <w:p w14:paraId="3D7C968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r>
      <w:tr w:rsidR="00942B8B" w:rsidRPr="00606E51" w14:paraId="6E6CC025"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10FA169"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Centro poblado</w:t>
            </w:r>
          </w:p>
        </w:tc>
        <w:tc>
          <w:tcPr>
            <w:tcW w:w="194" w:type="pct"/>
            <w:tcBorders>
              <w:top w:val="nil"/>
              <w:left w:val="nil"/>
              <w:bottom w:val="nil"/>
              <w:right w:val="nil"/>
            </w:tcBorders>
            <w:shd w:val="clear" w:color="auto" w:fill="auto"/>
            <w:noWrap/>
            <w:vAlign w:val="bottom"/>
            <w:hideMark/>
          </w:tcPr>
          <w:p w14:paraId="7FB02842"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24057A9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013BD9A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018BDD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10" w:type="pct"/>
            <w:tcBorders>
              <w:top w:val="nil"/>
              <w:left w:val="nil"/>
              <w:bottom w:val="nil"/>
              <w:right w:val="nil"/>
            </w:tcBorders>
            <w:shd w:val="clear" w:color="auto" w:fill="auto"/>
            <w:noWrap/>
            <w:vAlign w:val="center"/>
            <w:hideMark/>
          </w:tcPr>
          <w:p w14:paraId="0038D95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1FF604E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395" w:type="pct"/>
            <w:tcBorders>
              <w:top w:val="nil"/>
              <w:left w:val="nil"/>
              <w:bottom w:val="nil"/>
              <w:right w:val="nil"/>
            </w:tcBorders>
            <w:shd w:val="clear" w:color="auto" w:fill="auto"/>
            <w:noWrap/>
            <w:vAlign w:val="center"/>
            <w:hideMark/>
          </w:tcPr>
          <w:p w14:paraId="3C2774F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50BE84B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410" w:type="pct"/>
            <w:tcBorders>
              <w:top w:val="nil"/>
              <w:left w:val="nil"/>
              <w:bottom w:val="nil"/>
              <w:right w:val="nil"/>
            </w:tcBorders>
            <w:shd w:val="clear" w:color="auto" w:fill="auto"/>
            <w:noWrap/>
            <w:vAlign w:val="center"/>
            <w:hideMark/>
          </w:tcPr>
          <w:p w14:paraId="37F7272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92" w:type="pct"/>
            <w:tcBorders>
              <w:top w:val="nil"/>
              <w:left w:val="single" w:sz="4" w:space="0" w:color="auto"/>
              <w:bottom w:val="nil"/>
              <w:right w:val="nil"/>
            </w:tcBorders>
            <w:shd w:val="clear" w:color="auto" w:fill="auto"/>
            <w:noWrap/>
            <w:vAlign w:val="center"/>
            <w:hideMark/>
          </w:tcPr>
          <w:p w14:paraId="1FA674A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474" w:type="pct"/>
            <w:tcBorders>
              <w:top w:val="nil"/>
              <w:left w:val="nil"/>
              <w:bottom w:val="nil"/>
              <w:right w:val="nil"/>
            </w:tcBorders>
            <w:shd w:val="clear" w:color="auto" w:fill="auto"/>
            <w:noWrap/>
            <w:vAlign w:val="center"/>
            <w:hideMark/>
          </w:tcPr>
          <w:p w14:paraId="4FD661A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r>
      <w:tr w:rsidR="00942B8B" w:rsidRPr="00606E51" w14:paraId="0412FE8C"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5D143709"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Rural</w:t>
            </w:r>
          </w:p>
        </w:tc>
        <w:tc>
          <w:tcPr>
            <w:tcW w:w="194" w:type="pct"/>
            <w:tcBorders>
              <w:top w:val="nil"/>
              <w:left w:val="nil"/>
              <w:bottom w:val="nil"/>
              <w:right w:val="nil"/>
            </w:tcBorders>
            <w:shd w:val="clear" w:color="auto" w:fill="auto"/>
            <w:noWrap/>
            <w:vAlign w:val="bottom"/>
            <w:hideMark/>
          </w:tcPr>
          <w:p w14:paraId="6B904E2D"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1A14027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54%</w:t>
            </w:r>
          </w:p>
        </w:tc>
        <w:tc>
          <w:tcPr>
            <w:tcW w:w="395" w:type="pct"/>
            <w:tcBorders>
              <w:top w:val="nil"/>
              <w:left w:val="nil"/>
              <w:bottom w:val="nil"/>
              <w:right w:val="nil"/>
            </w:tcBorders>
            <w:shd w:val="clear" w:color="auto" w:fill="auto"/>
            <w:noWrap/>
            <w:vAlign w:val="center"/>
            <w:hideMark/>
          </w:tcPr>
          <w:p w14:paraId="0CB0763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68B3D8A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78%</w:t>
            </w:r>
          </w:p>
        </w:tc>
        <w:tc>
          <w:tcPr>
            <w:tcW w:w="410" w:type="pct"/>
            <w:tcBorders>
              <w:top w:val="nil"/>
              <w:left w:val="nil"/>
              <w:bottom w:val="nil"/>
              <w:right w:val="nil"/>
            </w:tcBorders>
            <w:shd w:val="clear" w:color="auto" w:fill="auto"/>
            <w:noWrap/>
            <w:vAlign w:val="center"/>
            <w:hideMark/>
          </w:tcPr>
          <w:p w14:paraId="568C1D4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c>
          <w:tcPr>
            <w:tcW w:w="275" w:type="pct"/>
            <w:tcBorders>
              <w:top w:val="nil"/>
              <w:left w:val="nil"/>
              <w:bottom w:val="nil"/>
              <w:right w:val="nil"/>
            </w:tcBorders>
            <w:shd w:val="clear" w:color="auto" w:fill="auto"/>
            <w:noWrap/>
            <w:vAlign w:val="center"/>
            <w:hideMark/>
          </w:tcPr>
          <w:p w14:paraId="584BB14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35%</w:t>
            </w:r>
          </w:p>
        </w:tc>
        <w:tc>
          <w:tcPr>
            <w:tcW w:w="395" w:type="pct"/>
            <w:tcBorders>
              <w:top w:val="nil"/>
              <w:left w:val="nil"/>
              <w:bottom w:val="nil"/>
              <w:right w:val="nil"/>
            </w:tcBorders>
            <w:shd w:val="clear" w:color="auto" w:fill="auto"/>
            <w:noWrap/>
            <w:vAlign w:val="center"/>
            <w:hideMark/>
          </w:tcPr>
          <w:p w14:paraId="6ADD39D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nil"/>
              <w:bottom w:val="nil"/>
              <w:right w:val="nil"/>
            </w:tcBorders>
            <w:shd w:val="clear" w:color="auto" w:fill="auto"/>
            <w:noWrap/>
            <w:vAlign w:val="center"/>
            <w:hideMark/>
          </w:tcPr>
          <w:p w14:paraId="44003A9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58%</w:t>
            </w:r>
          </w:p>
        </w:tc>
        <w:tc>
          <w:tcPr>
            <w:tcW w:w="410" w:type="pct"/>
            <w:tcBorders>
              <w:top w:val="nil"/>
              <w:left w:val="nil"/>
              <w:bottom w:val="nil"/>
              <w:right w:val="nil"/>
            </w:tcBorders>
            <w:shd w:val="clear" w:color="auto" w:fill="auto"/>
            <w:noWrap/>
            <w:vAlign w:val="center"/>
            <w:hideMark/>
          </w:tcPr>
          <w:p w14:paraId="57D515F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292" w:type="pct"/>
            <w:tcBorders>
              <w:top w:val="nil"/>
              <w:left w:val="single" w:sz="4" w:space="0" w:color="auto"/>
              <w:bottom w:val="nil"/>
              <w:right w:val="nil"/>
            </w:tcBorders>
            <w:shd w:val="clear" w:color="auto" w:fill="auto"/>
            <w:noWrap/>
            <w:vAlign w:val="center"/>
            <w:hideMark/>
          </w:tcPr>
          <w:p w14:paraId="24B86D6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57%</w:t>
            </w:r>
          </w:p>
        </w:tc>
        <w:tc>
          <w:tcPr>
            <w:tcW w:w="474" w:type="pct"/>
            <w:tcBorders>
              <w:top w:val="nil"/>
              <w:left w:val="nil"/>
              <w:bottom w:val="nil"/>
              <w:right w:val="nil"/>
            </w:tcBorders>
            <w:shd w:val="clear" w:color="auto" w:fill="auto"/>
            <w:noWrap/>
            <w:vAlign w:val="center"/>
            <w:hideMark/>
          </w:tcPr>
          <w:p w14:paraId="524A365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42</w:t>
            </w:r>
          </w:p>
        </w:tc>
      </w:tr>
      <w:tr w:rsidR="00942B8B" w:rsidRPr="00606E51" w14:paraId="4DE6B5FB"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67BC0604"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Edad (años)</w:t>
            </w:r>
          </w:p>
        </w:tc>
        <w:tc>
          <w:tcPr>
            <w:tcW w:w="194" w:type="pct"/>
            <w:tcBorders>
              <w:top w:val="nil"/>
              <w:left w:val="nil"/>
              <w:bottom w:val="nil"/>
              <w:right w:val="nil"/>
            </w:tcBorders>
            <w:shd w:val="clear" w:color="auto" w:fill="auto"/>
            <w:noWrap/>
            <w:vAlign w:val="bottom"/>
            <w:hideMark/>
          </w:tcPr>
          <w:p w14:paraId="333FBA65"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74</w:t>
            </w:r>
          </w:p>
        </w:tc>
        <w:tc>
          <w:tcPr>
            <w:tcW w:w="333" w:type="pct"/>
            <w:tcBorders>
              <w:top w:val="nil"/>
              <w:left w:val="nil"/>
              <w:bottom w:val="nil"/>
              <w:right w:val="nil"/>
            </w:tcBorders>
            <w:shd w:val="clear" w:color="auto" w:fill="auto"/>
            <w:noWrap/>
            <w:vAlign w:val="center"/>
            <w:hideMark/>
          </w:tcPr>
          <w:p w14:paraId="2EDE8098"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center"/>
            <w:hideMark/>
          </w:tcPr>
          <w:p w14:paraId="28F82122"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521BEDFE"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1485FE8B"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7382E918" w14:textId="77777777" w:rsidR="00942B8B" w:rsidRPr="00606E51" w:rsidRDefault="00942B8B" w:rsidP="00BD0EF7">
            <w:pPr>
              <w:jc w:val="cente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center"/>
            <w:hideMark/>
          </w:tcPr>
          <w:p w14:paraId="00352C51"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2F1D6CD"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62CA32DD" w14:textId="77777777" w:rsidR="00942B8B" w:rsidRPr="00606E51" w:rsidRDefault="00942B8B" w:rsidP="00BD0EF7">
            <w:pPr>
              <w:jc w:val="cente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center"/>
            <w:hideMark/>
          </w:tcPr>
          <w:p w14:paraId="020E3FE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center"/>
            <w:hideMark/>
          </w:tcPr>
          <w:p w14:paraId="77B74BE0" w14:textId="77777777" w:rsidR="00942B8B" w:rsidRPr="00606E51" w:rsidRDefault="00942B8B" w:rsidP="00BD0EF7">
            <w:pPr>
              <w:jc w:val="center"/>
              <w:rPr>
                <w:rFonts w:eastAsia="Times New Roman" w:cs="Times New Roman"/>
                <w:color w:val="000000"/>
                <w:sz w:val="16"/>
                <w:szCs w:val="16"/>
                <w:lang w:val="es-CO" w:eastAsia="es-CO"/>
              </w:rPr>
            </w:pPr>
          </w:p>
        </w:tc>
      </w:tr>
      <w:tr w:rsidR="00942B8B" w:rsidRPr="00606E51" w14:paraId="39B264A7"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26E0346E"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194" w:type="pct"/>
            <w:tcBorders>
              <w:top w:val="nil"/>
              <w:left w:val="nil"/>
              <w:bottom w:val="nil"/>
              <w:right w:val="nil"/>
            </w:tcBorders>
            <w:shd w:val="clear" w:color="auto" w:fill="auto"/>
            <w:noWrap/>
            <w:vAlign w:val="bottom"/>
            <w:hideMark/>
          </w:tcPr>
          <w:p w14:paraId="02481610"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22831CD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38%</w:t>
            </w:r>
          </w:p>
        </w:tc>
        <w:tc>
          <w:tcPr>
            <w:tcW w:w="395" w:type="pct"/>
            <w:tcBorders>
              <w:top w:val="nil"/>
              <w:left w:val="nil"/>
              <w:bottom w:val="nil"/>
              <w:right w:val="nil"/>
            </w:tcBorders>
            <w:shd w:val="clear" w:color="auto" w:fill="auto"/>
            <w:noWrap/>
            <w:vAlign w:val="center"/>
            <w:hideMark/>
          </w:tcPr>
          <w:p w14:paraId="1AF5F9F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275" w:type="pct"/>
            <w:tcBorders>
              <w:top w:val="nil"/>
              <w:left w:val="nil"/>
              <w:bottom w:val="nil"/>
              <w:right w:val="nil"/>
            </w:tcBorders>
            <w:shd w:val="clear" w:color="auto" w:fill="auto"/>
            <w:noWrap/>
            <w:vAlign w:val="center"/>
            <w:hideMark/>
          </w:tcPr>
          <w:p w14:paraId="69842AE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410" w:type="pct"/>
            <w:tcBorders>
              <w:top w:val="nil"/>
              <w:left w:val="nil"/>
              <w:bottom w:val="nil"/>
              <w:right w:val="nil"/>
            </w:tcBorders>
            <w:shd w:val="clear" w:color="auto" w:fill="auto"/>
            <w:noWrap/>
            <w:vAlign w:val="center"/>
            <w:hideMark/>
          </w:tcPr>
          <w:p w14:paraId="0E6E275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32E855D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29%</w:t>
            </w:r>
          </w:p>
        </w:tc>
        <w:tc>
          <w:tcPr>
            <w:tcW w:w="395" w:type="pct"/>
            <w:tcBorders>
              <w:top w:val="nil"/>
              <w:left w:val="nil"/>
              <w:bottom w:val="nil"/>
              <w:right w:val="nil"/>
            </w:tcBorders>
            <w:shd w:val="clear" w:color="auto" w:fill="auto"/>
            <w:noWrap/>
            <w:vAlign w:val="center"/>
            <w:hideMark/>
          </w:tcPr>
          <w:p w14:paraId="163261D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275" w:type="pct"/>
            <w:tcBorders>
              <w:top w:val="nil"/>
              <w:left w:val="nil"/>
              <w:bottom w:val="nil"/>
              <w:right w:val="nil"/>
            </w:tcBorders>
            <w:shd w:val="clear" w:color="auto" w:fill="auto"/>
            <w:noWrap/>
            <w:vAlign w:val="center"/>
            <w:hideMark/>
          </w:tcPr>
          <w:p w14:paraId="25E0402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410" w:type="pct"/>
            <w:tcBorders>
              <w:top w:val="nil"/>
              <w:left w:val="nil"/>
              <w:bottom w:val="nil"/>
              <w:right w:val="nil"/>
            </w:tcBorders>
            <w:shd w:val="clear" w:color="auto" w:fill="auto"/>
            <w:noWrap/>
            <w:vAlign w:val="center"/>
            <w:hideMark/>
          </w:tcPr>
          <w:p w14:paraId="270B251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92" w:type="pct"/>
            <w:tcBorders>
              <w:top w:val="nil"/>
              <w:left w:val="single" w:sz="4" w:space="0" w:color="auto"/>
              <w:bottom w:val="nil"/>
              <w:right w:val="nil"/>
            </w:tcBorders>
            <w:shd w:val="clear" w:color="auto" w:fill="auto"/>
            <w:noWrap/>
            <w:vAlign w:val="center"/>
            <w:hideMark/>
          </w:tcPr>
          <w:p w14:paraId="7199B66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474" w:type="pct"/>
            <w:tcBorders>
              <w:top w:val="nil"/>
              <w:left w:val="nil"/>
              <w:bottom w:val="nil"/>
              <w:right w:val="nil"/>
            </w:tcBorders>
            <w:shd w:val="clear" w:color="auto" w:fill="auto"/>
            <w:noWrap/>
            <w:vAlign w:val="center"/>
            <w:hideMark/>
          </w:tcPr>
          <w:p w14:paraId="30F81E6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r>
      <w:tr w:rsidR="00942B8B" w:rsidRPr="00606E51" w14:paraId="5E91E5EA"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0BCC2659"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194" w:type="pct"/>
            <w:tcBorders>
              <w:top w:val="nil"/>
              <w:left w:val="nil"/>
              <w:bottom w:val="nil"/>
              <w:right w:val="nil"/>
            </w:tcBorders>
            <w:shd w:val="clear" w:color="auto" w:fill="auto"/>
            <w:noWrap/>
            <w:vAlign w:val="bottom"/>
            <w:hideMark/>
          </w:tcPr>
          <w:p w14:paraId="31E7E958"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28EF939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31%</w:t>
            </w:r>
          </w:p>
        </w:tc>
        <w:tc>
          <w:tcPr>
            <w:tcW w:w="395" w:type="pct"/>
            <w:tcBorders>
              <w:top w:val="nil"/>
              <w:left w:val="nil"/>
              <w:bottom w:val="nil"/>
              <w:right w:val="nil"/>
            </w:tcBorders>
            <w:shd w:val="clear" w:color="auto" w:fill="auto"/>
            <w:noWrap/>
            <w:vAlign w:val="center"/>
            <w:hideMark/>
          </w:tcPr>
          <w:p w14:paraId="09FE9BD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07AC7A1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56%</w:t>
            </w:r>
          </w:p>
        </w:tc>
        <w:tc>
          <w:tcPr>
            <w:tcW w:w="410" w:type="pct"/>
            <w:tcBorders>
              <w:top w:val="nil"/>
              <w:left w:val="nil"/>
              <w:bottom w:val="nil"/>
              <w:right w:val="nil"/>
            </w:tcBorders>
            <w:shd w:val="clear" w:color="auto" w:fill="auto"/>
            <w:noWrap/>
            <w:vAlign w:val="center"/>
            <w:hideMark/>
          </w:tcPr>
          <w:p w14:paraId="7ED4A40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275" w:type="pct"/>
            <w:tcBorders>
              <w:top w:val="nil"/>
              <w:left w:val="nil"/>
              <w:bottom w:val="nil"/>
              <w:right w:val="nil"/>
            </w:tcBorders>
            <w:shd w:val="clear" w:color="auto" w:fill="auto"/>
            <w:noWrap/>
            <w:vAlign w:val="center"/>
            <w:hideMark/>
          </w:tcPr>
          <w:p w14:paraId="3EA5EBC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35%</w:t>
            </w:r>
          </w:p>
        </w:tc>
        <w:tc>
          <w:tcPr>
            <w:tcW w:w="395" w:type="pct"/>
            <w:tcBorders>
              <w:top w:val="nil"/>
              <w:left w:val="nil"/>
              <w:bottom w:val="nil"/>
              <w:right w:val="nil"/>
            </w:tcBorders>
            <w:shd w:val="clear" w:color="auto" w:fill="auto"/>
            <w:noWrap/>
            <w:vAlign w:val="center"/>
            <w:hideMark/>
          </w:tcPr>
          <w:p w14:paraId="7E51EF9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nil"/>
              <w:bottom w:val="nil"/>
              <w:right w:val="nil"/>
            </w:tcBorders>
            <w:shd w:val="clear" w:color="auto" w:fill="auto"/>
            <w:noWrap/>
            <w:vAlign w:val="center"/>
            <w:hideMark/>
          </w:tcPr>
          <w:p w14:paraId="2861D26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w:t>
            </w:r>
          </w:p>
        </w:tc>
        <w:tc>
          <w:tcPr>
            <w:tcW w:w="410" w:type="pct"/>
            <w:tcBorders>
              <w:top w:val="nil"/>
              <w:left w:val="nil"/>
              <w:bottom w:val="nil"/>
              <w:right w:val="nil"/>
            </w:tcBorders>
            <w:shd w:val="clear" w:color="auto" w:fill="auto"/>
            <w:noWrap/>
            <w:vAlign w:val="center"/>
            <w:hideMark/>
          </w:tcPr>
          <w:p w14:paraId="4BD1327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292" w:type="pct"/>
            <w:tcBorders>
              <w:top w:val="nil"/>
              <w:left w:val="single" w:sz="4" w:space="0" w:color="auto"/>
              <w:bottom w:val="nil"/>
              <w:right w:val="nil"/>
            </w:tcBorders>
            <w:shd w:val="clear" w:color="auto" w:fill="auto"/>
            <w:noWrap/>
            <w:vAlign w:val="center"/>
            <w:hideMark/>
          </w:tcPr>
          <w:p w14:paraId="338943B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43%</w:t>
            </w:r>
          </w:p>
        </w:tc>
        <w:tc>
          <w:tcPr>
            <w:tcW w:w="474" w:type="pct"/>
            <w:tcBorders>
              <w:top w:val="nil"/>
              <w:left w:val="nil"/>
              <w:bottom w:val="nil"/>
              <w:right w:val="nil"/>
            </w:tcBorders>
            <w:shd w:val="clear" w:color="auto" w:fill="auto"/>
            <w:noWrap/>
            <w:vAlign w:val="center"/>
            <w:hideMark/>
          </w:tcPr>
          <w:p w14:paraId="33F87AF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w:t>
            </w:r>
          </w:p>
        </w:tc>
      </w:tr>
      <w:tr w:rsidR="00942B8B" w:rsidRPr="00606E51" w14:paraId="756952FC"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1E2E24D7"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194" w:type="pct"/>
            <w:tcBorders>
              <w:top w:val="nil"/>
              <w:left w:val="nil"/>
              <w:bottom w:val="nil"/>
              <w:right w:val="nil"/>
            </w:tcBorders>
            <w:shd w:val="clear" w:color="auto" w:fill="auto"/>
            <w:noWrap/>
            <w:vAlign w:val="bottom"/>
            <w:hideMark/>
          </w:tcPr>
          <w:p w14:paraId="6B4815FC"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4780422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w:t>
            </w:r>
          </w:p>
        </w:tc>
        <w:tc>
          <w:tcPr>
            <w:tcW w:w="395" w:type="pct"/>
            <w:tcBorders>
              <w:top w:val="nil"/>
              <w:left w:val="nil"/>
              <w:bottom w:val="nil"/>
              <w:right w:val="nil"/>
            </w:tcBorders>
            <w:shd w:val="clear" w:color="auto" w:fill="auto"/>
            <w:noWrap/>
            <w:vAlign w:val="center"/>
            <w:hideMark/>
          </w:tcPr>
          <w:p w14:paraId="1E75E73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2C352E0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410" w:type="pct"/>
            <w:tcBorders>
              <w:top w:val="nil"/>
              <w:left w:val="nil"/>
              <w:bottom w:val="nil"/>
              <w:right w:val="nil"/>
            </w:tcBorders>
            <w:shd w:val="clear" w:color="auto" w:fill="auto"/>
            <w:noWrap/>
            <w:vAlign w:val="center"/>
            <w:hideMark/>
          </w:tcPr>
          <w:p w14:paraId="0F32DF9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2DB7732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w:t>
            </w:r>
          </w:p>
        </w:tc>
        <w:tc>
          <w:tcPr>
            <w:tcW w:w="395" w:type="pct"/>
            <w:tcBorders>
              <w:top w:val="nil"/>
              <w:left w:val="nil"/>
              <w:bottom w:val="nil"/>
              <w:right w:val="nil"/>
            </w:tcBorders>
            <w:shd w:val="clear" w:color="auto" w:fill="auto"/>
            <w:noWrap/>
            <w:vAlign w:val="center"/>
            <w:hideMark/>
          </w:tcPr>
          <w:p w14:paraId="71CA535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79EC5A8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410" w:type="pct"/>
            <w:tcBorders>
              <w:top w:val="nil"/>
              <w:left w:val="nil"/>
              <w:bottom w:val="nil"/>
              <w:right w:val="nil"/>
            </w:tcBorders>
            <w:shd w:val="clear" w:color="auto" w:fill="auto"/>
            <w:noWrap/>
            <w:vAlign w:val="center"/>
            <w:hideMark/>
          </w:tcPr>
          <w:p w14:paraId="7B5A5ED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292" w:type="pct"/>
            <w:tcBorders>
              <w:top w:val="nil"/>
              <w:left w:val="single" w:sz="4" w:space="0" w:color="auto"/>
              <w:bottom w:val="nil"/>
              <w:right w:val="nil"/>
            </w:tcBorders>
            <w:shd w:val="clear" w:color="auto" w:fill="auto"/>
            <w:noWrap/>
            <w:vAlign w:val="center"/>
            <w:hideMark/>
          </w:tcPr>
          <w:p w14:paraId="54F5179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474" w:type="pct"/>
            <w:tcBorders>
              <w:top w:val="nil"/>
              <w:left w:val="nil"/>
              <w:bottom w:val="nil"/>
              <w:right w:val="nil"/>
            </w:tcBorders>
            <w:shd w:val="clear" w:color="auto" w:fill="auto"/>
            <w:noWrap/>
            <w:vAlign w:val="center"/>
            <w:hideMark/>
          </w:tcPr>
          <w:p w14:paraId="5996488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r>
      <w:tr w:rsidR="00942B8B" w:rsidRPr="00606E51" w14:paraId="01D9AE45"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64A1759F"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194" w:type="pct"/>
            <w:tcBorders>
              <w:top w:val="nil"/>
              <w:left w:val="nil"/>
              <w:bottom w:val="nil"/>
              <w:right w:val="nil"/>
            </w:tcBorders>
            <w:shd w:val="clear" w:color="auto" w:fill="auto"/>
            <w:noWrap/>
            <w:vAlign w:val="bottom"/>
            <w:hideMark/>
          </w:tcPr>
          <w:p w14:paraId="212A3A24"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6C0547B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395" w:type="pct"/>
            <w:tcBorders>
              <w:top w:val="nil"/>
              <w:left w:val="nil"/>
              <w:bottom w:val="nil"/>
              <w:right w:val="nil"/>
            </w:tcBorders>
            <w:shd w:val="clear" w:color="auto" w:fill="auto"/>
            <w:noWrap/>
            <w:vAlign w:val="center"/>
            <w:hideMark/>
          </w:tcPr>
          <w:p w14:paraId="219C88F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0D3EB3E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410" w:type="pct"/>
            <w:tcBorders>
              <w:top w:val="nil"/>
              <w:left w:val="nil"/>
              <w:bottom w:val="nil"/>
              <w:right w:val="nil"/>
            </w:tcBorders>
            <w:shd w:val="clear" w:color="auto" w:fill="auto"/>
            <w:noWrap/>
            <w:vAlign w:val="center"/>
            <w:hideMark/>
          </w:tcPr>
          <w:p w14:paraId="3988BF1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4E18DB0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395" w:type="pct"/>
            <w:tcBorders>
              <w:top w:val="nil"/>
              <w:left w:val="nil"/>
              <w:bottom w:val="nil"/>
              <w:right w:val="nil"/>
            </w:tcBorders>
            <w:shd w:val="clear" w:color="auto" w:fill="auto"/>
            <w:noWrap/>
            <w:vAlign w:val="center"/>
            <w:hideMark/>
          </w:tcPr>
          <w:p w14:paraId="2A989D4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3BD6639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410" w:type="pct"/>
            <w:tcBorders>
              <w:top w:val="nil"/>
              <w:left w:val="nil"/>
              <w:bottom w:val="nil"/>
              <w:right w:val="nil"/>
            </w:tcBorders>
            <w:shd w:val="clear" w:color="auto" w:fill="auto"/>
            <w:noWrap/>
            <w:vAlign w:val="center"/>
            <w:hideMark/>
          </w:tcPr>
          <w:p w14:paraId="2AB6830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92" w:type="pct"/>
            <w:tcBorders>
              <w:top w:val="nil"/>
              <w:left w:val="single" w:sz="4" w:space="0" w:color="auto"/>
              <w:bottom w:val="nil"/>
              <w:right w:val="nil"/>
            </w:tcBorders>
            <w:shd w:val="clear" w:color="auto" w:fill="auto"/>
            <w:noWrap/>
            <w:vAlign w:val="center"/>
            <w:hideMark/>
          </w:tcPr>
          <w:p w14:paraId="36CE473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474" w:type="pct"/>
            <w:tcBorders>
              <w:top w:val="nil"/>
              <w:left w:val="nil"/>
              <w:bottom w:val="nil"/>
              <w:right w:val="nil"/>
            </w:tcBorders>
            <w:shd w:val="clear" w:color="auto" w:fill="auto"/>
            <w:noWrap/>
            <w:vAlign w:val="center"/>
            <w:hideMark/>
          </w:tcPr>
          <w:p w14:paraId="228FCDD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r>
      <w:tr w:rsidR="00942B8B" w:rsidRPr="00606E51" w14:paraId="7739B27A"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16FF40C5"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lastRenderedPageBreak/>
              <w:t>4</w:t>
            </w:r>
          </w:p>
        </w:tc>
        <w:tc>
          <w:tcPr>
            <w:tcW w:w="194" w:type="pct"/>
            <w:tcBorders>
              <w:top w:val="nil"/>
              <w:left w:val="nil"/>
              <w:bottom w:val="nil"/>
              <w:right w:val="nil"/>
            </w:tcBorders>
            <w:shd w:val="clear" w:color="auto" w:fill="auto"/>
            <w:noWrap/>
            <w:vAlign w:val="bottom"/>
            <w:hideMark/>
          </w:tcPr>
          <w:p w14:paraId="596485C8"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006D2DB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nil"/>
              <w:right w:val="nil"/>
            </w:tcBorders>
            <w:shd w:val="clear" w:color="auto" w:fill="auto"/>
            <w:noWrap/>
            <w:vAlign w:val="center"/>
            <w:hideMark/>
          </w:tcPr>
          <w:p w14:paraId="777E7F3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4AE36FB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410" w:type="pct"/>
            <w:tcBorders>
              <w:top w:val="nil"/>
              <w:left w:val="nil"/>
              <w:bottom w:val="nil"/>
              <w:right w:val="nil"/>
            </w:tcBorders>
            <w:shd w:val="clear" w:color="auto" w:fill="auto"/>
            <w:noWrap/>
            <w:vAlign w:val="center"/>
            <w:hideMark/>
          </w:tcPr>
          <w:p w14:paraId="1241CC4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0146588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395" w:type="pct"/>
            <w:tcBorders>
              <w:top w:val="nil"/>
              <w:left w:val="nil"/>
              <w:bottom w:val="nil"/>
              <w:right w:val="nil"/>
            </w:tcBorders>
            <w:shd w:val="clear" w:color="auto" w:fill="auto"/>
            <w:noWrap/>
            <w:vAlign w:val="center"/>
            <w:hideMark/>
          </w:tcPr>
          <w:p w14:paraId="02BEBDE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6A885415"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410" w:type="pct"/>
            <w:tcBorders>
              <w:top w:val="nil"/>
              <w:left w:val="nil"/>
              <w:bottom w:val="nil"/>
              <w:right w:val="nil"/>
            </w:tcBorders>
            <w:shd w:val="clear" w:color="auto" w:fill="auto"/>
            <w:noWrap/>
            <w:vAlign w:val="center"/>
            <w:hideMark/>
          </w:tcPr>
          <w:p w14:paraId="0B0E971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92" w:type="pct"/>
            <w:tcBorders>
              <w:top w:val="nil"/>
              <w:left w:val="single" w:sz="4" w:space="0" w:color="auto"/>
              <w:bottom w:val="nil"/>
              <w:right w:val="nil"/>
            </w:tcBorders>
            <w:shd w:val="clear" w:color="auto" w:fill="auto"/>
            <w:noWrap/>
            <w:vAlign w:val="center"/>
            <w:hideMark/>
          </w:tcPr>
          <w:p w14:paraId="49C5FB7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474" w:type="pct"/>
            <w:tcBorders>
              <w:top w:val="nil"/>
              <w:left w:val="nil"/>
              <w:bottom w:val="nil"/>
              <w:right w:val="nil"/>
            </w:tcBorders>
            <w:shd w:val="clear" w:color="auto" w:fill="auto"/>
            <w:noWrap/>
            <w:vAlign w:val="center"/>
            <w:hideMark/>
          </w:tcPr>
          <w:p w14:paraId="4B4D802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r>
      <w:tr w:rsidR="00942B8B" w:rsidRPr="00606E51" w14:paraId="1A270846"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B80E482"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Menores de 5 meses</w:t>
            </w:r>
          </w:p>
        </w:tc>
        <w:tc>
          <w:tcPr>
            <w:tcW w:w="194" w:type="pct"/>
            <w:tcBorders>
              <w:top w:val="nil"/>
              <w:left w:val="nil"/>
              <w:bottom w:val="nil"/>
              <w:right w:val="nil"/>
            </w:tcBorders>
            <w:shd w:val="clear" w:color="auto" w:fill="auto"/>
            <w:noWrap/>
            <w:vAlign w:val="bottom"/>
            <w:hideMark/>
          </w:tcPr>
          <w:p w14:paraId="1ACB488A"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74</w:t>
            </w:r>
          </w:p>
        </w:tc>
        <w:tc>
          <w:tcPr>
            <w:tcW w:w="333" w:type="pct"/>
            <w:tcBorders>
              <w:top w:val="nil"/>
              <w:left w:val="nil"/>
              <w:bottom w:val="nil"/>
              <w:right w:val="nil"/>
            </w:tcBorders>
            <w:shd w:val="clear" w:color="auto" w:fill="auto"/>
            <w:noWrap/>
            <w:vAlign w:val="center"/>
            <w:hideMark/>
          </w:tcPr>
          <w:p w14:paraId="03AA8C9C"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center"/>
            <w:hideMark/>
          </w:tcPr>
          <w:p w14:paraId="40E0F22C"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0B74FFD"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638453C1"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668E11D1" w14:textId="77777777" w:rsidR="00942B8B" w:rsidRPr="00606E51" w:rsidRDefault="00942B8B" w:rsidP="00BD0EF7">
            <w:pPr>
              <w:jc w:val="cente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center"/>
            <w:hideMark/>
          </w:tcPr>
          <w:p w14:paraId="734E5EAE"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20933EA9"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4BD7A034" w14:textId="77777777" w:rsidR="00942B8B" w:rsidRPr="00606E51" w:rsidRDefault="00942B8B" w:rsidP="00BD0EF7">
            <w:pPr>
              <w:jc w:val="cente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center"/>
            <w:hideMark/>
          </w:tcPr>
          <w:p w14:paraId="2A29B75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center"/>
            <w:hideMark/>
          </w:tcPr>
          <w:p w14:paraId="1D6A82C2" w14:textId="77777777" w:rsidR="00942B8B" w:rsidRPr="00606E51" w:rsidRDefault="00942B8B" w:rsidP="00BD0EF7">
            <w:pPr>
              <w:jc w:val="center"/>
              <w:rPr>
                <w:rFonts w:eastAsia="Times New Roman" w:cs="Times New Roman"/>
                <w:color w:val="000000"/>
                <w:sz w:val="16"/>
                <w:szCs w:val="16"/>
                <w:lang w:val="es-CO" w:eastAsia="es-CO"/>
              </w:rPr>
            </w:pPr>
          </w:p>
        </w:tc>
      </w:tr>
      <w:tr w:rsidR="00942B8B" w:rsidRPr="00606E51" w14:paraId="7EB49BE8"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667516F5"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194" w:type="pct"/>
            <w:tcBorders>
              <w:top w:val="nil"/>
              <w:left w:val="nil"/>
              <w:bottom w:val="nil"/>
              <w:right w:val="nil"/>
            </w:tcBorders>
            <w:shd w:val="clear" w:color="auto" w:fill="auto"/>
            <w:noWrap/>
            <w:vAlign w:val="bottom"/>
            <w:hideMark/>
          </w:tcPr>
          <w:p w14:paraId="34FE9151"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2519A1E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69%</w:t>
            </w:r>
          </w:p>
        </w:tc>
        <w:tc>
          <w:tcPr>
            <w:tcW w:w="395" w:type="pct"/>
            <w:tcBorders>
              <w:top w:val="nil"/>
              <w:left w:val="nil"/>
              <w:bottom w:val="nil"/>
              <w:right w:val="nil"/>
            </w:tcBorders>
            <w:shd w:val="clear" w:color="auto" w:fill="auto"/>
            <w:noWrap/>
            <w:vAlign w:val="center"/>
            <w:hideMark/>
          </w:tcPr>
          <w:p w14:paraId="6363D2D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275" w:type="pct"/>
            <w:tcBorders>
              <w:top w:val="nil"/>
              <w:left w:val="nil"/>
              <w:bottom w:val="nil"/>
              <w:right w:val="nil"/>
            </w:tcBorders>
            <w:shd w:val="clear" w:color="auto" w:fill="auto"/>
            <w:noWrap/>
            <w:vAlign w:val="center"/>
            <w:hideMark/>
          </w:tcPr>
          <w:p w14:paraId="079D1C8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89%</w:t>
            </w:r>
          </w:p>
        </w:tc>
        <w:tc>
          <w:tcPr>
            <w:tcW w:w="410" w:type="pct"/>
            <w:tcBorders>
              <w:top w:val="nil"/>
              <w:left w:val="nil"/>
              <w:bottom w:val="nil"/>
              <w:right w:val="nil"/>
            </w:tcBorders>
            <w:shd w:val="clear" w:color="auto" w:fill="auto"/>
            <w:noWrap/>
            <w:vAlign w:val="center"/>
            <w:hideMark/>
          </w:tcPr>
          <w:p w14:paraId="315B983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275" w:type="pct"/>
            <w:tcBorders>
              <w:top w:val="nil"/>
              <w:left w:val="nil"/>
              <w:bottom w:val="nil"/>
              <w:right w:val="nil"/>
            </w:tcBorders>
            <w:shd w:val="clear" w:color="auto" w:fill="auto"/>
            <w:noWrap/>
            <w:vAlign w:val="center"/>
            <w:hideMark/>
          </w:tcPr>
          <w:p w14:paraId="21EB72E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71%</w:t>
            </w:r>
          </w:p>
        </w:tc>
        <w:tc>
          <w:tcPr>
            <w:tcW w:w="395" w:type="pct"/>
            <w:tcBorders>
              <w:top w:val="nil"/>
              <w:left w:val="nil"/>
              <w:bottom w:val="nil"/>
              <w:right w:val="nil"/>
            </w:tcBorders>
            <w:shd w:val="clear" w:color="auto" w:fill="auto"/>
            <w:noWrap/>
            <w:vAlign w:val="center"/>
            <w:hideMark/>
          </w:tcPr>
          <w:p w14:paraId="60A3406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275" w:type="pct"/>
            <w:tcBorders>
              <w:top w:val="nil"/>
              <w:left w:val="nil"/>
              <w:bottom w:val="nil"/>
              <w:right w:val="nil"/>
            </w:tcBorders>
            <w:shd w:val="clear" w:color="auto" w:fill="auto"/>
            <w:noWrap/>
            <w:vAlign w:val="center"/>
            <w:hideMark/>
          </w:tcPr>
          <w:p w14:paraId="71EBD79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w:t>
            </w:r>
          </w:p>
        </w:tc>
        <w:tc>
          <w:tcPr>
            <w:tcW w:w="410" w:type="pct"/>
            <w:tcBorders>
              <w:top w:val="nil"/>
              <w:left w:val="nil"/>
              <w:bottom w:val="nil"/>
              <w:right w:val="nil"/>
            </w:tcBorders>
            <w:shd w:val="clear" w:color="auto" w:fill="auto"/>
            <w:noWrap/>
            <w:vAlign w:val="center"/>
            <w:hideMark/>
          </w:tcPr>
          <w:p w14:paraId="7FBA799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w:t>
            </w:r>
          </w:p>
        </w:tc>
        <w:tc>
          <w:tcPr>
            <w:tcW w:w="292" w:type="pct"/>
            <w:tcBorders>
              <w:top w:val="nil"/>
              <w:left w:val="single" w:sz="4" w:space="0" w:color="auto"/>
              <w:bottom w:val="nil"/>
              <w:right w:val="nil"/>
            </w:tcBorders>
            <w:shd w:val="clear" w:color="auto" w:fill="auto"/>
            <w:noWrap/>
            <w:vAlign w:val="center"/>
            <w:hideMark/>
          </w:tcPr>
          <w:p w14:paraId="2FD7AFD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81%</w:t>
            </w:r>
          </w:p>
        </w:tc>
        <w:tc>
          <w:tcPr>
            <w:tcW w:w="474" w:type="pct"/>
            <w:tcBorders>
              <w:top w:val="nil"/>
              <w:left w:val="nil"/>
              <w:bottom w:val="nil"/>
              <w:right w:val="nil"/>
            </w:tcBorders>
            <w:shd w:val="clear" w:color="auto" w:fill="auto"/>
            <w:noWrap/>
            <w:vAlign w:val="center"/>
            <w:hideMark/>
          </w:tcPr>
          <w:p w14:paraId="008162B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60</w:t>
            </w:r>
          </w:p>
        </w:tc>
      </w:tr>
      <w:tr w:rsidR="00942B8B" w:rsidRPr="00606E51" w14:paraId="672E90D3"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71CE1189"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194" w:type="pct"/>
            <w:tcBorders>
              <w:top w:val="nil"/>
              <w:left w:val="nil"/>
              <w:bottom w:val="nil"/>
              <w:right w:val="nil"/>
            </w:tcBorders>
            <w:shd w:val="clear" w:color="auto" w:fill="auto"/>
            <w:noWrap/>
            <w:vAlign w:val="bottom"/>
            <w:hideMark/>
          </w:tcPr>
          <w:p w14:paraId="09839CB3"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191F301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31%</w:t>
            </w:r>
          </w:p>
        </w:tc>
        <w:tc>
          <w:tcPr>
            <w:tcW w:w="395" w:type="pct"/>
            <w:tcBorders>
              <w:top w:val="nil"/>
              <w:left w:val="nil"/>
              <w:bottom w:val="nil"/>
              <w:right w:val="nil"/>
            </w:tcBorders>
            <w:shd w:val="clear" w:color="auto" w:fill="auto"/>
            <w:noWrap/>
            <w:vAlign w:val="center"/>
            <w:hideMark/>
          </w:tcPr>
          <w:p w14:paraId="5C8554A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020E34A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410" w:type="pct"/>
            <w:tcBorders>
              <w:top w:val="nil"/>
              <w:left w:val="nil"/>
              <w:bottom w:val="nil"/>
              <w:right w:val="nil"/>
            </w:tcBorders>
            <w:shd w:val="clear" w:color="auto" w:fill="auto"/>
            <w:noWrap/>
            <w:vAlign w:val="center"/>
            <w:hideMark/>
          </w:tcPr>
          <w:p w14:paraId="7606F9A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04A3853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29%</w:t>
            </w:r>
          </w:p>
        </w:tc>
        <w:tc>
          <w:tcPr>
            <w:tcW w:w="395" w:type="pct"/>
            <w:tcBorders>
              <w:top w:val="nil"/>
              <w:left w:val="nil"/>
              <w:bottom w:val="nil"/>
              <w:right w:val="nil"/>
            </w:tcBorders>
            <w:shd w:val="clear" w:color="auto" w:fill="auto"/>
            <w:noWrap/>
            <w:vAlign w:val="center"/>
            <w:hideMark/>
          </w:tcPr>
          <w:p w14:paraId="103A2C6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275" w:type="pct"/>
            <w:tcBorders>
              <w:top w:val="nil"/>
              <w:left w:val="nil"/>
              <w:bottom w:val="nil"/>
              <w:right w:val="nil"/>
            </w:tcBorders>
            <w:shd w:val="clear" w:color="auto" w:fill="auto"/>
            <w:noWrap/>
            <w:vAlign w:val="center"/>
            <w:hideMark/>
          </w:tcPr>
          <w:p w14:paraId="22C73A3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410" w:type="pct"/>
            <w:tcBorders>
              <w:top w:val="nil"/>
              <w:left w:val="nil"/>
              <w:bottom w:val="nil"/>
              <w:right w:val="nil"/>
            </w:tcBorders>
            <w:shd w:val="clear" w:color="auto" w:fill="auto"/>
            <w:noWrap/>
            <w:vAlign w:val="center"/>
            <w:hideMark/>
          </w:tcPr>
          <w:p w14:paraId="50107FE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92" w:type="pct"/>
            <w:tcBorders>
              <w:top w:val="nil"/>
              <w:left w:val="single" w:sz="4" w:space="0" w:color="auto"/>
              <w:bottom w:val="nil"/>
              <w:right w:val="nil"/>
            </w:tcBorders>
            <w:shd w:val="clear" w:color="auto" w:fill="auto"/>
            <w:noWrap/>
            <w:vAlign w:val="center"/>
            <w:hideMark/>
          </w:tcPr>
          <w:p w14:paraId="2406D44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474" w:type="pct"/>
            <w:tcBorders>
              <w:top w:val="nil"/>
              <w:left w:val="nil"/>
              <w:bottom w:val="nil"/>
              <w:right w:val="nil"/>
            </w:tcBorders>
            <w:shd w:val="clear" w:color="auto" w:fill="auto"/>
            <w:noWrap/>
            <w:vAlign w:val="center"/>
            <w:hideMark/>
          </w:tcPr>
          <w:p w14:paraId="350A4CB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r>
      <w:tr w:rsidR="00942B8B" w:rsidRPr="00606E51" w14:paraId="006938A6"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0076E844"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Sexo</w:t>
            </w:r>
          </w:p>
        </w:tc>
        <w:tc>
          <w:tcPr>
            <w:tcW w:w="194" w:type="pct"/>
            <w:tcBorders>
              <w:top w:val="nil"/>
              <w:left w:val="nil"/>
              <w:bottom w:val="nil"/>
              <w:right w:val="nil"/>
            </w:tcBorders>
            <w:shd w:val="clear" w:color="auto" w:fill="auto"/>
            <w:noWrap/>
            <w:vAlign w:val="bottom"/>
            <w:hideMark/>
          </w:tcPr>
          <w:p w14:paraId="6CB9249C"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74</w:t>
            </w:r>
          </w:p>
        </w:tc>
        <w:tc>
          <w:tcPr>
            <w:tcW w:w="333" w:type="pct"/>
            <w:tcBorders>
              <w:top w:val="nil"/>
              <w:left w:val="nil"/>
              <w:bottom w:val="nil"/>
              <w:right w:val="nil"/>
            </w:tcBorders>
            <w:shd w:val="clear" w:color="auto" w:fill="auto"/>
            <w:noWrap/>
            <w:vAlign w:val="center"/>
            <w:hideMark/>
          </w:tcPr>
          <w:p w14:paraId="15BE5F73"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center"/>
            <w:hideMark/>
          </w:tcPr>
          <w:p w14:paraId="436077A6"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66DAEFF9"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78350709"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255BCD79" w14:textId="77777777" w:rsidR="00942B8B" w:rsidRPr="00606E51" w:rsidRDefault="00942B8B" w:rsidP="00BD0EF7">
            <w:pPr>
              <w:jc w:val="cente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center"/>
            <w:hideMark/>
          </w:tcPr>
          <w:p w14:paraId="4DE64F55"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77E4872"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62AE0BB6" w14:textId="77777777" w:rsidR="00942B8B" w:rsidRPr="00606E51" w:rsidRDefault="00942B8B" w:rsidP="00BD0EF7">
            <w:pPr>
              <w:jc w:val="cente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center"/>
            <w:hideMark/>
          </w:tcPr>
          <w:p w14:paraId="4A043E3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center"/>
            <w:hideMark/>
          </w:tcPr>
          <w:p w14:paraId="1FD318C0" w14:textId="77777777" w:rsidR="00942B8B" w:rsidRPr="00606E51" w:rsidRDefault="00942B8B" w:rsidP="00BD0EF7">
            <w:pPr>
              <w:jc w:val="center"/>
              <w:rPr>
                <w:rFonts w:eastAsia="Times New Roman" w:cs="Times New Roman"/>
                <w:color w:val="000000"/>
                <w:sz w:val="16"/>
                <w:szCs w:val="16"/>
                <w:lang w:val="es-CO" w:eastAsia="es-CO"/>
              </w:rPr>
            </w:pPr>
          </w:p>
        </w:tc>
      </w:tr>
      <w:tr w:rsidR="00942B8B" w:rsidRPr="00606E51" w14:paraId="1B3A5FF8"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5FAEE2F0"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F</w:t>
            </w:r>
          </w:p>
        </w:tc>
        <w:tc>
          <w:tcPr>
            <w:tcW w:w="194" w:type="pct"/>
            <w:tcBorders>
              <w:top w:val="nil"/>
              <w:left w:val="nil"/>
              <w:bottom w:val="nil"/>
              <w:right w:val="nil"/>
            </w:tcBorders>
            <w:shd w:val="clear" w:color="auto" w:fill="auto"/>
            <w:noWrap/>
            <w:vAlign w:val="bottom"/>
            <w:hideMark/>
          </w:tcPr>
          <w:p w14:paraId="5344F897"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1801943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w:t>
            </w:r>
          </w:p>
        </w:tc>
        <w:tc>
          <w:tcPr>
            <w:tcW w:w="395" w:type="pct"/>
            <w:tcBorders>
              <w:top w:val="nil"/>
              <w:left w:val="nil"/>
              <w:bottom w:val="nil"/>
              <w:right w:val="nil"/>
            </w:tcBorders>
            <w:shd w:val="clear" w:color="auto" w:fill="auto"/>
            <w:noWrap/>
            <w:vAlign w:val="center"/>
            <w:hideMark/>
          </w:tcPr>
          <w:p w14:paraId="0F9F05C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nil"/>
              <w:bottom w:val="nil"/>
              <w:right w:val="nil"/>
            </w:tcBorders>
            <w:shd w:val="clear" w:color="auto" w:fill="auto"/>
            <w:noWrap/>
            <w:vAlign w:val="center"/>
            <w:hideMark/>
          </w:tcPr>
          <w:p w14:paraId="62AC6A7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56%</w:t>
            </w:r>
          </w:p>
        </w:tc>
        <w:tc>
          <w:tcPr>
            <w:tcW w:w="410" w:type="pct"/>
            <w:tcBorders>
              <w:top w:val="nil"/>
              <w:left w:val="nil"/>
              <w:bottom w:val="nil"/>
              <w:right w:val="nil"/>
            </w:tcBorders>
            <w:shd w:val="clear" w:color="auto" w:fill="auto"/>
            <w:noWrap/>
            <w:vAlign w:val="center"/>
            <w:hideMark/>
          </w:tcPr>
          <w:p w14:paraId="0B7C6D2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275" w:type="pct"/>
            <w:tcBorders>
              <w:top w:val="nil"/>
              <w:left w:val="nil"/>
              <w:bottom w:val="nil"/>
              <w:right w:val="nil"/>
            </w:tcBorders>
            <w:shd w:val="clear" w:color="auto" w:fill="auto"/>
            <w:noWrap/>
            <w:vAlign w:val="center"/>
            <w:hideMark/>
          </w:tcPr>
          <w:p w14:paraId="3F738366"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59%</w:t>
            </w:r>
          </w:p>
        </w:tc>
        <w:tc>
          <w:tcPr>
            <w:tcW w:w="395" w:type="pct"/>
            <w:tcBorders>
              <w:top w:val="nil"/>
              <w:left w:val="nil"/>
              <w:bottom w:val="nil"/>
              <w:right w:val="nil"/>
            </w:tcBorders>
            <w:shd w:val="clear" w:color="auto" w:fill="auto"/>
            <w:noWrap/>
            <w:vAlign w:val="center"/>
            <w:hideMark/>
          </w:tcPr>
          <w:p w14:paraId="4D84B5E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275" w:type="pct"/>
            <w:tcBorders>
              <w:top w:val="nil"/>
              <w:left w:val="nil"/>
              <w:bottom w:val="nil"/>
              <w:right w:val="nil"/>
            </w:tcBorders>
            <w:shd w:val="clear" w:color="auto" w:fill="auto"/>
            <w:noWrap/>
            <w:vAlign w:val="center"/>
            <w:hideMark/>
          </w:tcPr>
          <w:p w14:paraId="7743FEB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w:t>
            </w:r>
          </w:p>
        </w:tc>
        <w:tc>
          <w:tcPr>
            <w:tcW w:w="410" w:type="pct"/>
            <w:tcBorders>
              <w:top w:val="nil"/>
              <w:left w:val="nil"/>
              <w:bottom w:val="nil"/>
              <w:right w:val="nil"/>
            </w:tcBorders>
            <w:shd w:val="clear" w:color="auto" w:fill="auto"/>
            <w:noWrap/>
            <w:vAlign w:val="center"/>
            <w:hideMark/>
          </w:tcPr>
          <w:p w14:paraId="068FA67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292" w:type="pct"/>
            <w:tcBorders>
              <w:top w:val="nil"/>
              <w:left w:val="single" w:sz="4" w:space="0" w:color="auto"/>
              <w:bottom w:val="nil"/>
              <w:right w:val="nil"/>
            </w:tcBorders>
            <w:shd w:val="clear" w:color="auto" w:fill="auto"/>
            <w:noWrap/>
            <w:vAlign w:val="center"/>
            <w:hideMark/>
          </w:tcPr>
          <w:p w14:paraId="4FF22A5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474" w:type="pct"/>
            <w:tcBorders>
              <w:top w:val="nil"/>
              <w:left w:val="nil"/>
              <w:bottom w:val="nil"/>
              <w:right w:val="nil"/>
            </w:tcBorders>
            <w:shd w:val="clear" w:color="auto" w:fill="auto"/>
            <w:noWrap/>
            <w:vAlign w:val="center"/>
            <w:hideMark/>
          </w:tcPr>
          <w:p w14:paraId="184E9F1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38</w:t>
            </w:r>
          </w:p>
        </w:tc>
      </w:tr>
      <w:tr w:rsidR="00942B8B" w:rsidRPr="00606E51" w14:paraId="7CC0978D"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2980776D"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M</w:t>
            </w:r>
          </w:p>
        </w:tc>
        <w:tc>
          <w:tcPr>
            <w:tcW w:w="194" w:type="pct"/>
            <w:tcBorders>
              <w:top w:val="nil"/>
              <w:left w:val="nil"/>
              <w:bottom w:val="nil"/>
              <w:right w:val="nil"/>
            </w:tcBorders>
            <w:shd w:val="clear" w:color="auto" w:fill="auto"/>
            <w:noWrap/>
            <w:vAlign w:val="bottom"/>
            <w:hideMark/>
          </w:tcPr>
          <w:p w14:paraId="40724B44" w14:textId="77777777" w:rsidR="00942B8B" w:rsidRPr="00606E51" w:rsidRDefault="00942B8B" w:rsidP="00BD0EF7">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333" w:type="pct"/>
            <w:tcBorders>
              <w:top w:val="nil"/>
              <w:left w:val="nil"/>
              <w:bottom w:val="nil"/>
              <w:right w:val="nil"/>
            </w:tcBorders>
            <w:shd w:val="clear" w:color="auto" w:fill="auto"/>
            <w:noWrap/>
            <w:vAlign w:val="center"/>
            <w:hideMark/>
          </w:tcPr>
          <w:p w14:paraId="7BBE522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54%</w:t>
            </w:r>
          </w:p>
        </w:tc>
        <w:tc>
          <w:tcPr>
            <w:tcW w:w="395" w:type="pct"/>
            <w:tcBorders>
              <w:top w:val="nil"/>
              <w:left w:val="nil"/>
              <w:bottom w:val="nil"/>
              <w:right w:val="nil"/>
            </w:tcBorders>
            <w:shd w:val="clear" w:color="auto" w:fill="auto"/>
            <w:noWrap/>
            <w:vAlign w:val="center"/>
            <w:hideMark/>
          </w:tcPr>
          <w:p w14:paraId="4F62BC4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19DE7B8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44%</w:t>
            </w:r>
          </w:p>
        </w:tc>
        <w:tc>
          <w:tcPr>
            <w:tcW w:w="410" w:type="pct"/>
            <w:tcBorders>
              <w:top w:val="nil"/>
              <w:left w:val="nil"/>
              <w:bottom w:val="nil"/>
              <w:right w:val="nil"/>
            </w:tcBorders>
            <w:shd w:val="clear" w:color="auto" w:fill="auto"/>
            <w:noWrap/>
            <w:vAlign w:val="center"/>
            <w:hideMark/>
          </w:tcPr>
          <w:p w14:paraId="07352A8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c>
          <w:tcPr>
            <w:tcW w:w="275" w:type="pct"/>
            <w:tcBorders>
              <w:top w:val="nil"/>
              <w:left w:val="nil"/>
              <w:bottom w:val="nil"/>
              <w:right w:val="nil"/>
            </w:tcBorders>
            <w:shd w:val="clear" w:color="auto" w:fill="auto"/>
            <w:noWrap/>
            <w:vAlign w:val="center"/>
            <w:hideMark/>
          </w:tcPr>
          <w:p w14:paraId="1DAC6F8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41%</w:t>
            </w:r>
          </w:p>
        </w:tc>
        <w:tc>
          <w:tcPr>
            <w:tcW w:w="395" w:type="pct"/>
            <w:tcBorders>
              <w:top w:val="nil"/>
              <w:left w:val="nil"/>
              <w:bottom w:val="nil"/>
              <w:right w:val="nil"/>
            </w:tcBorders>
            <w:shd w:val="clear" w:color="auto" w:fill="auto"/>
            <w:noWrap/>
            <w:vAlign w:val="center"/>
            <w:hideMark/>
          </w:tcPr>
          <w:p w14:paraId="7B3E7D2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27534FF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54%</w:t>
            </w:r>
          </w:p>
        </w:tc>
        <w:tc>
          <w:tcPr>
            <w:tcW w:w="410" w:type="pct"/>
            <w:tcBorders>
              <w:top w:val="nil"/>
              <w:left w:val="nil"/>
              <w:bottom w:val="nil"/>
              <w:right w:val="nil"/>
            </w:tcBorders>
            <w:shd w:val="clear" w:color="auto" w:fill="auto"/>
            <w:noWrap/>
            <w:vAlign w:val="center"/>
            <w:hideMark/>
          </w:tcPr>
          <w:p w14:paraId="422F0BF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w:t>
            </w:r>
          </w:p>
        </w:tc>
        <w:tc>
          <w:tcPr>
            <w:tcW w:w="292" w:type="pct"/>
            <w:tcBorders>
              <w:top w:val="nil"/>
              <w:left w:val="single" w:sz="4" w:space="0" w:color="auto"/>
              <w:bottom w:val="nil"/>
              <w:right w:val="nil"/>
            </w:tcBorders>
            <w:shd w:val="clear" w:color="auto" w:fill="auto"/>
            <w:noWrap/>
            <w:vAlign w:val="center"/>
            <w:hideMark/>
          </w:tcPr>
          <w:p w14:paraId="21EA279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w:t>
            </w:r>
          </w:p>
        </w:tc>
        <w:tc>
          <w:tcPr>
            <w:tcW w:w="474" w:type="pct"/>
            <w:tcBorders>
              <w:top w:val="nil"/>
              <w:left w:val="nil"/>
              <w:bottom w:val="nil"/>
              <w:right w:val="nil"/>
            </w:tcBorders>
            <w:shd w:val="clear" w:color="auto" w:fill="auto"/>
            <w:noWrap/>
            <w:vAlign w:val="center"/>
            <w:hideMark/>
          </w:tcPr>
          <w:p w14:paraId="2EFEB70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36</w:t>
            </w:r>
          </w:p>
        </w:tc>
      </w:tr>
      <w:tr w:rsidR="00942B8B" w:rsidRPr="00606E51" w14:paraId="4ACE79F0"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038300C6" w14:textId="77777777" w:rsidR="00942B8B" w:rsidRPr="00606E51" w:rsidRDefault="00942B8B" w:rsidP="00BD0EF7">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Hospitalizado</w:t>
            </w:r>
          </w:p>
        </w:tc>
        <w:tc>
          <w:tcPr>
            <w:tcW w:w="194" w:type="pct"/>
            <w:tcBorders>
              <w:top w:val="nil"/>
              <w:left w:val="nil"/>
              <w:bottom w:val="nil"/>
              <w:right w:val="nil"/>
            </w:tcBorders>
            <w:shd w:val="clear" w:color="auto" w:fill="auto"/>
            <w:noWrap/>
            <w:vAlign w:val="bottom"/>
            <w:hideMark/>
          </w:tcPr>
          <w:p w14:paraId="53C16BD8" w14:textId="77777777" w:rsidR="00942B8B" w:rsidRPr="00606E51" w:rsidRDefault="00942B8B" w:rsidP="00BD0EF7">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74</w:t>
            </w:r>
          </w:p>
        </w:tc>
        <w:tc>
          <w:tcPr>
            <w:tcW w:w="333" w:type="pct"/>
            <w:tcBorders>
              <w:top w:val="nil"/>
              <w:left w:val="nil"/>
              <w:bottom w:val="nil"/>
              <w:right w:val="nil"/>
            </w:tcBorders>
            <w:shd w:val="clear" w:color="auto" w:fill="auto"/>
            <w:noWrap/>
            <w:vAlign w:val="center"/>
            <w:hideMark/>
          </w:tcPr>
          <w:p w14:paraId="3E5314FC" w14:textId="77777777" w:rsidR="00942B8B" w:rsidRPr="00606E51" w:rsidRDefault="00942B8B" w:rsidP="00BD0EF7">
            <w:pPr>
              <w:jc w:val="right"/>
              <w:rPr>
                <w:rFonts w:eastAsia="Times New Roman" w:cs="Times New Roman"/>
                <w:color w:val="000000"/>
                <w:sz w:val="16"/>
                <w:szCs w:val="16"/>
                <w:lang w:val="es-CO" w:eastAsia="es-CO"/>
              </w:rPr>
            </w:pPr>
          </w:p>
        </w:tc>
        <w:tc>
          <w:tcPr>
            <w:tcW w:w="395" w:type="pct"/>
            <w:tcBorders>
              <w:top w:val="nil"/>
              <w:left w:val="nil"/>
              <w:bottom w:val="nil"/>
              <w:right w:val="nil"/>
            </w:tcBorders>
            <w:shd w:val="clear" w:color="auto" w:fill="auto"/>
            <w:noWrap/>
            <w:vAlign w:val="center"/>
            <w:hideMark/>
          </w:tcPr>
          <w:p w14:paraId="1458E762"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31B15A4B"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7BE1B1DB"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C710AC2" w14:textId="77777777" w:rsidR="00942B8B" w:rsidRPr="00606E51" w:rsidRDefault="00942B8B" w:rsidP="00BD0EF7">
            <w:pPr>
              <w:jc w:val="center"/>
              <w:rPr>
                <w:rFonts w:eastAsia="Times New Roman" w:cs="Times New Roman"/>
                <w:sz w:val="16"/>
                <w:szCs w:val="16"/>
                <w:lang w:val="es-CO" w:eastAsia="es-CO"/>
              </w:rPr>
            </w:pPr>
          </w:p>
        </w:tc>
        <w:tc>
          <w:tcPr>
            <w:tcW w:w="395" w:type="pct"/>
            <w:tcBorders>
              <w:top w:val="nil"/>
              <w:left w:val="nil"/>
              <w:bottom w:val="nil"/>
              <w:right w:val="nil"/>
            </w:tcBorders>
            <w:shd w:val="clear" w:color="auto" w:fill="auto"/>
            <w:noWrap/>
            <w:vAlign w:val="center"/>
            <w:hideMark/>
          </w:tcPr>
          <w:p w14:paraId="37B6730B" w14:textId="77777777" w:rsidR="00942B8B" w:rsidRPr="00606E51" w:rsidRDefault="00942B8B" w:rsidP="00BD0EF7">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6D683A2B" w14:textId="77777777" w:rsidR="00942B8B" w:rsidRPr="00606E51" w:rsidRDefault="00942B8B" w:rsidP="00BD0EF7">
            <w:pPr>
              <w:jc w:val="center"/>
              <w:rPr>
                <w:rFonts w:eastAsia="Times New Roman" w:cs="Times New Roman"/>
                <w:sz w:val="16"/>
                <w:szCs w:val="16"/>
                <w:lang w:val="es-CO" w:eastAsia="es-CO"/>
              </w:rPr>
            </w:pPr>
          </w:p>
        </w:tc>
        <w:tc>
          <w:tcPr>
            <w:tcW w:w="410" w:type="pct"/>
            <w:tcBorders>
              <w:top w:val="nil"/>
              <w:left w:val="nil"/>
              <w:bottom w:val="nil"/>
              <w:right w:val="nil"/>
            </w:tcBorders>
            <w:shd w:val="clear" w:color="auto" w:fill="auto"/>
            <w:noWrap/>
            <w:vAlign w:val="center"/>
            <w:hideMark/>
          </w:tcPr>
          <w:p w14:paraId="528C8745" w14:textId="77777777" w:rsidR="00942B8B" w:rsidRPr="00606E51" w:rsidRDefault="00942B8B" w:rsidP="00BD0EF7">
            <w:pPr>
              <w:jc w:val="center"/>
              <w:rPr>
                <w:rFonts w:eastAsia="Times New Roman" w:cs="Times New Roman"/>
                <w:sz w:val="16"/>
                <w:szCs w:val="16"/>
                <w:lang w:val="es-CO" w:eastAsia="es-CO"/>
              </w:rPr>
            </w:pPr>
          </w:p>
        </w:tc>
        <w:tc>
          <w:tcPr>
            <w:tcW w:w="292" w:type="pct"/>
            <w:tcBorders>
              <w:top w:val="nil"/>
              <w:left w:val="single" w:sz="4" w:space="0" w:color="auto"/>
              <w:bottom w:val="nil"/>
              <w:right w:val="nil"/>
            </w:tcBorders>
            <w:shd w:val="clear" w:color="auto" w:fill="auto"/>
            <w:noWrap/>
            <w:vAlign w:val="center"/>
            <w:hideMark/>
          </w:tcPr>
          <w:p w14:paraId="742E417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474" w:type="pct"/>
            <w:tcBorders>
              <w:top w:val="nil"/>
              <w:left w:val="nil"/>
              <w:bottom w:val="nil"/>
              <w:right w:val="nil"/>
            </w:tcBorders>
            <w:shd w:val="clear" w:color="auto" w:fill="auto"/>
            <w:noWrap/>
            <w:vAlign w:val="center"/>
            <w:hideMark/>
          </w:tcPr>
          <w:p w14:paraId="2D91BB62" w14:textId="77777777" w:rsidR="00942B8B" w:rsidRPr="00606E51" w:rsidRDefault="00942B8B" w:rsidP="00BD0EF7">
            <w:pPr>
              <w:jc w:val="center"/>
              <w:rPr>
                <w:rFonts w:eastAsia="Times New Roman" w:cs="Times New Roman"/>
                <w:color w:val="000000"/>
                <w:sz w:val="16"/>
                <w:szCs w:val="16"/>
                <w:lang w:val="es-CO" w:eastAsia="es-CO"/>
              </w:rPr>
            </w:pPr>
          </w:p>
        </w:tc>
      </w:tr>
      <w:tr w:rsidR="00942B8B" w:rsidRPr="00606E51" w14:paraId="5A318FC5" w14:textId="77777777" w:rsidTr="00BD0EF7">
        <w:trPr>
          <w:trHeight w:val="20"/>
          <w:jc w:val="center"/>
        </w:trPr>
        <w:tc>
          <w:tcPr>
            <w:tcW w:w="1273" w:type="pct"/>
            <w:tcBorders>
              <w:top w:val="nil"/>
              <w:left w:val="nil"/>
              <w:bottom w:val="nil"/>
              <w:right w:val="nil"/>
            </w:tcBorders>
            <w:shd w:val="clear" w:color="auto" w:fill="auto"/>
            <w:noWrap/>
            <w:vAlign w:val="bottom"/>
            <w:hideMark/>
          </w:tcPr>
          <w:p w14:paraId="6E28D622"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194" w:type="pct"/>
            <w:tcBorders>
              <w:top w:val="nil"/>
              <w:left w:val="nil"/>
              <w:bottom w:val="nil"/>
              <w:right w:val="nil"/>
            </w:tcBorders>
            <w:shd w:val="clear" w:color="auto" w:fill="auto"/>
            <w:noWrap/>
            <w:vAlign w:val="bottom"/>
            <w:hideMark/>
          </w:tcPr>
          <w:p w14:paraId="2FABD069" w14:textId="77777777" w:rsidR="00942B8B" w:rsidRPr="00606E51" w:rsidRDefault="00942B8B" w:rsidP="00BD0EF7">
            <w:pPr>
              <w:ind w:firstLineChars="100" w:firstLine="160"/>
              <w:rPr>
                <w:rFonts w:eastAsia="Times New Roman" w:cs="Times New Roman"/>
                <w:color w:val="000000"/>
                <w:sz w:val="16"/>
                <w:szCs w:val="16"/>
                <w:lang w:val="es-CO" w:eastAsia="es-CO"/>
              </w:rPr>
            </w:pPr>
          </w:p>
        </w:tc>
        <w:tc>
          <w:tcPr>
            <w:tcW w:w="333" w:type="pct"/>
            <w:tcBorders>
              <w:top w:val="nil"/>
              <w:left w:val="nil"/>
              <w:bottom w:val="nil"/>
              <w:right w:val="nil"/>
            </w:tcBorders>
            <w:shd w:val="clear" w:color="auto" w:fill="auto"/>
            <w:noWrap/>
            <w:vAlign w:val="center"/>
            <w:hideMark/>
          </w:tcPr>
          <w:p w14:paraId="6D6721E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395" w:type="pct"/>
            <w:tcBorders>
              <w:top w:val="nil"/>
              <w:left w:val="nil"/>
              <w:bottom w:val="nil"/>
              <w:right w:val="nil"/>
            </w:tcBorders>
            <w:shd w:val="clear" w:color="auto" w:fill="auto"/>
            <w:noWrap/>
            <w:vAlign w:val="center"/>
            <w:hideMark/>
          </w:tcPr>
          <w:p w14:paraId="288DCD34"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275" w:type="pct"/>
            <w:tcBorders>
              <w:top w:val="nil"/>
              <w:left w:val="nil"/>
              <w:bottom w:val="nil"/>
              <w:right w:val="nil"/>
            </w:tcBorders>
            <w:shd w:val="clear" w:color="auto" w:fill="auto"/>
            <w:noWrap/>
            <w:vAlign w:val="center"/>
            <w:hideMark/>
          </w:tcPr>
          <w:p w14:paraId="630615A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83%</w:t>
            </w:r>
          </w:p>
        </w:tc>
        <w:tc>
          <w:tcPr>
            <w:tcW w:w="410" w:type="pct"/>
            <w:tcBorders>
              <w:top w:val="nil"/>
              <w:left w:val="nil"/>
              <w:bottom w:val="nil"/>
              <w:right w:val="nil"/>
            </w:tcBorders>
            <w:shd w:val="clear" w:color="auto" w:fill="auto"/>
            <w:noWrap/>
            <w:vAlign w:val="center"/>
            <w:hideMark/>
          </w:tcPr>
          <w:p w14:paraId="7B78EE92"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275" w:type="pct"/>
            <w:tcBorders>
              <w:top w:val="nil"/>
              <w:left w:val="nil"/>
              <w:bottom w:val="nil"/>
              <w:right w:val="nil"/>
            </w:tcBorders>
            <w:shd w:val="clear" w:color="auto" w:fill="auto"/>
            <w:noWrap/>
            <w:vAlign w:val="center"/>
            <w:hideMark/>
          </w:tcPr>
          <w:p w14:paraId="6965478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76%</w:t>
            </w:r>
          </w:p>
        </w:tc>
        <w:tc>
          <w:tcPr>
            <w:tcW w:w="395" w:type="pct"/>
            <w:tcBorders>
              <w:top w:val="nil"/>
              <w:left w:val="nil"/>
              <w:bottom w:val="nil"/>
              <w:right w:val="nil"/>
            </w:tcBorders>
            <w:shd w:val="clear" w:color="auto" w:fill="auto"/>
            <w:noWrap/>
            <w:vAlign w:val="center"/>
            <w:hideMark/>
          </w:tcPr>
          <w:p w14:paraId="6D75126D"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275" w:type="pct"/>
            <w:tcBorders>
              <w:top w:val="nil"/>
              <w:left w:val="nil"/>
              <w:bottom w:val="nil"/>
              <w:right w:val="nil"/>
            </w:tcBorders>
            <w:shd w:val="clear" w:color="auto" w:fill="auto"/>
            <w:noWrap/>
            <w:vAlign w:val="center"/>
            <w:hideMark/>
          </w:tcPr>
          <w:p w14:paraId="3F50D56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96%</w:t>
            </w:r>
          </w:p>
        </w:tc>
        <w:tc>
          <w:tcPr>
            <w:tcW w:w="410" w:type="pct"/>
            <w:tcBorders>
              <w:top w:val="nil"/>
              <w:left w:val="nil"/>
              <w:bottom w:val="nil"/>
              <w:right w:val="nil"/>
            </w:tcBorders>
            <w:shd w:val="clear" w:color="auto" w:fill="auto"/>
            <w:noWrap/>
            <w:vAlign w:val="center"/>
            <w:hideMark/>
          </w:tcPr>
          <w:p w14:paraId="1B16FF2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25</w:t>
            </w:r>
          </w:p>
        </w:tc>
        <w:tc>
          <w:tcPr>
            <w:tcW w:w="292" w:type="pct"/>
            <w:tcBorders>
              <w:top w:val="nil"/>
              <w:left w:val="single" w:sz="4" w:space="0" w:color="auto"/>
              <w:bottom w:val="nil"/>
              <w:right w:val="nil"/>
            </w:tcBorders>
            <w:shd w:val="clear" w:color="auto" w:fill="auto"/>
            <w:noWrap/>
            <w:vAlign w:val="center"/>
            <w:hideMark/>
          </w:tcPr>
          <w:p w14:paraId="5C461F07"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89%</w:t>
            </w:r>
          </w:p>
        </w:tc>
        <w:tc>
          <w:tcPr>
            <w:tcW w:w="474" w:type="pct"/>
            <w:tcBorders>
              <w:top w:val="nil"/>
              <w:left w:val="nil"/>
              <w:bottom w:val="nil"/>
              <w:right w:val="nil"/>
            </w:tcBorders>
            <w:shd w:val="clear" w:color="auto" w:fill="auto"/>
            <w:noWrap/>
            <w:vAlign w:val="center"/>
            <w:hideMark/>
          </w:tcPr>
          <w:p w14:paraId="0921366C"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66</w:t>
            </w:r>
          </w:p>
        </w:tc>
      </w:tr>
      <w:tr w:rsidR="00942B8B" w:rsidRPr="00606E51" w14:paraId="7E22EC6F" w14:textId="77777777" w:rsidTr="00BD0EF7">
        <w:trPr>
          <w:trHeight w:val="20"/>
          <w:jc w:val="center"/>
        </w:trPr>
        <w:tc>
          <w:tcPr>
            <w:tcW w:w="1273" w:type="pct"/>
            <w:tcBorders>
              <w:top w:val="nil"/>
              <w:left w:val="nil"/>
              <w:bottom w:val="single" w:sz="4" w:space="0" w:color="auto"/>
              <w:right w:val="nil"/>
            </w:tcBorders>
            <w:shd w:val="clear" w:color="auto" w:fill="auto"/>
            <w:noWrap/>
            <w:vAlign w:val="bottom"/>
            <w:hideMark/>
          </w:tcPr>
          <w:p w14:paraId="3A655DCC" w14:textId="77777777" w:rsidR="00942B8B" w:rsidRPr="00606E51" w:rsidRDefault="00942B8B" w:rsidP="00BD0EF7">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194" w:type="pct"/>
            <w:tcBorders>
              <w:top w:val="nil"/>
              <w:left w:val="nil"/>
              <w:bottom w:val="single" w:sz="4" w:space="0" w:color="auto"/>
              <w:right w:val="nil"/>
            </w:tcBorders>
            <w:shd w:val="clear" w:color="auto" w:fill="auto"/>
            <w:noWrap/>
            <w:vAlign w:val="center"/>
            <w:hideMark/>
          </w:tcPr>
          <w:p w14:paraId="5DCC1DCB"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333" w:type="pct"/>
            <w:tcBorders>
              <w:top w:val="nil"/>
              <w:left w:val="nil"/>
              <w:bottom w:val="single" w:sz="4" w:space="0" w:color="auto"/>
              <w:right w:val="nil"/>
            </w:tcBorders>
            <w:shd w:val="clear" w:color="auto" w:fill="auto"/>
            <w:noWrap/>
            <w:vAlign w:val="center"/>
            <w:hideMark/>
          </w:tcPr>
          <w:p w14:paraId="7A9FE7E8"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95" w:type="pct"/>
            <w:tcBorders>
              <w:top w:val="nil"/>
              <w:left w:val="nil"/>
              <w:bottom w:val="single" w:sz="4" w:space="0" w:color="auto"/>
              <w:right w:val="nil"/>
            </w:tcBorders>
            <w:shd w:val="clear" w:color="auto" w:fill="auto"/>
            <w:noWrap/>
            <w:vAlign w:val="center"/>
            <w:hideMark/>
          </w:tcPr>
          <w:p w14:paraId="6390B673"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single" w:sz="4" w:space="0" w:color="auto"/>
              <w:right w:val="nil"/>
            </w:tcBorders>
            <w:shd w:val="clear" w:color="auto" w:fill="auto"/>
            <w:noWrap/>
            <w:vAlign w:val="center"/>
            <w:hideMark/>
          </w:tcPr>
          <w:p w14:paraId="41B44DB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410" w:type="pct"/>
            <w:tcBorders>
              <w:top w:val="nil"/>
              <w:left w:val="nil"/>
              <w:bottom w:val="single" w:sz="4" w:space="0" w:color="auto"/>
              <w:right w:val="nil"/>
            </w:tcBorders>
            <w:shd w:val="clear" w:color="auto" w:fill="auto"/>
            <w:noWrap/>
            <w:vAlign w:val="center"/>
            <w:hideMark/>
          </w:tcPr>
          <w:p w14:paraId="3D155911"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single" w:sz="4" w:space="0" w:color="auto"/>
              <w:right w:val="nil"/>
            </w:tcBorders>
            <w:shd w:val="clear" w:color="auto" w:fill="auto"/>
            <w:noWrap/>
            <w:vAlign w:val="center"/>
            <w:hideMark/>
          </w:tcPr>
          <w:p w14:paraId="7706ABE0"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24%</w:t>
            </w:r>
          </w:p>
        </w:tc>
        <w:tc>
          <w:tcPr>
            <w:tcW w:w="395" w:type="pct"/>
            <w:tcBorders>
              <w:top w:val="nil"/>
              <w:left w:val="nil"/>
              <w:bottom w:val="single" w:sz="4" w:space="0" w:color="auto"/>
              <w:right w:val="nil"/>
            </w:tcBorders>
            <w:shd w:val="clear" w:color="auto" w:fill="auto"/>
            <w:noWrap/>
            <w:vAlign w:val="center"/>
            <w:hideMark/>
          </w:tcPr>
          <w:p w14:paraId="55FCB43F"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single" w:sz="4" w:space="0" w:color="auto"/>
              <w:right w:val="nil"/>
            </w:tcBorders>
            <w:shd w:val="clear" w:color="auto" w:fill="auto"/>
            <w:noWrap/>
            <w:vAlign w:val="center"/>
            <w:hideMark/>
          </w:tcPr>
          <w:p w14:paraId="5A9BC91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410" w:type="pct"/>
            <w:tcBorders>
              <w:top w:val="nil"/>
              <w:left w:val="nil"/>
              <w:bottom w:val="single" w:sz="4" w:space="0" w:color="auto"/>
              <w:right w:val="nil"/>
            </w:tcBorders>
            <w:shd w:val="clear" w:color="auto" w:fill="auto"/>
            <w:noWrap/>
            <w:vAlign w:val="center"/>
            <w:hideMark/>
          </w:tcPr>
          <w:p w14:paraId="257EB9B9"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92" w:type="pct"/>
            <w:tcBorders>
              <w:top w:val="nil"/>
              <w:left w:val="single" w:sz="4" w:space="0" w:color="auto"/>
              <w:bottom w:val="single" w:sz="4" w:space="0" w:color="auto"/>
              <w:right w:val="nil"/>
            </w:tcBorders>
            <w:shd w:val="clear" w:color="auto" w:fill="auto"/>
            <w:noWrap/>
            <w:vAlign w:val="center"/>
            <w:hideMark/>
          </w:tcPr>
          <w:p w14:paraId="09A7A86E"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474" w:type="pct"/>
            <w:tcBorders>
              <w:top w:val="nil"/>
              <w:left w:val="nil"/>
              <w:bottom w:val="single" w:sz="4" w:space="0" w:color="auto"/>
              <w:right w:val="nil"/>
            </w:tcBorders>
            <w:shd w:val="clear" w:color="auto" w:fill="auto"/>
            <w:noWrap/>
            <w:vAlign w:val="center"/>
            <w:hideMark/>
          </w:tcPr>
          <w:p w14:paraId="7FF53C9A" w14:textId="77777777" w:rsidR="00942B8B" w:rsidRPr="00606E51" w:rsidRDefault="00942B8B" w:rsidP="00BD0EF7">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r>
    </w:tbl>
    <w:p w14:paraId="1CD54E58" w14:textId="77777777" w:rsidR="005B2FF1" w:rsidRPr="00606E51" w:rsidRDefault="00942B8B" w:rsidP="007A3F22">
      <w:pPr>
        <w:rPr>
          <w:sz w:val="20"/>
          <w:lang w:val="es-CO"/>
        </w:rPr>
      </w:pPr>
      <w:r w:rsidRPr="00606E51">
        <w:rPr>
          <w:sz w:val="20"/>
          <w:lang w:val="es-CO"/>
        </w:rPr>
        <w:t>Fuente: SIVIGILA</w:t>
      </w:r>
    </w:p>
    <w:p w14:paraId="3E2B4EB9" w14:textId="77777777" w:rsidR="00BC2FA7" w:rsidRPr="00606E51" w:rsidRDefault="00BC2FA7" w:rsidP="007A3F22">
      <w:pPr>
        <w:rPr>
          <w:rFonts w:cs="Times New Roman"/>
          <w:lang w:val="es-CO"/>
        </w:rPr>
      </w:pPr>
    </w:p>
    <w:p w14:paraId="1E77F75C" w14:textId="77777777" w:rsidR="00067A43" w:rsidRPr="00606E51" w:rsidRDefault="00067A43" w:rsidP="007A3F22">
      <w:pPr>
        <w:rPr>
          <w:rFonts w:cs="Times New Roman"/>
          <w:lang w:val="es-CO"/>
        </w:rPr>
      </w:pPr>
    </w:p>
    <w:p w14:paraId="7B594A54" w14:textId="77777777" w:rsidR="00067A43" w:rsidRPr="00606E51" w:rsidRDefault="005877DE" w:rsidP="008A61FD">
      <w:pPr>
        <w:pStyle w:val="Heading2"/>
        <w:rPr>
          <w:lang w:val="es-CO"/>
        </w:rPr>
      </w:pPr>
      <w:bookmarkStart w:id="11" w:name="_Toc482216920"/>
      <w:bookmarkStart w:id="12" w:name="_GoBack"/>
      <w:bookmarkEnd w:id="12"/>
      <w:r w:rsidRPr="00606E51">
        <w:rPr>
          <w:lang w:val="es-CO"/>
        </w:rPr>
        <w:t xml:space="preserve"> </w:t>
      </w:r>
      <w:bookmarkStart w:id="13" w:name="_Toc505090934"/>
      <w:r w:rsidR="00947673" w:rsidRPr="00606E51">
        <w:rPr>
          <w:lang w:val="es-CO"/>
        </w:rPr>
        <w:t>Objeto de evaluación</w:t>
      </w:r>
      <w:r w:rsidR="004A6DFE" w:rsidRPr="00606E51">
        <w:rPr>
          <w:lang w:val="es-CO"/>
        </w:rPr>
        <w:t>: El</w:t>
      </w:r>
      <w:r w:rsidRPr="00606E51">
        <w:rPr>
          <w:lang w:val="es-CO"/>
        </w:rPr>
        <w:t xml:space="preserve"> L</w:t>
      </w:r>
      <w:r w:rsidR="00067A43" w:rsidRPr="00606E51">
        <w:rPr>
          <w:lang w:val="es-CO"/>
        </w:rPr>
        <w:t>ineamiento</w:t>
      </w:r>
      <w:bookmarkEnd w:id="11"/>
      <w:bookmarkEnd w:id="13"/>
    </w:p>
    <w:p w14:paraId="2B85646A" w14:textId="77777777" w:rsidR="005877DE" w:rsidRPr="00606E51" w:rsidRDefault="005877DE" w:rsidP="005877DE">
      <w:pPr>
        <w:rPr>
          <w:lang w:val="es-CO"/>
        </w:rPr>
      </w:pPr>
    </w:p>
    <w:p w14:paraId="3769FF90" w14:textId="77777777" w:rsidR="00E74231" w:rsidRDefault="0048098C" w:rsidP="005877DE">
      <w:pPr>
        <w:jc w:val="both"/>
        <w:rPr>
          <w:rFonts w:cs="Times New Roman"/>
          <w:lang w:val="es-CO"/>
        </w:rPr>
      </w:pPr>
      <w:r w:rsidRPr="00606E51">
        <w:rPr>
          <w:rFonts w:cs="Times New Roman"/>
          <w:lang w:val="es-CO"/>
        </w:rPr>
        <w:t>El Lineamiento</w:t>
      </w:r>
      <w:r w:rsidR="00067A43" w:rsidRPr="00606E51">
        <w:rPr>
          <w:rFonts w:cs="Times New Roman"/>
          <w:lang w:val="es-CO"/>
        </w:rPr>
        <w:t xml:space="preserve"> para el manejo integrado de la desnutrición aguda en niños y niñas de 0 a 59 meses de edad busca proveer una herramienta de apoyo a los trabajadores de salud en la adecuada identificación, tratamiento y seguimiento de la desnutrición aguda moderada y severa</w:t>
      </w:r>
      <w:r w:rsidR="00067A43" w:rsidRPr="00606E51">
        <w:rPr>
          <w:rFonts w:cs="Times New Roman"/>
          <w:vertAlign w:val="superscript"/>
          <w:lang w:val="es-CO"/>
        </w:rPr>
        <w:footnoteReference w:id="16"/>
      </w:r>
      <w:r w:rsidR="00067A43" w:rsidRPr="00606E51">
        <w:rPr>
          <w:rFonts w:cs="Times New Roman"/>
          <w:lang w:val="es-CO"/>
        </w:rPr>
        <w:t xml:space="preserve">. </w:t>
      </w:r>
    </w:p>
    <w:p w14:paraId="787E14F8" w14:textId="77777777" w:rsidR="00E74231" w:rsidRDefault="00E74231" w:rsidP="005877DE">
      <w:pPr>
        <w:jc w:val="both"/>
        <w:rPr>
          <w:rFonts w:cs="Times New Roman"/>
          <w:lang w:val="es-CO"/>
        </w:rPr>
      </w:pPr>
    </w:p>
    <w:p w14:paraId="17F7703F" w14:textId="77777777" w:rsidR="00067A43" w:rsidRPr="00606E51" w:rsidRDefault="00E74231" w:rsidP="005877DE">
      <w:pPr>
        <w:jc w:val="both"/>
        <w:rPr>
          <w:rFonts w:cs="Times New Roman"/>
          <w:lang w:val="es-CO"/>
        </w:rPr>
      </w:pPr>
      <w:r>
        <w:rPr>
          <w:rFonts w:cs="Times New Roman"/>
          <w:lang w:val="es-CO"/>
        </w:rPr>
        <w:t>E</w:t>
      </w:r>
      <w:r w:rsidR="0048098C" w:rsidRPr="00606E51">
        <w:rPr>
          <w:rFonts w:cs="Times New Roman"/>
          <w:lang w:val="es-CO"/>
        </w:rPr>
        <w:t>l Lineamiento</w:t>
      </w:r>
      <w:r w:rsidR="00067A43" w:rsidRPr="00606E51">
        <w:rPr>
          <w:rFonts w:cs="Times New Roman"/>
          <w:lang w:val="es-CO"/>
        </w:rPr>
        <w:t xml:space="preserve"> no es de aplicación exclusiva para los equipos extramurales </w:t>
      </w:r>
      <w:r w:rsidR="009F0BF6" w:rsidRPr="00606E51">
        <w:rPr>
          <w:rFonts w:cs="Times New Roman"/>
          <w:lang w:val="es-CO"/>
        </w:rPr>
        <w:t xml:space="preserve">de las IPS de baja complejidad </w:t>
      </w:r>
      <w:r w:rsidR="00067A43" w:rsidRPr="00606E51">
        <w:rPr>
          <w:rFonts w:cs="Times New Roman"/>
          <w:lang w:val="es-CO"/>
        </w:rPr>
        <w:t>que trabajan en zonas rurales o para las IPS de mediana o alta complejidad que ofrecen una atención intrahospitalaria, sino que constituye una herramienta para todos los trabajadores de salud que puedan llegar a atender un caso de desnutrición aguda en IPS que cumplan las normas de habilitación.</w:t>
      </w:r>
    </w:p>
    <w:p w14:paraId="0A99E7FF" w14:textId="77777777" w:rsidR="005877DE" w:rsidRPr="00606E51" w:rsidRDefault="005877DE" w:rsidP="005877DE">
      <w:pPr>
        <w:jc w:val="both"/>
        <w:rPr>
          <w:rFonts w:cs="Times New Roman"/>
          <w:lang w:val="es-CO"/>
        </w:rPr>
      </w:pPr>
    </w:p>
    <w:p w14:paraId="4D65E393" w14:textId="77777777" w:rsidR="001714CF" w:rsidRDefault="00067A43" w:rsidP="005877DE">
      <w:pPr>
        <w:jc w:val="both"/>
        <w:rPr>
          <w:rFonts w:cs="Times New Roman"/>
          <w:lang w:val="es-CO"/>
        </w:rPr>
      </w:pPr>
      <w:r w:rsidRPr="00606E51">
        <w:rPr>
          <w:rFonts w:cs="Times New Roman"/>
          <w:lang w:val="es-CO"/>
        </w:rPr>
        <w:t xml:space="preserve">La </w:t>
      </w:r>
      <w:r w:rsidRPr="00606E51">
        <w:rPr>
          <w:rFonts w:cs="Times New Roman"/>
          <w:lang w:val="es-CO"/>
        </w:rPr>
        <w:fldChar w:fldCharType="begin"/>
      </w:r>
      <w:r w:rsidRPr="00606E51">
        <w:rPr>
          <w:rFonts w:cs="Times New Roman"/>
          <w:lang w:val="es-CO"/>
        </w:rPr>
        <w:instrText xml:space="preserve"> REF  _Ref481848675 \* Lower \h  \* MERGEFORMAT </w:instrText>
      </w:r>
      <w:r w:rsidRPr="00606E51">
        <w:rPr>
          <w:rFonts w:cs="Times New Roman"/>
          <w:lang w:val="es-CO"/>
        </w:rPr>
      </w:r>
      <w:r w:rsidRPr="00606E51">
        <w:rPr>
          <w:rFonts w:cs="Times New Roman"/>
          <w:lang w:val="es-CO"/>
        </w:rPr>
        <w:fldChar w:fldCharType="separate"/>
      </w:r>
      <w:r w:rsidRPr="00606E51">
        <w:rPr>
          <w:rFonts w:cs="Times New Roman"/>
          <w:lang w:val="es-CO"/>
        </w:rPr>
        <w:t>figura 1.1</w:t>
      </w:r>
      <w:r w:rsidRPr="00606E51">
        <w:rPr>
          <w:rFonts w:cs="Times New Roman"/>
          <w:lang w:val="es-CO"/>
        </w:rPr>
        <w:fldChar w:fldCharType="end"/>
      </w:r>
      <w:r w:rsidRPr="00606E51">
        <w:rPr>
          <w:rFonts w:cs="Times New Roman"/>
          <w:lang w:val="es-CO"/>
        </w:rPr>
        <w:t xml:space="preserve"> presenta los principales aspectos sobre la atención médica y nutricional que deben recibir los niños y niñas con desnutrición aguda confirmada</w:t>
      </w:r>
      <w:r w:rsidR="00E74231">
        <w:rPr>
          <w:rFonts w:cs="Times New Roman"/>
          <w:lang w:val="es-CO"/>
        </w:rPr>
        <w:t>.</w:t>
      </w:r>
      <w:r w:rsidRPr="00606E51">
        <w:rPr>
          <w:rFonts w:cs="Times New Roman"/>
          <w:vertAlign w:val="superscript"/>
          <w:lang w:val="es-CO"/>
        </w:rPr>
        <w:footnoteReference w:id="17"/>
      </w:r>
      <w:r w:rsidR="00E74231">
        <w:rPr>
          <w:rFonts w:cs="Times New Roman"/>
          <w:lang w:val="es-CO"/>
        </w:rPr>
        <w:t xml:space="preserve">  E</w:t>
      </w:r>
      <w:r w:rsidRPr="00606E51">
        <w:rPr>
          <w:rFonts w:cs="Times New Roman"/>
          <w:lang w:val="es-CO"/>
        </w:rPr>
        <w:t>s importante tener en cuenta que la atención en el hogar se realiza por parte de las IPS de baja complejidad</w:t>
      </w:r>
      <w:r w:rsidRPr="00606E51">
        <w:rPr>
          <w:rFonts w:cs="Times New Roman"/>
          <w:vertAlign w:val="superscript"/>
          <w:lang w:val="es-CO"/>
        </w:rPr>
        <w:footnoteReference w:id="18"/>
      </w:r>
      <w:r w:rsidRPr="00606E51">
        <w:rPr>
          <w:rFonts w:cs="Times New Roman"/>
          <w:lang w:val="es-CO"/>
        </w:rPr>
        <w:t>; asimismo se reserva la atención intrahospitalaria en IPS de mediana/alta complejidad para los casos con complicaciones médicas y los casos de niños y niñas menores de 6 meses o mayores de 6 meses con peso inferior a 4 kilogramos, los cuales continúan el tratamiento en el hogar después de controlar o solucionar dichas complicaciones</w:t>
      </w:r>
      <w:r w:rsidR="00A36950" w:rsidRPr="00606E51">
        <w:rPr>
          <w:rStyle w:val="FootnoteReference"/>
          <w:rFonts w:cs="Times New Roman"/>
          <w:lang w:val="es-CO"/>
        </w:rPr>
        <w:footnoteReference w:id="19"/>
      </w:r>
      <w:r w:rsidRPr="00606E51">
        <w:rPr>
          <w:rFonts w:cs="Times New Roman"/>
          <w:lang w:val="es-CO"/>
        </w:rPr>
        <w:t>.</w:t>
      </w:r>
    </w:p>
    <w:p w14:paraId="0EC44A65" w14:textId="77777777" w:rsidR="008B49A7" w:rsidRDefault="008B49A7" w:rsidP="00922E73">
      <w:pPr>
        <w:jc w:val="both"/>
        <w:rPr>
          <w:lang w:val="es-CO"/>
        </w:rPr>
      </w:pPr>
    </w:p>
    <w:p w14:paraId="58D8523F" w14:textId="63F858D2" w:rsidR="00922E73" w:rsidRPr="0022109F" w:rsidRDefault="00922E73" w:rsidP="00922E73">
      <w:pPr>
        <w:jc w:val="both"/>
        <w:rPr>
          <w:lang w:val="es-CO"/>
        </w:rPr>
      </w:pPr>
      <w:r w:rsidRPr="008A61FD">
        <w:rPr>
          <w:lang w:val="es-CO"/>
        </w:rPr>
        <w:t xml:space="preserve">La cadena </w:t>
      </w:r>
      <w:r w:rsidR="008B49A7">
        <w:rPr>
          <w:lang w:val="es-CO"/>
        </w:rPr>
        <w:t xml:space="preserve">general </w:t>
      </w:r>
      <w:r w:rsidRPr="008A61FD">
        <w:rPr>
          <w:lang w:val="es-CO"/>
        </w:rPr>
        <w:t xml:space="preserve">de valor del </w:t>
      </w:r>
      <w:r w:rsidRPr="00720146">
        <w:rPr>
          <w:lang w:val="es-CO"/>
        </w:rPr>
        <w:t>sistema de salud</w:t>
      </w:r>
      <w:r w:rsidRPr="008A61FD">
        <w:rPr>
          <w:lang w:val="es-CO"/>
        </w:rPr>
        <w:t xml:space="preserve"> comienza con el diseño del sistema, esto es, los actos administrativos que emite el MSPS para determinar </w:t>
      </w:r>
      <w:r w:rsidRPr="00720146">
        <w:rPr>
          <w:lang w:val="es-CO"/>
        </w:rPr>
        <w:t>dónde y cómo se deben distribuir los recursos de la salud</w:t>
      </w:r>
      <w:r w:rsidR="008B49A7">
        <w:rPr>
          <w:lang w:val="es-CO"/>
        </w:rPr>
        <w:t>;</w:t>
      </w:r>
      <w:r w:rsidRPr="008A61FD">
        <w:rPr>
          <w:lang w:val="es-CO"/>
        </w:rPr>
        <w:t xml:space="preserve"> estos son los insumos legales y financieros del sistema. </w:t>
      </w:r>
    </w:p>
    <w:p w14:paraId="7DD81E8A" w14:textId="77777777" w:rsidR="00922E73" w:rsidRPr="00720146" w:rsidRDefault="00922E73" w:rsidP="00922E73">
      <w:pPr>
        <w:jc w:val="both"/>
        <w:rPr>
          <w:lang w:val="es-CO"/>
        </w:rPr>
      </w:pPr>
    </w:p>
    <w:p w14:paraId="6718844C" w14:textId="77777777" w:rsidR="00922E73" w:rsidRPr="0022109F" w:rsidRDefault="00922E73" w:rsidP="00922E73">
      <w:pPr>
        <w:jc w:val="both"/>
        <w:rPr>
          <w:lang w:val="es-CO"/>
        </w:rPr>
      </w:pPr>
      <w:r w:rsidRPr="00720146">
        <w:rPr>
          <w:lang w:val="es-CO"/>
        </w:rPr>
        <w:t>El segundo eslabón de la cadena son los insumos,</w:t>
      </w:r>
      <w:r w:rsidRPr="008A61FD">
        <w:rPr>
          <w:lang w:val="es-CO"/>
        </w:rPr>
        <w:t xml:space="preserve"> tales como, los medicamentos, los dispositivos médicos, los servicios prestados por el recurso humano (enfermeras, médicos, personal administrativo), la infraestructura para la prestación de estos servicios (hospitales, laboratorios clí</w:t>
      </w:r>
      <w:r w:rsidRPr="0022109F">
        <w:rPr>
          <w:lang w:val="es-CO"/>
        </w:rPr>
        <w:t xml:space="preserve">nicos y centros de atención), entre otros insumos necesarios para prestar los servicios de salud. </w:t>
      </w:r>
    </w:p>
    <w:p w14:paraId="329854AA" w14:textId="77777777" w:rsidR="00922E73" w:rsidRPr="00720146" w:rsidRDefault="00922E73" w:rsidP="00922E73">
      <w:pPr>
        <w:jc w:val="both"/>
        <w:rPr>
          <w:lang w:val="es-CO"/>
        </w:rPr>
      </w:pPr>
    </w:p>
    <w:p w14:paraId="18F4DDAB" w14:textId="77777777" w:rsidR="00922E73" w:rsidRPr="00606E51" w:rsidRDefault="00922E73" w:rsidP="00922E73">
      <w:pPr>
        <w:jc w:val="both"/>
        <w:rPr>
          <w:lang w:val="es-CO"/>
        </w:rPr>
      </w:pPr>
      <w:r w:rsidRPr="00720146">
        <w:rPr>
          <w:lang w:val="es-CO"/>
        </w:rPr>
        <w:t>Los procesos</w:t>
      </w:r>
      <w:r w:rsidRPr="008A61FD">
        <w:rPr>
          <w:lang w:val="es-CO"/>
        </w:rPr>
        <w:t xml:space="preserve"> que permiten combinar los insumos constituyen el tercer eslabón de la cadena de valor.  En </w:t>
      </w:r>
      <w:r w:rsidRPr="0022109F">
        <w:rPr>
          <w:lang w:val="es-CO"/>
        </w:rPr>
        <w:t>este eslabón se ubican las EAPB o EPS</w:t>
      </w:r>
      <w:r w:rsidRPr="00720146">
        <w:rPr>
          <w:lang w:val="es-CO"/>
        </w:rPr>
        <w:t xml:space="preserve"> que reciben la asignación presupuestal destinada para la</w:t>
      </w:r>
      <w:r w:rsidRPr="00606E51">
        <w:rPr>
          <w:lang w:val="es-CO"/>
        </w:rPr>
        <w:t xml:space="preserve"> </w:t>
      </w:r>
      <w:r w:rsidRPr="00606E51">
        <w:rPr>
          <w:lang w:val="es-CO"/>
        </w:rPr>
        <w:lastRenderedPageBreak/>
        <w:t xml:space="preserve">prestación de los servicios de salud para cada afiliado (UPC) para contratar los servicios médicos de IPS públicas y privadas para ofrecer servicios de salud (servicios y productos) a sus afiliados. </w:t>
      </w:r>
    </w:p>
    <w:p w14:paraId="04E8AFC8" w14:textId="77777777" w:rsidR="00922E73" w:rsidRPr="00606E51" w:rsidRDefault="00922E73" w:rsidP="00922E73">
      <w:pPr>
        <w:jc w:val="both"/>
        <w:rPr>
          <w:lang w:val="es-CO"/>
        </w:rPr>
      </w:pPr>
    </w:p>
    <w:p w14:paraId="6DAC4A25" w14:textId="77777777" w:rsidR="00922E73" w:rsidRDefault="00922E73" w:rsidP="00922E73">
      <w:pPr>
        <w:jc w:val="both"/>
        <w:rPr>
          <w:lang w:val="es-CO"/>
        </w:rPr>
      </w:pPr>
      <w:r w:rsidRPr="008A61FD">
        <w:rPr>
          <w:lang w:val="es-CO"/>
        </w:rPr>
        <w:t xml:space="preserve">Desde la perspectiva de la cadena de valor del sistema de salud en Colombia, los servicios de salud que las EPS ofrecen a sus afiliados son el </w:t>
      </w:r>
      <w:r w:rsidRPr="00720146">
        <w:rPr>
          <w:lang w:val="es-CO"/>
        </w:rPr>
        <w:t>producto final</w:t>
      </w:r>
      <w:r w:rsidRPr="008A61FD">
        <w:rPr>
          <w:lang w:val="es-CO"/>
        </w:rPr>
        <w:t>. El eslabón de producto de la cadena de valor serían consultas médicas, cirugías, procedimientos de detección, servicios odontológicos, servicios de urgencias, medicinas y dispositivos médicos, y constituye la oferta de salud del sistema.</w:t>
      </w:r>
      <w:r w:rsidRPr="00606E51">
        <w:rPr>
          <w:lang w:val="es-CO"/>
        </w:rPr>
        <w:t xml:space="preserve"> </w:t>
      </w:r>
    </w:p>
    <w:p w14:paraId="05A55A04" w14:textId="77777777" w:rsidR="00922E73" w:rsidRDefault="00922E73" w:rsidP="00922E73">
      <w:pPr>
        <w:jc w:val="both"/>
        <w:rPr>
          <w:lang w:val="es-CO"/>
        </w:rPr>
      </w:pPr>
    </w:p>
    <w:p w14:paraId="337B0693" w14:textId="77777777" w:rsidR="00922E73" w:rsidRDefault="00922E73" w:rsidP="00922E73">
      <w:pPr>
        <w:jc w:val="both"/>
        <w:rPr>
          <w:lang w:val="es-CO"/>
        </w:rPr>
      </w:pPr>
      <w:r w:rsidRPr="00606E51">
        <w:rPr>
          <w:lang w:val="es-CO"/>
        </w:rPr>
        <w:t>Al combinar la oferta con la demanda por servicios de salud se obtienen los resultados del sistema, expresados en cambios en indicadores tales como la esperanza de vida al nacer, la tasa de mortalidad infantil, la tasa de mortalidad materna, etc.</w:t>
      </w:r>
    </w:p>
    <w:p w14:paraId="11B7F4F2" w14:textId="77777777" w:rsidR="00922E73" w:rsidRDefault="00922E73" w:rsidP="00922E73">
      <w:pPr>
        <w:jc w:val="both"/>
        <w:rPr>
          <w:lang w:val="es-CO"/>
        </w:rPr>
      </w:pPr>
      <w:r w:rsidRPr="00521412">
        <w:rPr>
          <w:noProof/>
          <w:lang w:val="en-US"/>
        </w:rPr>
        <mc:AlternateContent>
          <mc:Choice Requires="wps">
            <w:drawing>
              <wp:anchor distT="0" distB="0" distL="114300" distR="114300" simplePos="0" relativeHeight="251672576" behindDoc="0" locked="0" layoutInCell="1" allowOverlap="1" wp14:anchorId="443AC81A" wp14:editId="1E1B63D7">
                <wp:simplePos x="0" y="0"/>
                <wp:positionH relativeFrom="column">
                  <wp:posOffset>882705</wp:posOffset>
                </wp:positionH>
                <wp:positionV relativeFrom="paragraph">
                  <wp:posOffset>95581</wp:posOffset>
                </wp:positionV>
                <wp:extent cx="3888105" cy="255270"/>
                <wp:effectExtent l="0" t="0" r="0" b="0"/>
                <wp:wrapNone/>
                <wp:docPr id="2" name="Rectangle 4"/>
                <wp:cNvGraphicFramePr/>
                <a:graphic xmlns:a="http://schemas.openxmlformats.org/drawingml/2006/main">
                  <a:graphicData uri="http://schemas.microsoft.com/office/word/2010/wordprocessingShape">
                    <wps:wsp>
                      <wps:cNvSpPr/>
                      <wps:spPr>
                        <a:xfrm>
                          <a:off x="0" y="0"/>
                          <a:ext cx="3888105" cy="255270"/>
                        </a:xfrm>
                        <a:prstGeom prst="rect">
                          <a:avLst/>
                        </a:prstGeom>
                      </wps:spPr>
                      <wps:txbx>
                        <w:txbxContent>
                          <w:p w14:paraId="3EDECDFB" w14:textId="77777777" w:rsidR="00F16AAB" w:rsidRPr="00521412" w:rsidRDefault="00F16AAB" w:rsidP="00922E73">
                            <w:pPr>
                              <w:pStyle w:val="NormalWeb"/>
                              <w:spacing w:before="0" w:beforeAutospacing="0" w:after="0" w:afterAutospacing="0" w:line="254" w:lineRule="auto"/>
                              <w:rPr>
                                <w:sz w:val="14"/>
                              </w:rPr>
                            </w:pPr>
                            <w:r w:rsidRPr="00521412">
                              <w:rPr>
                                <w:rFonts w:asciiTheme="minorHAnsi" w:eastAsia="Times New Roman" w:hAnsi="Calibri"/>
                                <w:b/>
                                <w:bCs/>
                                <w:color w:val="000000" w:themeColor="text1"/>
                                <w:kern w:val="24"/>
                                <w:sz w:val="20"/>
                                <w:szCs w:val="36"/>
                                <w:lang w:val="es-CO"/>
                              </w:rPr>
                              <w:t> </w:t>
                            </w:r>
                            <w:r>
                              <w:rPr>
                                <w:rFonts w:asciiTheme="minorHAnsi" w:eastAsia="Times New Roman" w:hAnsi="Calibri"/>
                                <w:b/>
                                <w:bCs/>
                                <w:color w:val="000000" w:themeColor="text1"/>
                                <w:kern w:val="24"/>
                                <w:sz w:val="20"/>
                                <w:szCs w:val="36"/>
                                <w:lang w:val="es-CO"/>
                              </w:rPr>
                              <w:t>LA CADENA DE VALOR DE LA ATENCIÓN DE LA DESNUTRICIÓN AGUDA</w:t>
                            </w:r>
                          </w:p>
                        </w:txbxContent>
                      </wps:txbx>
                      <wps:bodyPr wrap="none">
                        <a:spAutoFit/>
                      </wps:bodyPr>
                    </wps:wsp>
                  </a:graphicData>
                </a:graphic>
              </wp:anchor>
            </w:drawing>
          </mc:Choice>
          <mc:Fallback>
            <w:pict>
              <v:rect w14:anchorId="443AC81A" id="Rectangle 4" o:spid="_x0000_s1028" style="position:absolute;left:0;text-align:left;margin-left:69.5pt;margin-top:7.55pt;width:306.15pt;height:20.1pt;z-index:2516725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" filled="f" stroked="f">
                <v:textbox style="mso-fit-shape-to-text:t">
                  <w:txbxContent>
                    <w:p w14:paraId="3EDECDFB" w14:textId="77777777" w:rsidR="00F16AAB" w:rsidRPr="00521412" w:rsidRDefault="00F16AAB" w:rsidP="00922E73">
                      <w:pPr>
                        <w:pStyle w:val="NormalWeb"/>
                        <w:spacing w:before="0" w:beforeAutospacing="0" w:after="0" w:afterAutospacing="0" w:line="254" w:lineRule="auto"/>
                        <w:rPr>
                          <w:sz w:val="14"/>
                        </w:rPr>
                      </w:pPr>
                      <w:r w:rsidRPr="00521412">
                        <w:rPr>
                          <w:rFonts w:asciiTheme="minorHAnsi" w:eastAsia="Times New Roman" w:hAnsi="Calibri"/>
                          <w:b/>
                          <w:bCs/>
                          <w:color w:val="000000" w:themeColor="text1"/>
                          <w:kern w:val="24"/>
                          <w:sz w:val="20"/>
                          <w:szCs w:val="36"/>
                          <w:lang w:val="es-CO"/>
                        </w:rPr>
                        <w:t> </w:t>
                      </w:r>
                      <w:r>
                        <w:rPr>
                          <w:rFonts w:asciiTheme="minorHAnsi" w:eastAsia="Times New Roman" w:hAnsi="Calibri"/>
                          <w:b/>
                          <w:bCs/>
                          <w:color w:val="000000" w:themeColor="text1"/>
                          <w:kern w:val="24"/>
                          <w:sz w:val="20"/>
                          <w:szCs w:val="36"/>
                          <w:lang w:val="es-CO"/>
                        </w:rPr>
                        <w:t>LA CADENA DE VALOR DE LA ATENCIÓN DE LA DESNUTRICIÓN AGUDA</w:t>
                      </w:r>
                    </w:p>
                  </w:txbxContent>
                </v:textbox>
              </v:rect>
            </w:pict>
          </mc:Fallback>
        </mc:AlternateContent>
      </w:r>
      <w:r>
        <w:rPr>
          <w:noProof/>
          <w:lang w:val="en-US"/>
        </w:rPr>
        <w:drawing>
          <wp:anchor distT="0" distB="0" distL="114300" distR="114300" simplePos="0" relativeHeight="251671552" behindDoc="0" locked="0" layoutInCell="1" allowOverlap="1" wp14:anchorId="1BD1F325" wp14:editId="60698338">
            <wp:simplePos x="0" y="0"/>
            <wp:positionH relativeFrom="column">
              <wp:posOffset>590945</wp:posOffset>
            </wp:positionH>
            <wp:positionV relativeFrom="paragraph">
              <wp:posOffset>98863</wp:posOffset>
            </wp:positionV>
            <wp:extent cx="4389120" cy="241681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9120" cy="2416812"/>
                    </a:xfrm>
                    <a:prstGeom prst="rect">
                      <a:avLst/>
                    </a:prstGeom>
                    <a:noFill/>
                  </pic:spPr>
                </pic:pic>
              </a:graphicData>
            </a:graphic>
            <wp14:sizeRelH relativeFrom="margin">
              <wp14:pctWidth>0</wp14:pctWidth>
            </wp14:sizeRelH>
            <wp14:sizeRelV relativeFrom="margin">
              <wp14:pctHeight>0</wp14:pctHeight>
            </wp14:sizeRelV>
          </wp:anchor>
        </w:drawing>
      </w:r>
    </w:p>
    <w:p w14:paraId="593C9C96" w14:textId="77777777" w:rsidR="00922E73" w:rsidRDefault="00922E73" w:rsidP="00922E73">
      <w:pPr>
        <w:jc w:val="both"/>
        <w:rPr>
          <w:lang w:val="es-CO"/>
        </w:rPr>
      </w:pPr>
    </w:p>
    <w:p w14:paraId="05501AEF" w14:textId="77777777" w:rsidR="00922E73" w:rsidRDefault="00922E73" w:rsidP="00922E73">
      <w:pPr>
        <w:jc w:val="both"/>
        <w:rPr>
          <w:lang w:val="es-CO"/>
        </w:rPr>
      </w:pPr>
    </w:p>
    <w:p w14:paraId="6D2600A3" w14:textId="77777777" w:rsidR="00922E73" w:rsidRDefault="00922E73" w:rsidP="00922E73">
      <w:pPr>
        <w:jc w:val="both"/>
        <w:rPr>
          <w:lang w:val="es-CO"/>
        </w:rPr>
      </w:pPr>
    </w:p>
    <w:p w14:paraId="65F367CC" w14:textId="77777777" w:rsidR="00922E73" w:rsidRDefault="00922E73" w:rsidP="00922E73">
      <w:pPr>
        <w:jc w:val="both"/>
        <w:rPr>
          <w:lang w:val="es-CO"/>
        </w:rPr>
      </w:pPr>
    </w:p>
    <w:p w14:paraId="45E1DD3E" w14:textId="77777777" w:rsidR="00922E73" w:rsidRDefault="00922E73" w:rsidP="00922E73">
      <w:pPr>
        <w:jc w:val="both"/>
        <w:rPr>
          <w:lang w:val="es-CO"/>
        </w:rPr>
      </w:pPr>
    </w:p>
    <w:p w14:paraId="04F16F17" w14:textId="77777777" w:rsidR="00922E73" w:rsidRDefault="00922E73" w:rsidP="00922E73">
      <w:pPr>
        <w:jc w:val="both"/>
        <w:rPr>
          <w:lang w:val="es-CO"/>
        </w:rPr>
      </w:pPr>
    </w:p>
    <w:p w14:paraId="3D3F777C" w14:textId="77777777" w:rsidR="00922E73" w:rsidRDefault="00922E73" w:rsidP="00922E73">
      <w:pPr>
        <w:jc w:val="both"/>
        <w:rPr>
          <w:lang w:val="es-CO"/>
        </w:rPr>
      </w:pPr>
    </w:p>
    <w:p w14:paraId="46D79761" w14:textId="77777777" w:rsidR="00922E73" w:rsidRDefault="00922E73" w:rsidP="00922E73">
      <w:pPr>
        <w:jc w:val="both"/>
        <w:rPr>
          <w:lang w:val="es-CO"/>
        </w:rPr>
      </w:pPr>
    </w:p>
    <w:p w14:paraId="57D73B14" w14:textId="77777777" w:rsidR="00922E73" w:rsidRDefault="00922E73" w:rsidP="00922E73">
      <w:pPr>
        <w:jc w:val="both"/>
        <w:rPr>
          <w:lang w:val="es-CO"/>
        </w:rPr>
      </w:pPr>
    </w:p>
    <w:p w14:paraId="77025C1C" w14:textId="77777777" w:rsidR="00922E73" w:rsidRDefault="00922E73" w:rsidP="00922E73">
      <w:pPr>
        <w:jc w:val="both"/>
        <w:rPr>
          <w:lang w:val="es-CO"/>
        </w:rPr>
      </w:pPr>
    </w:p>
    <w:p w14:paraId="309482F4" w14:textId="77777777" w:rsidR="00922E73" w:rsidRDefault="00922E73" w:rsidP="00922E73">
      <w:pPr>
        <w:jc w:val="both"/>
        <w:rPr>
          <w:lang w:val="es-CO"/>
        </w:rPr>
      </w:pPr>
    </w:p>
    <w:p w14:paraId="4C7089F4" w14:textId="77777777" w:rsidR="00922E73" w:rsidRDefault="00922E73" w:rsidP="00922E73">
      <w:pPr>
        <w:jc w:val="both"/>
        <w:rPr>
          <w:lang w:val="es-CO"/>
        </w:rPr>
      </w:pPr>
    </w:p>
    <w:p w14:paraId="14694224" w14:textId="77777777" w:rsidR="00922E73" w:rsidRDefault="00922E73" w:rsidP="00922E73">
      <w:pPr>
        <w:jc w:val="both"/>
        <w:rPr>
          <w:lang w:val="es-CO"/>
        </w:rPr>
      </w:pPr>
    </w:p>
    <w:p w14:paraId="251B1328" w14:textId="77777777" w:rsidR="00922E73" w:rsidRPr="00606E51" w:rsidRDefault="00922E73" w:rsidP="00922E73">
      <w:pPr>
        <w:jc w:val="both"/>
        <w:rPr>
          <w:lang w:val="es-CO"/>
        </w:rPr>
      </w:pPr>
    </w:p>
    <w:p w14:paraId="1ABAA23A" w14:textId="77777777" w:rsidR="00922E73" w:rsidRPr="00606E51" w:rsidRDefault="00922E73" w:rsidP="00922E73">
      <w:pPr>
        <w:jc w:val="both"/>
        <w:rPr>
          <w:lang w:val="es-CO"/>
        </w:rPr>
      </w:pPr>
    </w:p>
    <w:p w14:paraId="04EE437F" w14:textId="49746D32" w:rsidR="00922E73" w:rsidRPr="008A61FD" w:rsidRDefault="00922E73" w:rsidP="00922E73">
      <w:pPr>
        <w:jc w:val="both"/>
        <w:rPr>
          <w:rFonts w:cs="Times New Roman"/>
          <w:lang w:val="es-CO"/>
        </w:rPr>
      </w:pPr>
      <w:r w:rsidRPr="008A61FD">
        <w:rPr>
          <w:lang w:val="es-CO"/>
        </w:rPr>
        <w:t>Usando este marco</w:t>
      </w:r>
      <w:r w:rsidRPr="0022109F">
        <w:rPr>
          <w:lang w:val="es-CO"/>
        </w:rPr>
        <w:t xml:space="preserve">, la Resolución (que incluye la ruta de atención) es </w:t>
      </w:r>
      <w:r w:rsidRPr="00720146">
        <w:rPr>
          <w:u w:val="single"/>
          <w:lang w:val="es-CO"/>
        </w:rPr>
        <w:t>uno</w:t>
      </w:r>
      <w:r w:rsidRPr="008A61FD">
        <w:rPr>
          <w:lang w:val="es-CO"/>
        </w:rPr>
        <w:t xml:space="preserve"> de los </w:t>
      </w:r>
      <w:r w:rsidRPr="008A61FD">
        <w:rPr>
          <w:b/>
          <w:lang w:val="es-CO"/>
        </w:rPr>
        <w:t>insumos</w:t>
      </w:r>
      <w:r w:rsidRPr="0022109F">
        <w:rPr>
          <w:lang w:val="es-CO"/>
        </w:rPr>
        <w:t xml:space="preserve"> p</w:t>
      </w:r>
      <w:r w:rsidRPr="00720146">
        <w:rPr>
          <w:lang w:val="es-CO"/>
        </w:rPr>
        <w:t xml:space="preserve">ara lograr que el </w:t>
      </w:r>
      <w:r w:rsidRPr="00720146">
        <w:rPr>
          <w:b/>
          <w:lang w:val="es-CO"/>
        </w:rPr>
        <w:t>producto</w:t>
      </w:r>
      <w:r w:rsidRPr="00720146">
        <w:rPr>
          <w:lang w:val="es-CO"/>
        </w:rPr>
        <w:t>, el Lineamiento</w:t>
      </w:r>
      <w:r w:rsidRPr="008A61FD">
        <w:rPr>
          <w:lang w:val="es-CO"/>
        </w:rPr>
        <w:t xml:space="preserve">, que informa la forma adecuada de tratar la desnutrición aguda para mejorar los resultados en salud, esto es, reducir la mortalidad por (y asociada a) la desnutrición aguda en los municipios analizados del departamento de La Guajira. En efecto, </w:t>
      </w:r>
      <w:r w:rsidRPr="0022109F">
        <w:rPr>
          <w:rFonts w:cs="Times New Roman"/>
          <w:lang w:val="es-CO"/>
        </w:rPr>
        <w:t xml:space="preserve">la Resolución es </w:t>
      </w:r>
      <w:r w:rsidRPr="00720146">
        <w:rPr>
          <w:rFonts w:cs="Times New Roman"/>
          <w:lang w:val="es-CO"/>
        </w:rPr>
        <w:t>el “deber ser” para la implementación</w:t>
      </w:r>
      <w:r w:rsidRPr="008A61FD">
        <w:rPr>
          <w:rFonts w:cs="Times New Roman"/>
          <w:lang w:val="es-CO"/>
        </w:rPr>
        <w:t xml:space="preserve"> del Lineamiento por cuanto impartió ordenes de obligatorio cumplimiento así: </w:t>
      </w:r>
    </w:p>
    <w:p w14:paraId="43A009FF" w14:textId="77777777" w:rsidR="00922E73" w:rsidRPr="0022109F" w:rsidRDefault="00922E73" w:rsidP="00922E73">
      <w:pPr>
        <w:jc w:val="both"/>
        <w:rPr>
          <w:rFonts w:cs="Times New Roman"/>
          <w:lang w:val="es-CO"/>
        </w:rPr>
      </w:pPr>
    </w:p>
    <w:p w14:paraId="6DAC5194" w14:textId="77777777" w:rsidR="00922E73" w:rsidRPr="00720146" w:rsidRDefault="00922E73" w:rsidP="00922E73">
      <w:pPr>
        <w:pStyle w:val="ListParagraph"/>
        <w:numPr>
          <w:ilvl w:val="0"/>
          <w:numId w:val="27"/>
        </w:numPr>
        <w:jc w:val="both"/>
        <w:rPr>
          <w:rFonts w:cs="Times New Roman"/>
          <w:lang w:val="es-CO"/>
        </w:rPr>
      </w:pPr>
      <w:r w:rsidRPr="00720146">
        <w:rPr>
          <w:rFonts w:cs="Times New Roman"/>
          <w:lang w:val="es-CO"/>
        </w:rPr>
        <w:t xml:space="preserve">Al MSPS, entidades territoriales, EAPB e IPS; </w:t>
      </w:r>
    </w:p>
    <w:p w14:paraId="06C281B9" w14:textId="77777777" w:rsidR="00922E73" w:rsidRPr="00720146" w:rsidRDefault="00922E73" w:rsidP="00922E73">
      <w:pPr>
        <w:pStyle w:val="ListParagraph"/>
        <w:numPr>
          <w:ilvl w:val="0"/>
          <w:numId w:val="27"/>
        </w:numPr>
        <w:jc w:val="both"/>
        <w:rPr>
          <w:rFonts w:cs="Times New Roman"/>
          <w:lang w:val="es-CO"/>
        </w:rPr>
      </w:pPr>
      <w:r w:rsidRPr="00720146">
        <w:rPr>
          <w:rFonts w:cs="Times New Roman"/>
          <w:lang w:val="es-CO"/>
        </w:rPr>
        <w:t xml:space="preserve">Informó los aspectos técnicos del Lineamiento; </w:t>
      </w:r>
    </w:p>
    <w:p w14:paraId="6EF7397F" w14:textId="77777777" w:rsidR="00922E73" w:rsidRPr="00720146" w:rsidRDefault="00922E73" w:rsidP="00922E73">
      <w:pPr>
        <w:pStyle w:val="ListParagraph"/>
        <w:numPr>
          <w:ilvl w:val="0"/>
          <w:numId w:val="27"/>
        </w:numPr>
        <w:jc w:val="both"/>
        <w:rPr>
          <w:rFonts w:cs="Times New Roman"/>
          <w:lang w:val="es-CO"/>
        </w:rPr>
      </w:pPr>
      <w:r w:rsidRPr="00720146">
        <w:rPr>
          <w:rFonts w:cs="Times New Roman"/>
          <w:lang w:val="es-CO"/>
        </w:rPr>
        <w:t xml:space="preserve">Organizó la articulación intersectorial necesaria. </w:t>
      </w:r>
    </w:p>
    <w:p w14:paraId="1D65AC2F" w14:textId="77777777" w:rsidR="00922E73" w:rsidRPr="00720146" w:rsidRDefault="00922E73" w:rsidP="00922E73">
      <w:pPr>
        <w:jc w:val="both"/>
        <w:rPr>
          <w:rFonts w:cs="Times New Roman"/>
          <w:lang w:val="es-CO"/>
        </w:rPr>
      </w:pPr>
    </w:p>
    <w:p w14:paraId="608B420B" w14:textId="77777777" w:rsidR="00922E73" w:rsidRPr="00606E51" w:rsidRDefault="00922E73" w:rsidP="00922E73">
      <w:pPr>
        <w:jc w:val="both"/>
        <w:rPr>
          <w:rFonts w:cs="Times New Roman"/>
          <w:lang w:val="es-CO"/>
        </w:rPr>
      </w:pPr>
      <w:r w:rsidRPr="00720146">
        <w:rPr>
          <w:rFonts w:cs="Times New Roman"/>
          <w:lang w:val="es-CO"/>
        </w:rPr>
        <w:t>Por último, incluye dos anexos que hacen parte integral de su articulado: (i) el Lineamiento que es un protocolo de tratamiento de la enfermedad</w:t>
      </w:r>
      <w:r w:rsidRPr="008A61FD">
        <w:rPr>
          <w:rFonts w:cs="Times New Roman"/>
          <w:lang w:val="es-CO"/>
        </w:rPr>
        <w:t xml:space="preserve"> y (ii) un esquema de la </w:t>
      </w:r>
      <w:r w:rsidRPr="00720146">
        <w:rPr>
          <w:rFonts w:cs="Times New Roman"/>
          <w:lang w:val="es-CO"/>
        </w:rPr>
        <w:t>ruta específica para la atención</w:t>
      </w:r>
      <w:r w:rsidRPr="008A61FD">
        <w:rPr>
          <w:rFonts w:cs="Times New Roman"/>
          <w:lang w:val="es-CO"/>
        </w:rPr>
        <w:t xml:space="preserve"> de niños y </w:t>
      </w:r>
      <w:r w:rsidRPr="0022109F">
        <w:rPr>
          <w:rFonts w:cs="Times New Roman"/>
          <w:lang w:val="es-CO"/>
        </w:rPr>
        <w:t>niñas menores de 5 años con desnutrición aguda.</w:t>
      </w:r>
    </w:p>
    <w:p w14:paraId="597177F6" w14:textId="77777777" w:rsidR="00922E73" w:rsidRPr="00606E51" w:rsidRDefault="00922E73" w:rsidP="005877DE">
      <w:pPr>
        <w:jc w:val="both"/>
        <w:rPr>
          <w:rFonts w:cs="Times New Roman"/>
          <w:lang w:val="es-CO"/>
        </w:rPr>
      </w:pPr>
    </w:p>
    <w:p w14:paraId="7113FBA5" w14:textId="77777777" w:rsidR="001714CF" w:rsidRPr="00606E51" w:rsidRDefault="001714CF" w:rsidP="005877DE">
      <w:pPr>
        <w:jc w:val="both"/>
        <w:rPr>
          <w:rFonts w:cs="Times New Roman"/>
          <w:lang w:val="es-CO"/>
        </w:rPr>
      </w:pPr>
    </w:p>
    <w:p w14:paraId="26A9DCA2" w14:textId="77777777" w:rsidR="00067A43" w:rsidRPr="00606E51" w:rsidRDefault="00067A43" w:rsidP="005877DE">
      <w:pPr>
        <w:jc w:val="both"/>
        <w:rPr>
          <w:rFonts w:cs="Times New Roman"/>
          <w:lang w:val="es-CO"/>
        </w:rPr>
        <w:sectPr w:rsidR="00067A43" w:rsidRPr="00606E51" w:rsidSect="00101D3A">
          <w:pgSz w:w="12240" w:h="15840"/>
          <w:pgMar w:top="1418" w:right="1701" w:bottom="1418" w:left="1701" w:header="709" w:footer="709" w:gutter="0"/>
          <w:cols w:space="708"/>
          <w:docGrid w:linePitch="360"/>
        </w:sectPr>
      </w:pPr>
      <w:r w:rsidRPr="00606E51">
        <w:rPr>
          <w:rFonts w:cs="Times New Roman"/>
          <w:b/>
          <w:bCs/>
          <w:lang w:val="es-CO"/>
        </w:rPr>
        <w:br w:type="page"/>
      </w:r>
      <w:bookmarkStart w:id="14" w:name="_Ref472451443"/>
    </w:p>
    <w:p w14:paraId="5D81F7B6" w14:textId="77777777" w:rsidR="00067A43" w:rsidRPr="00606E51" w:rsidRDefault="00067A43" w:rsidP="006E7CAD">
      <w:pPr>
        <w:jc w:val="center"/>
        <w:rPr>
          <w:rFonts w:cs="Times New Roman"/>
          <w:b/>
          <w:bCs/>
          <w:lang w:val="es-CO"/>
        </w:rPr>
      </w:pPr>
      <w:bookmarkStart w:id="15" w:name="_Ref481848675"/>
      <w:bookmarkStart w:id="16" w:name="_Toc486454317"/>
      <w:r w:rsidRPr="00606E51">
        <w:rPr>
          <w:rFonts w:cs="Times New Roman"/>
          <w:b/>
          <w:bCs/>
          <w:noProof/>
          <w:lang w:val="en-US"/>
        </w:rPr>
        <w:lastRenderedPageBreak/>
        <mc:AlternateContent>
          <mc:Choice Requires="wpc">
            <w:drawing>
              <wp:anchor distT="0" distB="0" distL="114300" distR="114300" simplePos="0" relativeHeight="251664384" behindDoc="0" locked="0" layoutInCell="1" allowOverlap="1" wp14:anchorId="4ADBDEB3" wp14:editId="6FFB4D52">
                <wp:simplePos x="0" y="0"/>
                <wp:positionH relativeFrom="column">
                  <wp:posOffset>1905</wp:posOffset>
                </wp:positionH>
                <wp:positionV relativeFrom="paragraph">
                  <wp:posOffset>185420</wp:posOffset>
                </wp:positionV>
                <wp:extent cx="8270240" cy="5174615"/>
                <wp:effectExtent l="0" t="0" r="0" b="6985"/>
                <wp:wrapTopAndBottom/>
                <wp:docPr id="13" name="Lienzo 1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 name="Rectángulo 21"/>
                        <wps:cNvSpPr/>
                        <wps:spPr>
                          <a:xfrm>
                            <a:off x="2075523" y="3188497"/>
                            <a:ext cx="1999910" cy="752400"/>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0A823C" w14:textId="77777777" w:rsidR="00F16AAB" w:rsidRPr="008372B9" w:rsidRDefault="00F16AAB" w:rsidP="00067A43">
                              <w:pPr>
                                <w:pStyle w:val="NormalWeb"/>
                                <w:spacing w:before="0" w:beforeAutospacing="0" w:after="0" w:afterAutospacing="0" w:line="256" w:lineRule="auto"/>
                                <w:jc w:val="center"/>
                                <w:rPr>
                                  <w:rFonts w:eastAsia="Calibri"/>
                                  <w:color w:val="000000" w:themeColor="text1"/>
                                  <w:sz w:val="20"/>
                                  <w:szCs w:val="20"/>
                                  <w:u w:val="single"/>
                                  <w14:textOutline w14:w="9525" w14:cap="flat" w14:cmpd="sng" w14:algn="ctr">
                                    <w14:noFill/>
                                    <w14:prstDash w14:val="solid"/>
                                    <w14:round/>
                                  </w14:textOutline>
                                </w:rPr>
                              </w:pPr>
                              <w:r w:rsidRPr="008372B9">
                                <w:rPr>
                                  <w:rFonts w:eastAsia="Calibri"/>
                                  <w:color w:val="000000" w:themeColor="text1"/>
                                  <w:sz w:val="20"/>
                                  <w:szCs w:val="20"/>
                                  <w:u w:val="single"/>
                                  <w14:textOutline w14:w="9525" w14:cap="flat" w14:cmpd="sng" w14:algn="ctr">
                                    <w14:noFill/>
                                    <w14:prstDash w14:val="solid"/>
                                    <w14:round/>
                                  </w14:textOutline>
                                </w:rPr>
                                <w:t>Sin complicaciones asociadas</w:t>
                              </w:r>
                            </w:p>
                            <w:p w14:paraId="3F330DE4"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Prueba de apetito positiva</w:t>
                              </w:r>
                            </w:p>
                            <w:p w14:paraId="24A8B25B"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Clínicamente bien y estable</w:t>
                              </w:r>
                            </w:p>
                            <w:p w14:paraId="76CF0E51"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Alerta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Rectángulo 22"/>
                        <wps:cNvSpPr/>
                        <wps:spPr>
                          <a:xfrm>
                            <a:off x="2067588" y="1351280"/>
                            <a:ext cx="1999910" cy="1569589"/>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43979" w14:textId="77777777" w:rsidR="00F16AAB" w:rsidRPr="008372B9" w:rsidRDefault="00F16AAB" w:rsidP="00067A43">
                              <w:pPr>
                                <w:pStyle w:val="NormalWeb"/>
                                <w:spacing w:before="0" w:beforeAutospacing="0" w:after="0" w:afterAutospacing="0" w:line="256" w:lineRule="auto"/>
                                <w:jc w:val="center"/>
                                <w:rPr>
                                  <w:rFonts w:eastAsia="Calibri"/>
                                  <w:color w:val="000000" w:themeColor="text1"/>
                                  <w:sz w:val="20"/>
                                  <w:szCs w:val="20"/>
                                  <w:u w:val="single"/>
                                  <w14:textOutline w14:w="9525" w14:cap="flat" w14:cmpd="sng" w14:algn="ctr">
                                    <w14:noFill/>
                                    <w14:prstDash w14:val="solid"/>
                                    <w14:round/>
                                  </w14:textOutline>
                                </w:rPr>
                              </w:pPr>
                              <w:r w:rsidRPr="008372B9">
                                <w:rPr>
                                  <w:rFonts w:eastAsia="Calibri"/>
                                  <w:color w:val="000000" w:themeColor="text1"/>
                                  <w:sz w:val="20"/>
                                  <w:szCs w:val="20"/>
                                  <w:u w:val="single"/>
                                  <w14:textOutline w14:w="9525" w14:cap="flat" w14:cmpd="sng" w14:algn="ctr">
                                    <w14:noFill/>
                                    <w14:prstDash w14:val="solid"/>
                                    <w14:round/>
                                  </w14:textOutline>
                                </w:rPr>
                                <w:t>Con complicaciones asociadas</w:t>
                              </w:r>
                            </w:p>
                            <w:p w14:paraId="1C6DAB55"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Prueba del apetito negativa</w:t>
                              </w:r>
                            </w:p>
                            <w:p w14:paraId="36528B9C"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Letargia</w:t>
                              </w:r>
                            </w:p>
                            <w:p w14:paraId="17C2AE33"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Inconsciencia o convulsiones</w:t>
                              </w:r>
                            </w:p>
                            <w:p w14:paraId="22A19BCB"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Vomita todo</w:t>
                              </w:r>
                            </w:p>
                            <w:p w14:paraId="2CE2763E"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Fiebre o hipotermia</w:t>
                              </w:r>
                            </w:p>
                            <w:p w14:paraId="06DEE48B"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Presenta alguna incapacidad</w:t>
                              </w:r>
                            </w:p>
                            <w:p w14:paraId="2FF26EEE" w14:textId="77777777" w:rsidR="00F16AAB" w:rsidRPr="00D67F74"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D67F74">
                                <w:rPr>
                                  <w:rFonts w:eastAsia="Calibri"/>
                                  <w:color w:val="000000" w:themeColor="text1"/>
                                  <w:sz w:val="20"/>
                                  <w:szCs w:val="20"/>
                                  <w14:textOutline w14:w="9525" w14:cap="flat" w14:cmpd="sng" w14:algn="ctr">
                                    <w14:noFill/>
                                    <w14:prstDash w14:val="solid"/>
                                    <w14:round/>
                                  </w14:textOutline>
                                </w:rPr>
                                <w:t>Entre otros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Conector: angular 24"/>
                        <wps:cNvCnPr>
                          <a:stCxn id="41" idx="3"/>
                          <a:endCxn id="21" idx="1"/>
                        </wps:cNvCnPr>
                        <wps:spPr>
                          <a:xfrm>
                            <a:off x="1471049" y="3291776"/>
                            <a:ext cx="604474" cy="272904"/>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25" name="Conector: angular 25"/>
                        <wps:cNvCnPr>
                          <a:stCxn id="41" idx="3"/>
                          <a:endCxn id="22" idx="1"/>
                        </wps:cNvCnPr>
                        <wps:spPr>
                          <a:xfrm flipV="1">
                            <a:off x="1471049" y="2136075"/>
                            <a:ext cx="596539" cy="1155701"/>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27" name="Rectángulo: esquinas redondeadas 27"/>
                        <wps:cNvSpPr/>
                        <wps:spPr>
                          <a:xfrm>
                            <a:off x="4676924" y="2545632"/>
                            <a:ext cx="3040999" cy="1740535"/>
                          </a:xfrm>
                          <a:prstGeom prst="round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33EB7" w14:textId="77777777" w:rsidR="00F16AAB" w:rsidRPr="008372B9" w:rsidRDefault="00F16AAB" w:rsidP="00067A43">
                              <w:pPr>
                                <w:jc w:val="center"/>
                                <w:rPr>
                                  <w:rFonts w:cs="Times New Roman"/>
                                  <w:b/>
                                  <w:color w:val="000000" w:themeColor="text1"/>
                                  <w:sz w:val="20"/>
                                  <w:szCs w:val="20"/>
                                </w:rPr>
                              </w:pPr>
                              <w:r w:rsidRPr="008372B9">
                                <w:rPr>
                                  <w:rFonts w:cs="Times New Roman"/>
                                  <w:b/>
                                  <w:color w:val="000000" w:themeColor="text1"/>
                                  <w:sz w:val="20"/>
                                  <w:szCs w:val="20"/>
                                </w:rPr>
                                <w:t>Manejo en el Hogar</w:t>
                              </w:r>
                            </w:p>
                            <w:p w14:paraId="5A69D2C4"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Atención médica y nutricional: manejo anticipado de las infecciones, suministro de la FTLC, desparasitación, manejo de la deficiencia de micronutrientes y vacunación.</w:t>
                              </w:r>
                            </w:p>
                            <w:p w14:paraId="28C78358"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Seguimiento médico y nutricional. Sistemático.</w:t>
                              </w:r>
                            </w:p>
                            <w:p w14:paraId="09068E28"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 xml:space="preserve">Concertación de prácticas claves en salud y nutrición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Conector: angular 28"/>
                        <wps:cNvCnPr>
                          <a:stCxn id="21" idx="3"/>
                          <a:endCxn id="27" idx="1"/>
                        </wps:cNvCnPr>
                        <wps:spPr>
                          <a:xfrm flipV="1">
                            <a:off x="4075433" y="3415900"/>
                            <a:ext cx="601491" cy="148797"/>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29" name="Rectángulo: esquinas redondeadas 29"/>
                        <wps:cNvSpPr/>
                        <wps:spPr>
                          <a:xfrm>
                            <a:off x="4676924" y="6227"/>
                            <a:ext cx="2899533" cy="1235976"/>
                          </a:xfrm>
                          <a:prstGeom prst="round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B5A3A1" w14:textId="77777777" w:rsidR="00F16AAB" w:rsidRPr="008372B9" w:rsidRDefault="00F16AAB" w:rsidP="00067A43">
                              <w:pPr>
                                <w:jc w:val="center"/>
                                <w:rPr>
                                  <w:rFonts w:cs="Times New Roman"/>
                                  <w:b/>
                                  <w:color w:val="000000" w:themeColor="text1"/>
                                  <w:sz w:val="20"/>
                                  <w:szCs w:val="20"/>
                                </w:rPr>
                              </w:pPr>
                              <w:r w:rsidRPr="008372B9">
                                <w:rPr>
                                  <w:rFonts w:cs="Times New Roman"/>
                                  <w:b/>
                                  <w:color w:val="000000" w:themeColor="text1"/>
                                  <w:sz w:val="20"/>
                                  <w:szCs w:val="20"/>
                                </w:rPr>
                                <w:t>Manejo intrahospitalario</w:t>
                              </w:r>
                            </w:p>
                            <w:p w14:paraId="3A531528"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Manejo de las complicaciones médicas en el contexto de la desnutrición aguda.</w:t>
                              </w:r>
                            </w:p>
                            <w:p w14:paraId="205F65D1"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Manejo nutricional.</w:t>
                              </w:r>
                            </w:p>
                            <w:p w14:paraId="06D1C4F1"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Fortalecer lactancia materna e iniciar re-lactancia (si aplica)</w:t>
                              </w:r>
                              <w:r w:rsidRPr="008372B9">
                                <w:rPr>
                                  <w:rFonts w:eastAsia="Calibri" w:cs="Times New Roman"/>
                                  <w:color w:val="000000"/>
                                  <w:sz w:val="20"/>
                                  <w:szCs w:val="20"/>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Conector: angular 30"/>
                        <wps:cNvCnPr>
                          <a:stCxn id="22" idx="3"/>
                          <a:endCxn id="29" idx="1"/>
                        </wps:cNvCnPr>
                        <wps:spPr>
                          <a:xfrm flipV="1">
                            <a:off x="4067498" y="624215"/>
                            <a:ext cx="609426" cy="1511860"/>
                          </a:xfrm>
                          <a:prstGeom prst="bentConnector3">
                            <a:avLst>
                              <a:gd name="adj1" fmla="val 5261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31" name="Rectángulo 31"/>
                        <wps:cNvSpPr/>
                        <wps:spPr>
                          <a:xfrm>
                            <a:off x="4950057" y="1300379"/>
                            <a:ext cx="2447925" cy="610026"/>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5C0D89"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 xml:space="preserve">Se presentan complicaciones médicas y nutricionales, </w:t>
                              </w:r>
                            </w:p>
                            <w:p w14:paraId="79800AF2"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No hay ganancia satisfactoria de peso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ángulo 32"/>
                        <wps:cNvSpPr/>
                        <wps:spPr>
                          <a:xfrm>
                            <a:off x="4950057" y="1960296"/>
                            <a:ext cx="2447925" cy="450171"/>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F62A49" w14:textId="77777777" w:rsidR="00F16AAB" w:rsidRPr="000A4517" w:rsidRDefault="00F16AAB" w:rsidP="00B52507">
                              <w:pPr>
                                <w:pStyle w:val="ListParagraph"/>
                                <w:numPr>
                                  <w:ilvl w:val="0"/>
                                  <w:numId w:val="6"/>
                                </w:numPr>
                                <w:spacing w:line="259" w:lineRule="auto"/>
                                <w:rPr>
                                  <w:rFonts w:cs="Times New Roman"/>
                                  <w:color w:val="000000" w:themeColor="text1"/>
                                  <w:sz w:val="20"/>
                                  <w:szCs w:val="20"/>
                                </w:rPr>
                              </w:pPr>
                              <w:r w:rsidRPr="000A4517">
                                <w:rPr>
                                  <w:rFonts w:cs="Times New Roman"/>
                                  <w:color w:val="000000" w:themeColor="text1"/>
                                  <w:sz w:val="20"/>
                                  <w:szCs w:val="20"/>
                                </w:rPr>
                                <w:t>Retorno del apetito</w:t>
                              </w:r>
                            </w:p>
                            <w:p w14:paraId="57C10623" w14:textId="77777777" w:rsidR="00F16AAB" w:rsidRPr="000A4517" w:rsidRDefault="00F16AAB" w:rsidP="00B52507">
                              <w:pPr>
                                <w:pStyle w:val="ListParagraph"/>
                                <w:numPr>
                                  <w:ilvl w:val="0"/>
                                  <w:numId w:val="6"/>
                                </w:numPr>
                                <w:spacing w:line="259" w:lineRule="auto"/>
                                <w:rPr>
                                  <w:rFonts w:cs="Times New Roman"/>
                                  <w:color w:val="000000" w:themeColor="text1"/>
                                  <w:sz w:val="20"/>
                                  <w:szCs w:val="20"/>
                                </w:rPr>
                              </w:pPr>
                              <w:r w:rsidRPr="000A4517">
                                <w:rPr>
                                  <w:rFonts w:cs="Times New Roman"/>
                                  <w:color w:val="000000" w:themeColor="text1"/>
                                  <w:sz w:val="20"/>
                                  <w:szCs w:val="20"/>
                                </w:rPr>
                                <w:t>Se controlan las complicaciones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Conector: angular 34"/>
                        <wps:cNvCnPr/>
                        <wps:spPr>
                          <a:xfrm rot="5400000">
                            <a:off x="4443072" y="2531820"/>
                            <a:ext cx="3" cy="3508700"/>
                          </a:xfrm>
                          <a:prstGeom prst="bentConnector2">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35" name="Conector: angular 35"/>
                        <wps:cNvCnPr>
                          <a:stCxn id="29" idx="3"/>
                          <a:endCxn id="32" idx="3"/>
                        </wps:cNvCnPr>
                        <wps:spPr>
                          <a:xfrm flipH="1">
                            <a:off x="7397982" y="624215"/>
                            <a:ext cx="178475" cy="1561167"/>
                          </a:xfrm>
                          <a:prstGeom prst="bentConnector3">
                            <a:avLst>
                              <a:gd name="adj1" fmla="val -128085"/>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36" name="Conector: angular 36"/>
                        <wps:cNvCnPr>
                          <a:stCxn id="32" idx="1"/>
                          <a:endCxn id="27" idx="1"/>
                        </wps:cNvCnPr>
                        <wps:spPr>
                          <a:xfrm rot="10800000" flipV="1">
                            <a:off x="4676925" y="2185382"/>
                            <a:ext cx="273133" cy="1230518"/>
                          </a:xfrm>
                          <a:prstGeom prst="bentConnector3">
                            <a:avLst>
                              <a:gd name="adj1" fmla="val 183695"/>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37" name="Rectángulo 37"/>
                        <wps:cNvSpPr/>
                        <wps:spPr>
                          <a:xfrm>
                            <a:off x="1471049" y="4356339"/>
                            <a:ext cx="2515440" cy="788675"/>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56D830"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 xml:space="preserve">P/T entre -1 y -2 DE </w:t>
                              </w:r>
                            </w:p>
                            <w:p w14:paraId="4CB05891"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Prueba del apetito positiva</w:t>
                              </w:r>
                            </w:p>
                            <w:p w14:paraId="2442962F" w14:textId="77777777" w:rsidR="00F16AAB" w:rsidRPr="00CC2C5C" w:rsidRDefault="00F16AAB" w:rsidP="00B52507">
                              <w:pPr>
                                <w:pStyle w:val="ListParagraph"/>
                                <w:numPr>
                                  <w:ilvl w:val="0"/>
                                  <w:numId w:val="6"/>
                                </w:numPr>
                                <w:spacing w:line="259" w:lineRule="auto"/>
                                <w:rPr>
                                  <w:color w:val="000000" w:themeColor="text1"/>
                                  <w:sz w:val="20"/>
                                  <w:szCs w:val="20"/>
                                </w:rPr>
                              </w:pPr>
                              <w:r>
                                <w:rPr>
                                  <w:rFonts w:cs="Times New Roman"/>
                                  <w:color w:val="000000" w:themeColor="text1"/>
                                  <w:sz w:val="20"/>
                                  <w:szCs w:val="20"/>
                                </w:rPr>
                                <w:t>Sin complicaciones médicas</w:t>
                              </w:r>
                            </w:p>
                            <w:p w14:paraId="298844F2" w14:textId="77777777" w:rsidR="00F16AAB" w:rsidRPr="00867C0B" w:rsidRDefault="00F16AAB" w:rsidP="00B52507">
                              <w:pPr>
                                <w:pStyle w:val="ListParagraph"/>
                                <w:numPr>
                                  <w:ilvl w:val="0"/>
                                  <w:numId w:val="6"/>
                                </w:numPr>
                                <w:spacing w:line="259" w:lineRule="auto"/>
                                <w:rPr>
                                  <w:color w:val="000000" w:themeColor="text1"/>
                                  <w:sz w:val="20"/>
                                  <w:szCs w:val="20"/>
                                </w:rPr>
                              </w:pPr>
                              <w:r>
                                <w:rPr>
                                  <w:rFonts w:cs="Times New Roman"/>
                                  <w:color w:val="000000" w:themeColor="text1"/>
                                  <w:sz w:val="20"/>
                                  <w:szCs w:val="20"/>
                                </w:rPr>
                                <w:t>A</w:t>
                              </w:r>
                              <w:r w:rsidRPr="008372B9">
                                <w:rPr>
                                  <w:rFonts w:cs="Times New Roman"/>
                                  <w:color w:val="000000" w:themeColor="text1"/>
                                  <w:sz w:val="20"/>
                                  <w:szCs w:val="20"/>
                                </w:rPr>
                                <w:t>le</w:t>
                              </w:r>
                              <w:r>
                                <w:rPr>
                                  <w:rFonts w:cs="Times New Roman"/>
                                  <w:color w:val="000000" w:themeColor="text1"/>
                                  <w:sz w:val="20"/>
                                  <w:szCs w:val="20"/>
                                </w:rPr>
                                <w:t xml:space="preserve">rta </w:t>
                              </w:r>
                              <w:r w:rsidRPr="008372B9">
                                <w:rPr>
                                  <w:rFonts w:cs="Times New Roman"/>
                                  <w:color w:val="000000" w:themeColor="text1"/>
                                  <w:sz w:val="20"/>
                                  <w:szCs w:val="20"/>
                                </w:rPr>
                                <w:t>y</w:t>
                              </w:r>
                              <w:r>
                                <w:rPr>
                                  <w:color w:val="000000" w:themeColor="text1"/>
                                  <w:sz w:val="20"/>
                                  <w:szCs w:val="20"/>
                                </w:rPr>
                                <w:t xml:space="preserve"> consciente</w:t>
                              </w:r>
                            </w:p>
                            <w:p w14:paraId="6BC9B068" w14:textId="77777777" w:rsidR="00F16AAB" w:rsidRDefault="00F16AAB" w:rsidP="00067A43">
                              <w:pPr>
                                <w:pStyle w:val="NormalWeb"/>
                                <w:spacing w:before="0" w:beforeAutospacing="0" w:after="0" w:afterAutospacing="0" w:line="256" w:lineRule="auto"/>
                                <w:ind w:left="360" w:hanging="360"/>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Rectángulo: esquinas redondeadas 39"/>
                        <wps:cNvSpPr/>
                        <wps:spPr>
                          <a:xfrm>
                            <a:off x="4433740" y="4423265"/>
                            <a:ext cx="1692950" cy="721749"/>
                          </a:xfrm>
                          <a:prstGeom prst="round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BEA924" w14:textId="77777777" w:rsidR="00F16AAB" w:rsidRPr="00584095" w:rsidRDefault="00F16AAB" w:rsidP="00067A43">
                              <w:pPr>
                                <w:rPr>
                                  <w:rFonts w:cs="Times New Roman"/>
                                  <w:color w:val="000000" w:themeColor="text1"/>
                                  <w:sz w:val="16"/>
                                  <w:szCs w:val="20"/>
                                </w:rPr>
                              </w:pPr>
                              <w:r w:rsidRPr="00584095">
                                <w:rPr>
                                  <w:rFonts w:cs="Times New Roman"/>
                                  <w:color w:val="000000" w:themeColor="text1"/>
                                  <w:sz w:val="16"/>
                                  <w:szCs w:val="20"/>
                                </w:rPr>
                                <w:t>Complementación alimentaria y acciones de promoción en salud</w:t>
                              </w:r>
                            </w:p>
                            <w:p w14:paraId="4F6B9202" w14:textId="77777777" w:rsidR="00F16AAB" w:rsidRPr="00584095" w:rsidRDefault="00F16AAB" w:rsidP="00067A43">
                              <w:pPr>
                                <w:rPr>
                                  <w:rFonts w:eastAsia="Times New Roman" w:cs="Times New Roman"/>
                                  <w:color w:val="000000" w:themeColor="text1"/>
                                  <w:sz w:val="16"/>
                                  <w:szCs w:val="20"/>
                                </w:rPr>
                              </w:pPr>
                              <w:r w:rsidRPr="00584095">
                                <w:rPr>
                                  <w:rFonts w:cs="Times New Roman"/>
                                  <w:color w:val="000000" w:themeColor="text1"/>
                                  <w:sz w:val="16"/>
                                  <w:szCs w:val="20"/>
                                </w:rPr>
                                <w:t>Seguimiento médico y nutricional periódico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Conector: angular 40"/>
                        <wps:cNvCnPr>
                          <a:stCxn id="37" idx="3"/>
                          <a:endCxn id="39" idx="1"/>
                        </wps:cNvCnPr>
                        <wps:spPr>
                          <a:xfrm>
                            <a:off x="3986489" y="4750677"/>
                            <a:ext cx="447251" cy="33463"/>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41" name="Rectángulo 41"/>
                        <wps:cNvSpPr/>
                        <wps:spPr>
                          <a:xfrm>
                            <a:off x="122830" y="2653066"/>
                            <a:ext cx="1348219" cy="1277419"/>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F4E385" w14:textId="77777777" w:rsidR="00F16AAB" w:rsidRDefault="00F16AAB" w:rsidP="00067A43">
                              <w:pPr>
                                <w:pStyle w:val="NormalWeb"/>
                                <w:spacing w:before="0" w:beforeAutospacing="0" w:after="0" w:afterAutospacing="0" w:line="254" w:lineRule="auto"/>
                                <w:rPr>
                                  <w:rFonts w:eastAsia="Calibri"/>
                                  <w:color w:val="000000"/>
                                  <w:sz w:val="20"/>
                                  <w:szCs w:val="20"/>
                                  <w:u w:val="single"/>
                                </w:rPr>
                              </w:pPr>
                              <w:r>
                                <w:rPr>
                                  <w:rFonts w:eastAsia="Calibri"/>
                                  <w:color w:val="000000"/>
                                  <w:sz w:val="20"/>
                                  <w:szCs w:val="20"/>
                                  <w:u w:val="single"/>
                                </w:rPr>
                                <w:t>Niños y niñas entre los 6 y 59 meses</w:t>
                              </w:r>
                            </w:p>
                            <w:p w14:paraId="05C926E2" w14:textId="77777777" w:rsidR="00F16AAB" w:rsidRDefault="00F16AAB" w:rsidP="00067A43">
                              <w:pPr>
                                <w:pStyle w:val="NormalWeb"/>
                                <w:spacing w:before="0" w:beforeAutospacing="0" w:after="0" w:afterAutospacing="0" w:line="254" w:lineRule="auto"/>
                                <w:rPr>
                                  <w:rFonts w:eastAsia="Calibri"/>
                                  <w:color w:val="000000"/>
                                  <w:sz w:val="20"/>
                                  <w:szCs w:val="20"/>
                                  <w:u w:val="single"/>
                                </w:rPr>
                              </w:pPr>
                            </w:p>
                            <w:p w14:paraId="10E55D1C"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P/T&lt;-2 DE</w:t>
                              </w:r>
                            </w:p>
                            <w:p w14:paraId="4A31A6B4" w14:textId="77777777" w:rsidR="00F16AAB"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PB&lt;11.5cm</w:t>
                              </w:r>
                            </w:p>
                            <w:p w14:paraId="6DD535AF"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Edema bilateral</w:t>
                              </w:r>
                            </w:p>
                            <w:p w14:paraId="277962CD" w14:textId="77777777" w:rsidR="00F16AAB" w:rsidRPr="004D449A" w:rsidRDefault="00F16AAB" w:rsidP="002E1B25">
                              <w:pPr>
                                <w:pStyle w:val="NormalWeb"/>
                                <w:spacing w:before="0" w:beforeAutospacing="0" w:after="0" w:afterAutospacing="0" w:line="254" w:lineRule="auto"/>
                                <w:rPr>
                                  <w:rFonts w:eastAsia="Calibri"/>
                                  <w:color w:val="000000"/>
                                  <w:sz w:val="20"/>
                                  <w:szCs w:val="20"/>
                                  <w:u w:val="single"/>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Rectángulo 42"/>
                        <wps:cNvSpPr/>
                        <wps:spPr>
                          <a:xfrm>
                            <a:off x="122830" y="1177795"/>
                            <a:ext cx="1348219" cy="1133908"/>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5260FB" w14:textId="77777777" w:rsidR="00F16AAB" w:rsidRDefault="00F16AAB" w:rsidP="00067A43">
                              <w:pPr>
                                <w:pStyle w:val="NormalWeb"/>
                                <w:spacing w:before="0" w:beforeAutospacing="0" w:after="0" w:afterAutospacing="0" w:line="252" w:lineRule="auto"/>
                                <w:rPr>
                                  <w:rFonts w:eastAsia="Calibri"/>
                                  <w:color w:val="000000"/>
                                  <w:sz w:val="20"/>
                                  <w:szCs w:val="20"/>
                                  <w:u w:val="single"/>
                                </w:rPr>
                              </w:pPr>
                              <w:r>
                                <w:rPr>
                                  <w:rFonts w:eastAsia="Calibri"/>
                                  <w:color w:val="000000"/>
                                  <w:sz w:val="20"/>
                                  <w:szCs w:val="20"/>
                                  <w:u w:val="single"/>
                                </w:rPr>
                                <w:t>Niños y niñas menores de 6 meses</w:t>
                              </w:r>
                            </w:p>
                            <w:p w14:paraId="585F42A4" w14:textId="77777777" w:rsidR="00F16AAB" w:rsidRDefault="00F16AAB" w:rsidP="00067A43">
                              <w:pPr>
                                <w:pStyle w:val="NormalWeb"/>
                                <w:spacing w:before="0" w:beforeAutospacing="0" w:after="0" w:afterAutospacing="0" w:line="252" w:lineRule="auto"/>
                              </w:pPr>
                            </w:p>
                            <w:p w14:paraId="598C7607" w14:textId="77777777" w:rsidR="00F16AAB" w:rsidRDefault="00F16AAB" w:rsidP="00BB1D7B">
                              <w:pPr>
                                <w:pStyle w:val="NormalWeb"/>
                                <w:numPr>
                                  <w:ilvl w:val="0"/>
                                  <w:numId w:val="11"/>
                                </w:numPr>
                                <w:spacing w:before="0" w:beforeAutospacing="0" w:after="0" w:afterAutospacing="0" w:line="254" w:lineRule="auto"/>
                                <w:rPr>
                                  <w:rFonts w:eastAsia="Calibri"/>
                                  <w:color w:val="000000"/>
                                  <w:sz w:val="20"/>
                                  <w:szCs w:val="20"/>
                                </w:rPr>
                              </w:pPr>
                              <w:r>
                                <w:rPr>
                                  <w:rFonts w:eastAsia="Calibri"/>
                                  <w:color w:val="000000"/>
                                  <w:sz w:val="20"/>
                                  <w:szCs w:val="20"/>
                                </w:rPr>
                                <w:t>Delgadez visible</w:t>
                              </w:r>
                            </w:p>
                            <w:p w14:paraId="7C98CC52" w14:textId="77777777" w:rsidR="00F16AAB" w:rsidRDefault="00F16AAB" w:rsidP="00BB1D7B">
                              <w:pPr>
                                <w:pStyle w:val="NormalWeb"/>
                                <w:numPr>
                                  <w:ilvl w:val="0"/>
                                  <w:numId w:val="11"/>
                                </w:numPr>
                                <w:spacing w:before="0" w:beforeAutospacing="0" w:after="0" w:afterAutospacing="0" w:line="254" w:lineRule="auto"/>
                                <w:rPr>
                                  <w:rFonts w:eastAsia="Calibri"/>
                                  <w:color w:val="000000"/>
                                  <w:sz w:val="20"/>
                                  <w:szCs w:val="20"/>
                                </w:rPr>
                              </w:pPr>
                              <w:r>
                                <w:rPr>
                                  <w:rFonts w:eastAsia="Calibri"/>
                                  <w:color w:val="000000"/>
                                  <w:sz w:val="20"/>
                                  <w:szCs w:val="20"/>
                                </w:rPr>
                                <w:t>P/T&lt;-2 DE</w:t>
                              </w:r>
                            </w:p>
                            <w:p w14:paraId="0CE36791" w14:textId="77777777" w:rsidR="00F16AAB" w:rsidRDefault="00F16AAB" w:rsidP="00BB1D7B">
                              <w:pPr>
                                <w:pStyle w:val="NormalWeb"/>
                                <w:numPr>
                                  <w:ilvl w:val="0"/>
                                  <w:numId w:val="11"/>
                                </w:numPr>
                                <w:spacing w:before="0" w:beforeAutospacing="0" w:after="0" w:afterAutospacing="0" w:line="254" w:lineRule="auto"/>
                              </w:pPr>
                              <w:r>
                                <w:rPr>
                                  <w:rFonts w:eastAsia="Calibri"/>
                                  <w:color w:val="000000"/>
                                  <w:sz w:val="20"/>
                                  <w:szCs w:val="20"/>
                                </w:rPr>
                                <w:t>Edema bilateral</w:t>
                              </w:r>
                            </w:p>
                            <w:p w14:paraId="0B08F03C" w14:textId="77777777" w:rsidR="00F16AAB" w:rsidRDefault="00F16AAB" w:rsidP="00067A43">
                              <w:pPr>
                                <w:pStyle w:val="NormalWeb"/>
                                <w:spacing w:before="0" w:beforeAutospacing="0" w:after="0" w:afterAutospacing="0" w:line="252" w:lineRule="auto"/>
                                <w:ind w:left="360" w:hanging="360"/>
                              </w:pPr>
                              <w:r>
                                <w:rPr>
                                  <w:rFonts w:eastAsia="Calibri"/>
                                  <w:color w:val="000000"/>
                                  <w:sz w:val="20"/>
                                  <w:szCs w:val="20"/>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Rectángulo 43"/>
                        <wps:cNvSpPr/>
                        <wps:spPr>
                          <a:xfrm>
                            <a:off x="122830" y="6226"/>
                            <a:ext cx="1348219" cy="805053"/>
                          </a:xfrm>
                          <a:prstGeom prst="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E93DD1" w14:textId="77777777" w:rsidR="00F16AAB" w:rsidRPr="000A4517" w:rsidRDefault="00F16AAB" w:rsidP="00067A43">
                              <w:pPr>
                                <w:pStyle w:val="NormalWeb"/>
                                <w:spacing w:before="0" w:beforeAutospacing="0" w:after="0" w:afterAutospacing="0" w:line="252" w:lineRule="auto"/>
                                <w:rPr>
                                  <w:rFonts w:eastAsia="Calibri"/>
                                  <w:color w:val="000000"/>
                                  <w:sz w:val="20"/>
                                  <w:szCs w:val="20"/>
                                  <w:u w:val="single"/>
                                </w:rPr>
                              </w:pPr>
                              <w:r>
                                <w:rPr>
                                  <w:rFonts w:eastAsia="Calibri"/>
                                  <w:color w:val="000000"/>
                                  <w:sz w:val="20"/>
                                  <w:szCs w:val="20"/>
                                  <w:u w:val="single"/>
                                </w:rPr>
                                <w:t>Niños y niñas mayores de 6 meses con peso inferior a 4 kilogramos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4" name="Conector: angular 44"/>
                        <wps:cNvCnPr>
                          <a:stCxn id="43" idx="3"/>
                          <a:endCxn id="29" idx="1"/>
                        </wps:cNvCnPr>
                        <wps:spPr>
                          <a:xfrm>
                            <a:off x="1471049" y="408753"/>
                            <a:ext cx="3205875" cy="215462"/>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45" name="Conector: angular 45"/>
                        <wps:cNvCnPr>
                          <a:stCxn id="42" idx="3"/>
                          <a:endCxn id="29" idx="1"/>
                        </wps:cNvCnPr>
                        <wps:spPr>
                          <a:xfrm flipV="1">
                            <a:off x="1471049" y="624215"/>
                            <a:ext cx="3205875" cy="1120534"/>
                          </a:xfrm>
                          <a:prstGeom prst="bentConnector3">
                            <a:avLst>
                              <a:gd name="adj1" fmla="val 12946"/>
                            </a:avLst>
                          </a:prstGeom>
                          <a:ln>
                            <a:tailEnd type="triangle"/>
                          </a:ln>
                        </wps:spPr>
                        <wps:style>
                          <a:lnRef idx="3">
                            <a:schemeClr val="accent5"/>
                          </a:lnRef>
                          <a:fillRef idx="0">
                            <a:schemeClr val="accent5"/>
                          </a:fillRef>
                          <a:effectRef idx="2">
                            <a:schemeClr val="accent5"/>
                          </a:effectRef>
                          <a:fontRef idx="minor">
                            <a:schemeClr val="tx1"/>
                          </a:fontRef>
                        </wps:style>
                        <wps:bodyPr/>
                      </wps:wsp>
                      <wps:wsp>
                        <wps:cNvPr id="46" name="Conector: angular 46"/>
                        <wps:cNvCnPr>
                          <a:stCxn id="27" idx="3"/>
                          <a:endCxn id="31" idx="3"/>
                        </wps:cNvCnPr>
                        <wps:spPr>
                          <a:xfrm flipH="1" flipV="1">
                            <a:off x="7397982" y="1605392"/>
                            <a:ext cx="319941" cy="1810508"/>
                          </a:xfrm>
                          <a:prstGeom prst="bentConnector3">
                            <a:avLst>
                              <a:gd name="adj1" fmla="val -7145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47" name="Conector: angular 47"/>
                        <wps:cNvCnPr>
                          <a:stCxn id="31" idx="1"/>
                          <a:endCxn id="29" idx="1"/>
                        </wps:cNvCnPr>
                        <wps:spPr>
                          <a:xfrm rot="10800000">
                            <a:off x="4676925" y="624216"/>
                            <a:ext cx="273133" cy="981177"/>
                          </a:xfrm>
                          <a:prstGeom prst="bentConnector3">
                            <a:avLst>
                              <a:gd name="adj1" fmla="val 201162"/>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48" name="Rectángulo: esquinas redondeadas 48"/>
                        <wps:cNvSpPr/>
                        <wps:spPr>
                          <a:xfrm>
                            <a:off x="6477290" y="4500985"/>
                            <a:ext cx="1621681" cy="498475"/>
                          </a:xfrm>
                          <a:prstGeom prst="roundRect">
                            <a:avLst/>
                          </a:prstGeom>
                          <a:no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D24623" w14:textId="77777777" w:rsidR="00F16AAB" w:rsidRPr="00CC2C5C" w:rsidRDefault="00F16AAB" w:rsidP="00067A43">
                              <w:pPr>
                                <w:pStyle w:val="NormalWeb"/>
                                <w:spacing w:before="0" w:beforeAutospacing="0" w:after="160" w:afterAutospacing="0" w:line="256" w:lineRule="auto"/>
                                <w:jc w:val="center"/>
                                <w:rPr>
                                  <w:b/>
                                </w:rPr>
                              </w:pPr>
                              <w:r w:rsidRPr="00CC2C5C">
                                <w:rPr>
                                  <w:rFonts w:eastAsia="Calibri"/>
                                  <w:b/>
                                  <w:color w:val="000000"/>
                                  <w:sz w:val="20"/>
                                  <w:szCs w:val="20"/>
                                </w:rPr>
                                <w:t>Seguimiento médico y nutricional periódico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Conector: angular 49"/>
                        <wps:cNvCnPr>
                          <a:stCxn id="39" idx="3"/>
                          <a:endCxn id="48" idx="1"/>
                        </wps:cNvCnPr>
                        <wps:spPr>
                          <a:xfrm flipV="1">
                            <a:off x="6126690" y="4750223"/>
                            <a:ext cx="350600" cy="33917"/>
                          </a:xfrm>
                          <a:prstGeom prst="bentConnector3">
                            <a:avLst>
                              <a:gd name="adj1" fmla="val 50000"/>
                            </a:avLst>
                          </a:prstGeom>
                          <a:ln>
                            <a:tailEnd type="triangle"/>
                          </a:ln>
                        </wps:spPr>
                        <wps:style>
                          <a:lnRef idx="3">
                            <a:schemeClr val="accent5"/>
                          </a:lnRef>
                          <a:fillRef idx="0">
                            <a:schemeClr val="accent5"/>
                          </a:fillRef>
                          <a:effectRef idx="2">
                            <a:schemeClr val="accent5"/>
                          </a:effectRef>
                          <a:fontRef idx="minor">
                            <a:schemeClr val="tx1"/>
                          </a:fontRef>
                        </wps:style>
                        <wps:bodyPr/>
                      </wps:wsp>
                    </wpc:wpc>
                  </a:graphicData>
                </a:graphic>
                <wp14:sizeRelV relativeFrom="margin">
                  <wp14:pctHeight>0</wp14:pctHeight>
                </wp14:sizeRelV>
              </wp:anchor>
            </w:drawing>
          </mc:Choice>
          <mc:Fallback>
            <w:pict>
              <v:group w14:anchorId="4ADBDEB3" id="Lienzo 13" o:spid="_x0000_s1029" editas="canvas" style="position:absolute;left:0;text-align:left;margin-left:.15pt;margin-top:14.6pt;width:651.2pt;height:407.45pt;z-index:251664384;mso-height-relative:margin" coordsize="82702,51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82702;height:51746;visibility:visible;mso-wrap-style:square">
                  <v:fill o:detectmouseclick="t"/>
                  <v:path o:connecttype="none"/>
                </v:shape>
                <v:rect id="Rectángulo 21" o:spid="_x0000_s1031" style="position:absolute;left:20755;top:31884;width:19999;height:7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" filled="f" strokecolor="#243255 [1604]" strokeweight="1pt">
                  <v:textbox>
                    <w:txbxContent>
                      <w:p w14:paraId="450A823C" w14:textId="77777777" w:rsidR="00F16AAB" w:rsidRPr="008372B9" w:rsidRDefault="00F16AAB" w:rsidP="00067A43">
                        <w:pPr>
                          <w:pStyle w:val="NormalWeb"/>
                          <w:spacing w:before="0" w:beforeAutospacing="0" w:after="0" w:afterAutospacing="0" w:line="256" w:lineRule="auto"/>
                          <w:jc w:val="center"/>
                          <w:rPr>
                            <w:rFonts w:eastAsia="Calibri"/>
                            <w:color w:val="000000" w:themeColor="text1"/>
                            <w:sz w:val="20"/>
                            <w:szCs w:val="20"/>
                            <w:u w:val="single"/>
                            <w14:textOutline w14:w="9525" w14:cap="flat" w14:cmpd="sng" w14:algn="ctr">
                              <w14:noFill/>
                              <w14:prstDash w14:val="solid"/>
                              <w14:round/>
                            </w14:textOutline>
                          </w:rPr>
                        </w:pPr>
                        <w:r w:rsidRPr="008372B9">
                          <w:rPr>
                            <w:rFonts w:eastAsia="Calibri"/>
                            <w:color w:val="000000" w:themeColor="text1"/>
                            <w:sz w:val="20"/>
                            <w:szCs w:val="20"/>
                            <w:u w:val="single"/>
                            <w14:textOutline w14:w="9525" w14:cap="flat" w14:cmpd="sng" w14:algn="ctr">
                              <w14:noFill/>
                              <w14:prstDash w14:val="solid"/>
                              <w14:round/>
                            </w14:textOutline>
                          </w:rPr>
                          <w:t>Sin complicaciones asociadas</w:t>
                        </w:r>
                      </w:p>
                      <w:p w14:paraId="3F330DE4"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Prueba de apetito positiva</w:t>
                        </w:r>
                      </w:p>
                      <w:p w14:paraId="24A8B25B"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Clínicamente bien y estable</w:t>
                        </w:r>
                      </w:p>
                      <w:p w14:paraId="76CF0E51"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Alerta</w:t>
                        </w:r>
                      </w:p>
                    </w:txbxContent>
                  </v:textbox>
                </v:rect>
                <v:rect id="Rectángulo 22" o:spid="_x0000_s1032" style="position:absolute;left:20675;top:13512;width:19999;height:15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" filled="f" strokecolor="#243255 [1604]" strokeweight="1pt">
                  <v:textbox>
                    <w:txbxContent>
                      <w:p w14:paraId="47943979" w14:textId="77777777" w:rsidR="00F16AAB" w:rsidRPr="008372B9" w:rsidRDefault="00F16AAB" w:rsidP="00067A43">
                        <w:pPr>
                          <w:pStyle w:val="NormalWeb"/>
                          <w:spacing w:before="0" w:beforeAutospacing="0" w:after="0" w:afterAutospacing="0" w:line="256" w:lineRule="auto"/>
                          <w:jc w:val="center"/>
                          <w:rPr>
                            <w:rFonts w:eastAsia="Calibri"/>
                            <w:color w:val="000000" w:themeColor="text1"/>
                            <w:sz w:val="20"/>
                            <w:szCs w:val="20"/>
                            <w:u w:val="single"/>
                            <w14:textOutline w14:w="9525" w14:cap="flat" w14:cmpd="sng" w14:algn="ctr">
                              <w14:noFill/>
                              <w14:prstDash w14:val="solid"/>
                              <w14:round/>
                            </w14:textOutline>
                          </w:rPr>
                        </w:pPr>
                        <w:r w:rsidRPr="008372B9">
                          <w:rPr>
                            <w:rFonts w:eastAsia="Calibri"/>
                            <w:color w:val="000000" w:themeColor="text1"/>
                            <w:sz w:val="20"/>
                            <w:szCs w:val="20"/>
                            <w:u w:val="single"/>
                            <w14:textOutline w14:w="9525" w14:cap="flat" w14:cmpd="sng" w14:algn="ctr">
                              <w14:noFill/>
                              <w14:prstDash w14:val="solid"/>
                              <w14:round/>
                            </w14:textOutline>
                          </w:rPr>
                          <w:t>Con complicaciones asociadas</w:t>
                        </w:r>
                      </w:p>
                      <w:p w14:paraId="1C6DAB55"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Prueba del apetito negativa</w:t>
                        </w:r>
                      </w:p>
                      <w:p w14:paraId="36528B9C"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Letargia</w:t>
                        </w:r>
                      </w:p>
                      <w:p w14:paraId="17C2AE33"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Inconsciencia o convulsiones</w:t>
                        </w:r>
                      </w:p>
                      <w:p w14:paraId="22A19BCB"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Vomita todo</w:t>
                        </w:r>
                      </w:p>
                      <w:p w14:paraId="2CE2763E"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Fiebre o hipotermia</w:t>
                        </w:r>
                      </w:p>
                      <w:p w14:paraId="06DEE48B" w14:textId="77777777" w:rsidR="00F16AAB" w:rsidRPr="008372B9"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8372B9">
                          <w:rPr>
                            <w:rFonts w:eastAsia="Calibri"/>
                            <w:color w:val="000000" w:themeColor="text1"/>
                            <w:sz w:val="20"/>
                            <w:szCs w:val="20"/>
                            <w14:textOutline w14:w="9525" w14:cap="flat" w14:cmpd="sng" w14:algn="ctr">
                              <w14:noFill/>
                              <w14:prstDash w14:val="solid"/>
                              <w14:round/>
                            </w14:textOutline>
                          </w:rPr>
                          <w:t>Presenta alguna incapacidad</w:t>
                        </w:r>
                      </w:p>
                      <w:p w14:paraId="2FF26EEE" w14:textId="77777777" w:rsidR="00F16AAB" w:rsidRPr="00D67F74" w:rsidRDefault="00F16AAB" w:rsidP="00B52507">
                        <w:pPr>
                          <w:pStyle w:val="NormalWeb"/>
                          <w:numPr>
                            <w:ilvl w:val="0"/>
                            <w:numId w:val="3"/>
                          </w:numPr>
                          <w:spacing w:before="0" w:beforeAutospacing="0" w:after="0" w:afterAutospacing="0" w:line="256" w:lineRule="auto"/>
                          <w:rPr>
                            <w:color w:val="000000" w:themeColor="text1"/>
                            <w:sz w:val="20"/>
                            <w:szCs w:val="20"/>
                            <w14:textOutline w14:w="9525" w14:cap="flat" w14:cmpd="sng" w14:algn="ctr">
                              <w14:noFill/>
                              <w14:prstDash w14:val="solid"/>
                              <w14:round/>
                            </w14:textOutline>
                          </w:rPr>
                        </w:pPr>
                        <w:r w:rsidRPr="00D67F74">
                          <w:rPr>
                            <w:rFonts w:eastAsia="Calibri"/>
                            <w:color w:val="000000" w:themeColor="text1"/>
                            <w:sz w:val="20"/>
                            <w:szCs w:val="20"/>
                            <w14:textOutline w14:w="9525" w14:cap="flat" w14:cmpd="sng" w14:algn="ctr">
                              <w14:noFill/>
                              <w14:prstDash w14:val="solid"/>
                              <w14:round/>
                            </w14:textOutline>
                          </w:rPr>
                          <w:t>Entre otros</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24" o:spid="_x0000_s1033" type="#_x0000_t34" style="position:absolute;left:14710;top:32917;width:6045;height:272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" strokecolor="#5aa2ae [3208]" strokeweight="1.5pt">
                  <v:stroke endarrow="block"/>
                </v:shape>
                <v:shape id="Conector: angular 25" o:spid="_x0000_s1034" type="#_x0000_t34" style="position:absolute;left:14710;top:21360;width:5965;height:1155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" strokecolor="#5aa2ae [3208]" strokeweight="1.5pt">
                  <v:stroke endarrow="block"/>
                </v:shape>
                <v:roundrect id="Rectángulo: esquinas redondeadas 27" o:spid="_x0000_s1035" style="position:absolute;left:46769;top:25456;width:30410;height:17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" filled="f" strokecolor="#243255 [1604]" strokeweight="1pt">
                  <v:stroke joinstyle="miter"/>
                  <v:textbox>
                    <w:txbxContent>
                      <w:p w14:paraId="60633EB7" w14:textId="77777777" w:rsidR="00F16AAB" w:rsidRPr="008372B9" w:rsidRDefault="00F16AAB" w:rsidP="00067A43">
                        <w:pPr>
                          <w:jc w:val="center"/>
                          <w:rPr>
                            <w:rFonts w:cs="Times New Roman"/>
                            <w:b/>
                            <w:color w:val="000000" w:themeColor="text1"/>
                            <w:sz w:val="20"/>
                            <w:szCs w:val="20"/>
                          </w:rPr>
                        </w:pPr>
                        <w:r w:rsidRPr="008372B9">
                          <w:rPr>
                            <w:rFonts w:cs="Times New Roman"/>
                            <w:b/>
                            <w:color w:val="000000" w:themeColor="text1"/>
                            <w:sz w:val="20"/>
                            <w:szCs w:val="20"/>
                          </w:rPr>
                          <w:t>Manejo en el Hogar</w:t>
                        </w:r>
                      </w:p>
                      <w:p w14:paraId="5A69D2C4"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Atención médica y nutricional: manejo anticipado de las infecciones, suministro de la FTLC, desparasitación, manejo de la deficiencia de micronutrientes y vacunación.</w:t>
                        </w:r>
                      </w:p>
                      <w:p w14:paraId="28C78358"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Seguimiento médico y nutricional. Sistemático.</w:t>
                        </w:r>
                      </w:p>
                      <w:p w14:paraId="09068E28" w14:textId="77777777" w:rsidR="00F16AAB" w:rsidRPr="008372B9" w:rsidRDefault="00F16AAB" w:rsidP="00B52507">
                        <w:pPr>
                          <w:pStyle w:val="ListParagraph"/>
                          <w:numPr>
                            <w:ilvl w:val="0"/>
                            <w:numId w:val="4"/>
                          </w:numPr>
                          <w:spacing w:after="160" w:line="259" w:lineRule="auto"/>
                          <w:rPr>
                            <w:rFonts w:cs="Times New Roman"/>
                            <w:color w:val="000000" w:themeColor="text1"/>
                            <w:sz w:val="20"/>
                            <w:szCs w:val="20"/>
                          </w:rPr>
                        </w:pPr>
                        <w:r w:rsidRPr="008372B9">
                          <w:rPr>
                            <w:rFonts w:cs="Times New Roman"/>
                            <w:color w:val="000000" w:themeColor="text1"/>
                            <w:sz w:val="20"/>
                            <w:szCs w:val="20"/>
                          </w:rPr>
                          <w:t xml:space="preserve">Concertación de prácticas claves en salud y nutrición </w:t>
                        </w:r>
                      </w:p>
                    </w:txbxContent>
                  </v:textbox>
                </v:roundrect>
                <v:shape id="Conector: angular 28" o:spid="_x0000_s1036" type="#_x0000_t34" style="position:absolute;left:40754;top:34159;width:6015;height:148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" strokecolor="#5aa2ae [3208]" strokeweight="1.5pt">
                  <v:stroke endarrow="block"/>
                </v:shape>
                <v:roundrect id="Rectángulo: esquinas redondeadas 29" o:spid="_x0000_s1037" style="position:absolute;left:46769;top:62;width:28995;height:123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" filled="f" strokecolor="#243255 [1604]" strokeweight="1pt">
                  <v:stroke joinstyle="miter"/>
                  <v:textbox>
                    <w:txbxContent>
                      <w:p w14:paraId="13B5A3A1" w14:textId="77777777" w:rsidR="00F16AAB" w:rsidRPr="008372B9" w:rsidRDefault="00F16AAB" w:rsidP="00067A43">
                        <w:pPr>
                          <w:jc w:val="center"/>
                          <w:rPr>
                            <w:rFonts w:cs="Times New Roman"/>
                            <w:b/>
                            <w:color w:val="000000" w:themeColor="text1"/>
                            <w:sz w:val="20"/>
                            <w:szCs w:val="20"/>
                          </w:rPr>
                        </w:pPr>
                        <w:r w:rsidRPr="008372B9">
                          <w:rPr>
                            <w:rFonts w:cs="Times New Roman"/>
                            <w:b/>
                            <w:color w:val="000000" w:themeColor="text1"/>
                            <w:sz w:val="20"/>
                            <w:szCs w:val="20"/>
                          </w:rPr>
                          <w:t>Manejo intrahospitalario</w:t>
                        </w:r>
                      </w:p>
                      <w:p w14:paraId="3A531528"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Manejo de las complicaciones médicas en el contexto de la desnutrición aguda.</w:t>
                        </w:r>
                      </w:p>
                      <w:p w14:paraId="205F65D1"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Manejo nutricional.</w:t>
                        </w:r>
                      </w:p>
                      <w:p w14:paraId="06D1C4F1" w14:textId="77777777" w:rsidR="00F16AAB" w:rsidRPr="008372B9" w:rsidRDefault="00F16AAB" w:rsidP="00B52507">
                        <w:pPr>
                          <w:pStyle w:val="ListParagraph"/>
                          <w:numPr>
                            <w:ilvl w:val="0"/>
                            <w:numId w:val="5"/>
                          </w:numPr>
                          <w:spacing w:line="256" w:lineRule="auto"/>
                          <w:rPr>
                            <w:rFonts w:eastAsia="Times New Roman" w:cs="Times New Roman"/>
                            <w:sz w:val="20"/>
                          </w:rPr>
                        </w:pPr>
                        <w:r w:rsidRPr="008372B9">
                          <w:rPr>
                            <w:rFonts w:cs="Times New Roman"/>
                            <w:color w:val="000000" w:themeColor="text1"/>
                            <w:sz w:val="20"/>
                            <w:szCs w:val="20"/>
                          </w:rPr>
                          <w:t>Fortalecer lactancia materna e iniciar re-lactancia (si aplica)</w:t>
                        </w:r>
                        <w:r w:rsidRPr="008372B9">
                          <w:rPr>
                            <w:rFonts w:eastAsia="Calibri" w:cs="Times New Roman"/>
                            <w:color w:val="000000"/>
                            <w:sz w:val="20"/>
                            <w:szCs w:val="20"/>
                          </w:rPr>
                          <w:t xml:space="preserve"> </w:t>
                        </w:r>
                      </w:p>
                    </w:txbxContent>
                  </v:textbox>
                </v:roundrect>
                <v:shape id="Conector: angular 30" o:spid="_x0000_s1038" type="#_x0000_t34" style="position:absolute;left:40674;top:6242;width:6095;height:15118;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" adj="11364" strokecolor="#5aa2ae [3208]" strokeweight="1.5pt">
                  <v:stroke endarrow="block"/>
                </v:shape>
                <v:rect id="Rectángulo 31" o:spid="_x0000_s1039" style="position:absolute;left:49500;top:13003;width:24479;height:61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" filled="f" strokecolor="#243255 [1604]" strokeweight="1pt">
                  <v:textbox>
                    <w:txbxContent>
                      <w:p w14:paraId="2F5C0D89"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 xml:space="preserve">Se presentan complicaciones médicas y nutricionales, </w:t>
                        </w:r>
                      </w:p>
                      <w:p w14:paraId="79800AF2"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No hay ganancia satisfactoria de peso</w:t>
                        </w:r>
                      </w:p>
                    </w:txbxContent>
                  </v:textbox>
                </v:rect>
                <v:rect id="Rectángulo 32" o:spid="_x0000_s1040" style="position:absolute;left:49500;top:19602;width:24479;height:4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" filled="f" strokecolor="#243255 [1604]" strokeweight="1pt">
                  <v:textbox>
                    <w:txbxContent>
                      <w:p w14:paraId="2DF62A49" w14:textId="77777777" w:rsidR="00F16AAB" w:rsidRPr="000A4517" w:rsidRDefault="00F16AAB" w:rsidP="00B52507">
                        <w:pPr>
                          <w:pStyle w:val="ListParagraph"/>
                          <w:numPr>
                            <w:ilvl w:val="0"/>
                            <w:numId w:val="6"/>
                          </w:numPr>
                          <w:spacing w:line="259" w:lineRule="auto"/>
                          <w:rPr>
                            <w:rFonts w:cs="Times New Roman"/>
                            <w:color w:val="000000" w:themeColor="text1"/>
                            <w:sz w:val="20"/>
                            <w:szCs w:val="20"/>
                          </w:rPr>
                        </w:pPr>
                        <w:r w:rsidRPr="000A4517">
                          <w:rPr>
                            <w:rFonts w:cs="Times New Roman"/>
                            <w:color w:val="000000" w:themeColor="text1"/>
                            <w:sz w:val="20"/>
                            <w:szCs w:val="20"/>
                          </w:rPr>
                          <w:t>Retorno del apetito</w:t>
                        </w:r>
                      </w:p>
                      <w:p w14:paraId="57C10623" w14:textId="77777777" w:rsidR="00F16AAB" w:rsidRPr="000A4517" w:rsidRDefault="00F16AAB" w:rsidP="00B52507">
                        <w:pPr>
                          <w:pStyle w:val="ListParagraph"/>
                          <w:numPr>
                            <w:ilvl w:val="0"/>
                            <w:numId w:val="6"/>
                          </w:numPr>
                          <w:spacing w:line="259" w:lineRule="auto"/>
                          <w:rPr>
                            <w:rFonts w:cs="Times New Roman"/>
                            <w:color w:val="000000" w:themeColor="text1"/>
                            <w:sz w:val="20"/>
                            <w:szCs w:val="20"/>
                          </w:rPr>
                        </w:pPr>
                        <w:r w:rsidRPr="000A4517">
                          <w:rPr>
                            <w:rFonts w:cs="Times New Roman"/>
                            <w:color w:val="000000" w:themeColor="text1"/>
                            <w:sz w:val="20"/>
                            <w:szCs w:val="20"/>
                          </w:rPr>
                          <w:t>Se controlan las complicaciones</w:t>
                        </w:r>
                      </w:p>
                    </w:txbxContent>
                  </v:textbox>
                </v:rect>
                <v:shapetype id="_x0000_t33" coordsize="21600,21600" o:spt="33" o:oned="t" path="m,l21600,r,21600e" filled="f">
                  <v:stroke joinstyle="miter"/>
                  <v:path arrowok="t" fillok="f" o:connecttype="none"/>
                  <o:lock v:ext="edit" shapetype="t"/>
                </v:shapetype>
                <v:shape id="Conector: angular 34" o:spid="_x0000_s1041" type="#_x0000_t33" style="position:absolute;left:44431;top:25317;width:0;height:35087;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" strokecolor="#5aa2ae [3208]" strokeweight="1.5pt">
                  <v:stroke endarrow="block"/>
                </v:shape>
                <v:shape id="Conector: angular 35" o:spid="_x0000_s1042" type="#_x0000_t34" style="position:absolute;left:73979;top:6242;width:1785;height:15611;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" adj="-27666" strokecolor="#4a66ac [3204]" strokeweight="1.5pt">
                  <v:stroke endarrow="block"/>
                </v:shape>
                <v:shape id="Conector: angular 36" o:spid="_x0000_s1043" type="#_x0000_t34" style="position:absolute;left:46769;top:21853;width:2731;height:12306;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" adj="39678" strokecolor="#5aa2ae [3208]" strokeweight="1.5pt">
                  <v:stroke endarrow="block"/>
                </v:shape>
                <v:rect id="Rectángulo 37" o:spid="_x0000_s1044" style="position:absolute;left:14710;top:43563;width:25154;height:78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" filled="f" strokecolor="#243255 [1604]" strokeweight="1pt">
                  <v:textbox>
                    <w:txbxContent>
                      <w:p w14:paraId="0656D830"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 xml:space="preserve">P/T entre -1 y -2 DE </w:t>
                        </w:r>
                      </w:p>
                      <w:p w14:paraId="4CB05891" w14:textId="77777777" w:rsidR="00F16AAB" w:rsidRPr="008372B9" w:rsidRDefault="00F16AAB" w:rsidP="00B52507">
                        <w:pPr>
                          <w:pStyle w:val="ListParagraph"/>
                          <w:numPr>
                            <w:ilvl w:val="0"/>
                            <w:numId w:val="6"/>
                          </w:numPr>
                          <w:spacing w:line="259" w:lineRule="auto"/>
                          <w:rPr>
                            <w:rFonts w:cs="Times New Roman"/>
                            <w:color w:val="000000" w:themeColor="text1"/>
                            <w:sz w:val="20"/>
                            <w:szCs w:val="20"/>
                          </w:rPr>
                        </w:pPr>
                        <w:r w:rsidRPr="008372B9">
                          <w:rPr>
                            <w:rFonts w:cs="Times New Roman"/>
                            <w:color w:val="000000" w:themeColor="text1"/>
                            <w:sz w:val="20"/>
                            <w:szCs w:val="20"/>
                          </w:rPr>
                          <w:t>Prueba del apetito positiva</w:t>
                        </w:r>
                      </w:p>
                      <w:p w14:paraId="2442962F" w14:textId="77777777" w:rsidR="00F16AAB" w:rsidRPr="00CC2C5C" w:rsidRDefault="00F16AAB" w:rsidP="00B52507">
                        <w:pPr>
                          <w:pStyle w:val="ListParagraph"/>
                          <w:numPr>
                            <w:ilvl w:val="0"/>
                            <w:numId w:val="6"/>
                          </w:numPr>
                          <w:spacing w:line="259" w:lineRule="auto"/>
                          <w:rPr>
                            <w:color w:val="000000" w:themeColor="text1"/>
                            <w:sz w:val="20"/>
                            <w:szCs w:val="20"/>
                          </w:rPr>
                        </w:pPr>
                        <w:r>
                          <w:rPr>
                            <w:rFonts w:cs="Times New Roman"/>
                            <w:color w:val="000000" w:themeColor="text1"/>
                            <w:sz w:val="20"/>
                            <w:szCs w:val="20"/>
                          </w:rPr>
                          <w:t>Sin complicaciones médicas</w:t>
                        </w:r>
                      </w:p>
                      <w:p w14:paraId="298844F2" w14:textId="77777777" w:rsidR="00F16AAB" w:rsidRPr="00867C0B" w:rsidRDefault="00F16AAB" w:rsidP="00B52507">
                        <w:pPr>
                          <w:pStyle w:val="ListParagraph"/>
                          <w:numPr>
                            <w:ilvl w:val="0"/>
                            <w:numId w:val="6"/>
                          </w:numPr>
                          <w:spacing w:line="259" w:lineRule="auto"/>
                          <w:rPr>
                            <w:color w:val="000000" w:themeColor="text1"/>
                            <w:sz w:val="20"/>
                            <w:szCs w:val="20"/>
                          </w:rPr>
                        </w:pPr>
                        <w:r>
                          <w:rPr>
                            <w:rFonts w:cs="Times New Roman"/>
                            <w:color w:val="000000" w:themeColor="text1"/>
                            <w:sz w:val="20"/>
                            <w:szCs w:val="20"/>
                          </w:rPr>
                          <w:t>A</w:t>
                        </w:r>
                        <w:r w:rsidRPr="008372B9">
                          <w:rPr>
                            <w:rFonts w:cs="Times New Roman"/>
                            <w:color w:val="000000" w:themeColor="text1"/>
                            <w:sz w:val="20"/>
                            <w:szCs w:val="20"/>
                          </w:rPr>
                          <w:t>le</w:t>
                        </w:r>
                        <w:r>
                          <w:rPr>
                            <w:rFonts w:cs="Times New Roman"/>
                            <w:color w:val="000000" w:themeColor="text1"/>
                            <w:sz w:val="20"/>
                            <w:szCs w:val="20"/>
                          </w:rPr>
                          <w:t xml:space="preserve">rta </w:t>
                        </w:r>
                        <w:r w:rsidRPr="008372B9">
                          <w:rPr>
                            <w:rFonts w:cs="Times New Roman"/>
                            <w:color w:val="000000" w:themeColor="text1"/>
                            <w:sz w:val="20"/>
                            <w:szCs w:val="20"/>
                          </w:rPr>
                          <w:t>y</w:t>
                        </w:r>
                        <w:r>
                          <w:rPr>
                            <w:color w:val="000000" w:themeColor="text1"/>
                            <w:sz w:val="20"/>
                            <w:szCs w:val="20"/>
                          </w:rPr>
                          <w:t xml:space="preserve"> consciente</w:t>
                        </w:r>
                      </w:p>
                      <w:p w14:paraId="6BC9B068" w14:textId="77777777" w:rsidR="00F16AAB" w:rsidRDefault="00F16AAB" w:rsidP="00067A43">
                        <w:pPr>
                          <w:pStyle w:val="NormalWeb"/>
                          <w:spacing w:before="0" w:beforeAutospacing="0" w:after="0" w:afterAutospacing="0" w:line="256" w:lineRule="auto"/>
                          <w:ind w:left="360" w:hanging="360"/>
                        </w:pPr>
                      </w:p>
                    </w:txbxContent>
                  </v:textbox>
                </v:rect>
                <v:roundrect id="Rectángulo: esquinas redondeadas 39" o:spid="_x0000_s1045" style="position:absolute;left:44337;top:44232;width:16929;height:72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" filled="f" strokecolor="#243255 [1604]" strokeweight="1pt">
                  <v:stroke joinstyle="miter"/>
                  <v:textbox>
                    <w:txbxContent>
                      <w:p w14:paraId="0ABEA924" w14:textId="77777777" w:rsidR="00F16AAB" w:rsidRPr="00584095" w:rsidRDefault="00F16AAB" w:rsidP="00067A43">
                        <w:pPr>
                          <w:rPr>
                            <w:rFonts w:cs="Times New Roman"/>
                            <w:color w:val="000000" w:themeColor="text1"/>
                            <w:sz w:val="16"/>
                            <w:szCs w:val="20"/>
                          </w:rPr>
                        </w:pPr>
                        <w:r w:rsidRPr="00584095">
                          <w:rPr>
                            <w:rFonts w:cs="Times New Roman"/>
                            <w:color w:val="000000" w:themeColor="text1"/>
                            <w:sz w:val="16"/>
                            <w:szCs w:val="20"/>
                          </w:rPr>
                          <w:t>Complementación alimentaria y acciones de promoción en salud</w:t>
                        </w:r>
                      </w:p>
                      <w:p w14:paraId="4F6B9202" w14:textId="77777777" w:rsidR="00F16AAB" w:rsidRPr="00584095" w:rsidRDefault="00F16AAB" w:rsidP="00067A43">
                        <w:pPr>
                          <w:rPr>
                            <w:rFonts w:eastAsia="Times New Roman" w:cs="Times New Roman"/>
                            <w:color w:val="000000" w:themeColor="text1"/>
                            <w:sz w:val="16"/>
                            <w:szCs w:val="20"/>
                          </w:rPr>
                        </w:pPr>
                        <w:r w:rsidRPr="00584095">
                          <w:rPr>
                            <w:rFonts w:cs="Times New Roman"/>
                            <w:color w:val="000000" w:themeColor="text1"/>
                            <w:sz w:val="16"/>
                            <w:szCs w:val="20"/>
                          </w:rPr>
                          <w:t>Seguimiento médico y nutricional periódico</w:t>
                        </w:r>
                      </w:p>
                    </w:txbxContent>
                  </v:textbox>
                </v:roundrect>
                <v:shape id="Conector: angular 40" o:spid="_x0000_s1046" type="#_x0000_t34" style="position:absolute;left:39864;top:47506;width:4473;height:33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" strokecolor="#5aa2ae [3208]" strokeweight="1.5pt">
                  <v:stroke endarrow="block"/>
                </v:shape>
                <v:rect id="Rectángulo 41" o:spid="_x0000_s1047" style="position:absolute;left:1228;top:26530;width:13482;height:12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" filled="f" strokecolor="#243255 [1604]" strokeweight="1pt">
                  <v:textbox>
                    <w:txbxContent>
                      <w:p w14:paraId="18F4E385" w14:textId="77777777" w:rsidR="00F16AAB" w:rsidRDefault="00F16AAB" w:rsidP="00067A43">
                        <w:pPr>
                          <w:pStyle w:val="NormalWeb"/>
                          <w:spacing w:before="0" w:beforeAutospacing="0" w:after="0" w:afterAutospacing="0" w:line="254" w:lineRule="auto"/>
                          <w:rPr>
                            <w:rFonts w:eastAsia="Calibri"/>
                            <w:color w:val="000000"/>
                            <w:sz w:val="20"/>
                            <w:szCs w:val="20"/>
                            <w:u w:val="single"/>
                          </w:rPr>
                        </w:pPr>
                        <w:r>
                          <w:rPr>
                            <w:rFonts w:eastAsia="Calibri"/>
                            <w:color w:val="000000"/>
                            <w:sz w:val="20"/>
                            <w:szCs w:val="20"/>
                            <w:u w:val="single"/>
                          </w:rPr>
                          <w:t>Niños y niñas entre los 6 y 59 meses</w:t>
                        </w:r>
                      </w:p>
                      <w:p w14:paraId="05C926E2" w14:textId="77777777" w:rsidR="00F16AAB" w:rsidRDefault="00F16AAB" w:rsidP="00067A43">
                        <w:pPr>
                          <w:pStyle w:val="NormalWeb"/>
                          <w:spacing w:before="0" w:beforeAutospacing="0" w:after="0" w:afterAutospacing="0" w:line="254" w:lineRule="auto"/>
                          <w:rPr>
                            <w:rFonts w:eastAsia="Calibri"/>
                            <w:color w:val="000000"/>
                            <w:sz w:val="20"/>
                            <w:szCs w:val="20"/>
                            <w:u w:val="single"/>
                          </w:rPr>
                        </w:pPr>
                      </w:p>
                      <w:p w14:paraId="10E55D1C"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P/T&lt;-2 DE</w:t>
                        </w:r>
                      </w:p>
                      <w:p w14:paraId="4A31A6B4" w14:textId="77777777" w:rsidR="00F16AAB"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PB&lt;11.5cm</w:t>
                        </w:r>
                      </w:p>
                      <w:p w14:paraId="6DD535AF" w14:textId="77777777" w:rsidR="00F16AAB" w:rsidRPr="008372B9" w:rsidRDefault="00F16AAB" w:rsidP="00B52507">
                        <w:pPr>
                          <w:pStyle w:val="NormalWeb"/>
                          <w:numPr>
                            <w:ilvl w:val="0"/>
                            <w:numId w:val="3"/>
                          </w:numPr>
                          <w:spacing w:before="0" w:beforeAutospacing="0" w:after="0" w:afterAutospacing="0" w:line="256" w:lineRule="auto"/>
                          <w:rPr>
                            <w:rFonts w:eastAsia="Calibri"/>
                            <w:color w:val="000000" w:themeColor="text1"/>
                            <w:sz w:val="20"/>
                            <w:szCs w:val="20"/>
                            <w14:textOutline w14:w="9525" w14:cap="flat" w14:cmpd="sng" w14:algn="ctr">
                              <w14:noFill/>
                              <w14:prstDash w14:val="solid"/>
                              <w14:round/>
                            </w14:textOutline>
                          </w:rPr>
                        </w:pPr>
                        <w:r>
                          <w:rPr>
                            <w:rFonts w:eastAsia="Calibri"/>
                            <w:color w:val="000000" w:themeColor="text1"/>
                            <w:sz w:val="20"/>
                            <w:szCs w:val="20"/>
                            <w14:textOutline w14:w="9525" w14:cap="flat" w14:cmpd="sng" w14:algn="ctr">
                              <w14:noFill/>
                              <w14:prstDash w14:val="solid"/>
                              <w14:round/>
                            </w14:textOutline>
                          </w:rPr>
                          <w:t>Edema bilateral</w:t>
                        </w:r>
                      </w:p>
                      <w:p w14:paraId="277962CD" w14:textId="77777777" w:rsidR="00F16AAB" w:rsidRPr="004D449A" w:rsidRDefault="00F16AAB" w:rsidP="002E1B25">
                        <w:pPr>
                          <w:pStyle w:val="NormalWeb"/>
                          <w:spacing w:before="0" w:beforeAutospacing="0" w:after="0" w:afterAutospacing="0" w:line="254" w:lineRule="auto"/>
                          <w:rPr>
                            <w:rFonts w:eastAsia="Calibri"/>
                            <w:color w:val="000000"/>
                            <w:sz w:val="20"/>
                            <w:szCs w:val="20"/>
                            <w:u w:val="single"/>
                          </w:rPr>
                        </w:pPr>
                      </w:p>
                    </w:txbxContent>
                  </v:textbox>
                </v:rect>
                <v:rect id="Rectángulo 42" o:spid="_x0000_s1048" style="position:absolute;left:1228;top:11777;width:13482;height:113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" filled="f" strokecolor="#243255 [1604]" strokeweight="1pt">
                  <v:textbox>
                    <w:txbxContent>
                      <w:p w14:paraId="295260FB" w14:textId="77777777" w:rsidR="00F16AAB" w:rsidRDefault="00F16AAB" w:rsidP="00067A43">
                        <w:pPr>
                          <w:pStyle w:val="NormalWeb"/>
                          <w:spacing w:before="0" w:beforeAutospacing="0" w:after="0" w:afterAutospacing="0" w:line="252" w:lineRule="auto"/>
                          <w:rPr>
                            <w:rFonts w:eastAsia="Calibri"/>
                            <w:color w:val="000000"/>
                            <w:sz w:val="20"/>
                            <w:szCs w:val="20"/>
                            <w:u w:val="single"/>
                          </w:rPr>
                        </w:pPr>
                        <w:r>
                          <w:rPr>
                            <w:rFonts w:eastAsia="Calibri"/>
                            <w:color w:val="000000"/>
                            <w:sz w:val="20"/>
                            <w:szCs w:val="20"/>
                            <w:u w:val="single"/>
                          </w:rPr>
                          <w:t>Niños y niñas menores de 6 meses</w:t>
                        </w:r>
                      </w:p>
                      <w:p w14:paraId="585F42A4" w14:textId="77777777" w:rsidR="00F16AAB" w:rsidRDefault="00F16AAB" w:rsidP="00067A43">
                        <w:pPr>
                          <w:pStyle w:val="NormalWeb"/>
                          <w:spacing w:before="0" w:beforeAutospacing="0" w:after="0" w:afterAutospacing="0" w:line="252" w:lineRule="auto"/>
                        </w:pPr>
                      </w:p>
                      <w:p w14:paraId="598C7607" w14:textId="77777777" w:rsidR="00F16AAB" w:rsidRDefault="00F16AAB" w:rsidP="00BB1D7B">
                        <w:pPr>
                          <w:pStyle w:val="NormalWeb"/>
                          <w:numPr>
                            <w:ilvl w:val="0"/>
                            <w:numId w:val="11"/>
                          </w:numPr>
                          <w:spacing w:before="0" w:beforeAutospacing="0" w:after="0" w:afterAutospacing="0" w:line="254" w:lineRule="auto"/>
                          <w:rPr>
                            <w:rFonts w:eastAsia="Calibri"/>
                            <w:color w:val="000000"/>
                            <w:sz w:val="20"/>
                            <w:szCs w:val="20"/>
                          </w:rPr>
                        </w:pPr>
                        <w:r>
                          <w:rPr>
                            <w:rFonts w:eastAsia="Calibri"/>
                            <w:color w:val="000000"/>
                            <w:sz w:val="20"/>
                            <w:szCs w:val="20"/>
                          </w:rPr>
                          <w:t>Delgadez visible</w:t>
                        </w:r>
                      </w:p>
                      <w:p w14:paraId="7C98CC52" w14:textId="77777777" w:rsidR="00F16AAB" w:rsidRDefault="00F16AAB" w:rsidP="00BB1D7B">
                        <w:pPr>
                          <w:pStyle w:val="NormalWeb"/>
                          <w:numPr>
                            <w:ilvl w:val="0"/>
                            <w:numId w:val="11"/>
                          </w:numPr>
                          <w:spacing w:before="0" w:beforeAutospacing="0" w:after="0" w:afterAutospacing="0" w:line="254" w:lineRule="auto"/>
                          <w:rPr>
                            <w:rFonts w:eastAsia="Calibri"/>
                            <w:color w:val="000000"/>
                            <w:sz w:val="20"/>
                            <w:szCs w:val="20"/>
                          </w:rPr>
                        </w:pPr>
                        <w:r>
                          <w:rPr>
                            <w:rFonts w:eastAsia="Calibri"/>
                            <w:color w:val="000000"/>
                            <w:sz w:val="20"/>
                            <w:szCs w:val="20"/>
                          </w:rPr>
                          <w:t>P/T&lt;-2 DE</w:t>
                        </w:r>
                      </w:p>
                      <w:p w14:paraId="0CE36791" w14:textId="77777777" w:rsidR="00F16AAB" w:rsidRDefault="00F16AAB" w:rsidP="00BB1D7B">
                        <w:pPr>
                          <w:pStyle w:val="NormalWeb"/>
                          <w:numPr>
                            <w:ilvl w:val="0"/>
                            <w:numId w:val="11"/>
                          </w:numPr>
                          <w:spacing w:before="0" w:beforeAutospacing="0" w:after="0" w:afterAutospacing="0" w:line="254" w:lineRule="auto"/>
                        </w:pPr>
                        <w:r>
                          <w:rPr>
                            <w:rFonts w:eastAsia="Calibri"/>
                            <w:color w:val="000000"/>
                            <w:sz w:val="20"/>
                            <w:szCs w:val="20"/>
                          </w:rPr>
                          <w:t>Edema bilateral</w:t>
                        </w:r>
                      </w:p>
                      <w:p w14:paraId="0B08F03C" w14:textId="77777777" w:rsidR="00F16AAB" w:rsidRDefault="00F16AAB" w:rsidP="00067A43">
                        <w:pPr>
                          <w:pStyle w:val="NormalWeb"/>
                          <w:spacing w:before="0" w:beforeAutospacing="0" w:after="0" w:afterAutospacing="0" w:line="252" w:lineRule="auto"/>
                          <w:ind w:left="360" w:hanging="360"/>
                        </w:pPr>
                        <w:r>
                          <w:rPr>
                            <w:rFonts w:eastAsia="Calibri"/>
                            <w:color w:val="000000"/>
                            <w:sz w:val="20"/>
                            <w:szCs w:val="20"/>
                          </w:rPr>
                          <w:t> </w:t>
                        </w:r>
                      </w:p>
                    </w:txbxContent>
                  </v:textbox>
                </v:rect>
                <v:rect id="Rectángulo 43" o:spid="_x0000_s1049" style="position:absolute;left:1228;top:62;width:13482;height:8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" filled="f" strokecolor="#243255 [1604]" strokeweight="1pt">
                  <v:textbox>
                    <w:txbxContent>
                      <w:p w14:paraId="7BE93DD1" w14:textId="77777777" w:rsidR="00F16AAB" w:rsidRPr="000A4517" w:rsidRDefault="00F16AAB" w:rsidP="00067A43">
                        <w:pPr>
                          <w:pStyle w:val="NormalWeb"/>
                          <w:spacing w:before="0" w:beforeAutospacing="0" w:after="0" w:afterAutospacing="0" w:line="252" w:lineRule="auto"/>
                          <w:rPr>
                            <w:rFonts w:eastAsia="Calibri"/>
                            <w:color w:val="000000"/>
                            <w:sz w:val="20"/>
                            <w:szCs w:val="20"/>
                            <w:u w:val="single"/>
                          </w:rPr>
                        </w:pPr>
                        <w:r>
                          <w:rPr>
                            <w:rFonts w:eastAsia="Calibri"/>
                            <w:color w:val="000000"/>
                            <w:sz w:val="20"/>
                            <w:szCs w:val="20"/>
                            <w:u w:val="single"/>
                          </w:rPr>
                          <w:t>Niños y niñas mayores de 6 meses con peso inferior a 4 kilogramos</w:t>
                        </w:r>
                      </w:p>
                    </w:txbxContent>
                  </v:textbox>
                </v:rect>
                <v:shape id="Conector: angular 44" o:spid="_x0000_s1050" type="#_x0000_t34" style="position:absolute;left:14710;top:4087;width:32059;height:215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" strokecolor="#5aa2ae [3208]" strokeweight="1.5pt">
                  <v:stroke endarrow="block"/>
                </v:shape>
                <v:shape id="Conector: angular 45" o:spid="_x0000_s1051" type="#_x0000_t34" style="position:absolute;left:14710;top:6242;width:32059;height:1120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" adj="2796" strokecolor="#5aa2ae [3208]" strokeweight="1.5pt">
                  <v:stroke endarrow="block"/>
                </v:shape>
                <v:shape id="Conector: angular 46" o:spid="_x0000_s1052" type="#_x0000_t34" style="position:absolute;left:73979;top:16053;width:3200;height:18106;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" adj="-15433" strokecolor="#629dd1 [3205]" strokeweight="1.5pt">
                  <v:stroke endarrow="block"/>
                </v:shape>
                <v:shape id="Conector: angular 47" o:spid="_x0000_s1053" type="#_x0000_t34" style="position:absolute;left:46769;top:6242;width:2731;height:9811;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" adj="43451" strokecolor="#629dd1 [3205]" strokeweight="1.5pt">
                  <v:stroke endarrow="block"/>
                </v:shape>
                <v:roundrect id="Rectángulo: esquinas redondeadas 48" o:spid="_x0000_s1054" style="position:absolute;left:64772;top:45009;width:16217;height:498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" filled="f" strokecolor="#243255 [1604]" strokeweight="1pt">
                  <v:stroke joinstyle="miter"/>
                  <v:textbox>
                    <w:txbxContent>
                      <w:p w14:paraId="0BD24623" w14:textId="77777777" w:rsidR="00F16AAB" w:rsidRPr="00CC2C5C" w:rsidRDefault="00F16AAB" w:rsidP="00067A43">
                        <w:pPr>
                          <w:pStyle w:val="NormalWeb"/>
                          <w:spacing w:before="0" w:beforeAutospacing="0" w:after="160" w:afterAutospacing="0" w:line="256" w:lineRule="auto"/>
                          <w:jc w:val="center"/>
                          <w:rPr>
                            <w:b/>
                          </w:rPr>
                        </w:pPr>
                        <w:r w:rsidRPr="00CC2C5C">
                          <w:rPr>
                            <w:rFonts w:eastAsia="Calibri"/>
                            <w:b/>
                            <w:color w:val="000000"/>
                            <w:sz w:val="20"/>
                            <w:szCs w:val="20"/>
                          </w:rPr>
                          <w:t>Seguimiento médico y nutricional periódico</w:t>
                        </w:r>
                      </w:p>
                    </w:txbxContent>
                  </v:textbox>
                </v:roundrect>
                <v:shape id="Conector: angular 49" o:spid="_x0000_s1055" type="#_x0000_t34" style="position:absolute;left:61266;top:47502;width:3506;height:33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" strokecolor="#5aa2ae [3208]" strokeweight="1.5pt">
                  <v:stroke endarrow="block"/>
                </v:shape>
                <w10:wrap type="topAndBottom"/>
              </v:group>
            </w:pict>
          </mc:Fallback>
        </mc:AlternateContent>
      </w:r>
      <w:bookmarkEnd w:id="14"/>
      <w:r w:rsidRPr="00606E51">
        <w:rPr>
          <w:rFonts w:cs="Times New Roman"/>
          <w:b/>
          <w:bCs/>
          <w:lang w:val="es-CO"/>
        </w:rPr>
        <w:t xml:space="preserve">Figura </w:t>
      </w:r>
      <w:r w:rsidR="006E7CAD" w:rsidRPr="00606E51">
        <w:rPr>
          <w:rFonts w:cs="Times New Roman"/>
          <w:b/>
          <w:bCs/>
          <w:lang w:val="es-CO"/>
        </w:rPr>
        <w:fldChar w:fldCharType="begin"/>
      </w:r>
      <w:r w:rsidR="006E7CAD" w:rsidRPr="00606E51">
        <w:rPr>
          <w:rFonts w:cs="Times New Roman"/>
          <w:b/>
          <w:bCs/>
          <w:lang w:val="es-CO"/>
        </w:rPr>
        <w:instrText xml:space="preserve"> STYLEREF 1 \s </w:instrText>
      </w:r>
      <w:r w:rsidR="006E7CAD" w:rsidRPr="00606E51">
        <w:rPr>
          <w:rFonts w:cs="Times New Roman"/>
          <w:b/>
          <w:bCs/>
          <w:lang w:val="es-CO"/>
        </w:rPr>
        <w:fldChar w:fldCharType="separate"/>
      </w:r>
      <w:r w:rsidR="006E7CAD" w:rsidRPr="00606E51">
        <w:rPr>
          <w:rFonts w:cs="Times New Roman"/>
          <w:b/>
          <w:bCs/>
          <w:lang w:val="es-CO"/>
        </w:rPr>
        <w:t>1</w:t>
      </w:r>
      <w:r w:rsidR="006E7CAD" w:rsidRPr="00606E51">
        <w:rPr>
          <w:rFonts w:cs="Times New Roman"/>
          <w:b/>
          <w:bCs/>
          <w:lang w:val="es-CO"/>
        </w:rPr>
        <w:fldChar w:fldCharType="end"/>
      </w:r>
      <w:r w:rsidR="006E7CAD" w:rsidRPr="00606E51">
        <w:rPr>
          <w:rFonts w:cs="Times New Roman"/>
          <w:b/>
          <w:bCs/>
          <w:lang w:val="es-CO"/>
        </w:rPr>
        <w:t>.</w:t>
      </w:r>
      <w:r w:rsidR="006E7CAD" w:rsidRPr="00606E51">
        <w:rPr>
          <w:rFonts w:cs="Times New Roman"/>
          <w:b/>
          <w:bCs/>
          <w:lang w:val="es-CO"/>
        </w:rPr>
        <w:fldChar w:fldCharType="begin"/>
      </w:r>
      <w:r w:rsidR="006E7CAD" w:rsidRPr="00606E51">
        <w:rPr>
          <w:rFonts w:cs="Times New Roman"/>
          <w:b/>
          <w:bCs/>
          <w:lang w:val="es-CO"/>
        </w:rPr>
        <w:instrText xml:space="preserve"> SEQ Figura \* ARABIC \s 1 </w:instrText>
      </w:r>
      <w:r w:rsidR="006E7CAD" w:rsidRPr="00606E51">
        <w:rPr>
          <w:rFonts w:cs="Times New Roman"/>
          <w:b/>
          <w:bCs/>
          <w:lang w:val="es-CO"/>
        </w:rPr>
        <w:fldChar w:fldCharType="separate"/>
      </w:r>
      <w:r w:rsidR="006E7CAD" w:rsidRPr="00606E51">
        <w:rPr>
          <w:rFonts w:cs="Times New Roman"/>
          <w:b/>
          <w:bCs/>
          <w:lang w:val="es-CO"/>
        </w:rPr>
        <w:t>1</w:t>
      </w:r>
      <w:r w:rsidR="006E7CAD" w:rsidRPr="00606E51">
        <w:rPr>
          <w:rFonts w:cs="Times New Roman"/>
          <w:b/>
          <w:bCs/>
          <w:lang w:val="es-CO"/>
        </w:rPr>
        <w:fldChar w:fldCharType="end"/>
      </w:r>
      <w:bookmarkEnd w:id="15"/>
      <w:r w:rsidR="006E7CAD" w:rsidRPr="00606E51">
        <w:rPr>
          <w:rFonts w:cs="Times New Roman"/>
          <w:b/>
          <w:bCs/>
          <w:lang w:val="es-CO"/>
        </w:rPr>
        <w:t>:</w:t>
      </w:r>
      <w:r w:rsidRPr="00606E51">
        <w:rPr>
          <w:rFonts w:cs="Times New Roman"/>
          <w:b/>
          <w:bCs/>
          <w:lang w:val="es-CO"/>
        </w:rPr>
        <w:t xml:space="preserve"> Elementos principales de la atención de los niños y niñas con desnutrición aguda confirmada</w:t>
      </w:r>
      <w:bookmarkEnd w:id="16"/>
    </w:p>
    <w:p w14:paraId="5E08D82F" w14:textId="77777777" w:rsidR="00067A43" w:rsidRPr="00606E51" w:rsidRDefault="005877DE" w:rsidP="00067A43">
      <w:pPr>
        <w:rPr>
          <w:rFonts w:cs="Times New Roman"/>
          <w:sz w:val="20"/>
          <w:lang w:val="es-CO"/>
        </w:rPr>
        <w:sectPr w:rsidR="00067A43" w:rsidRPr="00606E51" w:rsidSect="00720146">
          <w:pgSz w:w="15840" w:h="12240" w:orient="landscape"/>
          <w:pgMar w:top="1701" w:right="1418" w:bottom="1701" w:left="1418" w:header="709" w:footer="709" w:gutter="0"/>
          <w:cols w:space="708"/>
          <w:docGrid w:linePitch="360"/>
        </w:sectPr>
      </w:pPr>
      <w:r w:rsidRPr="00606E51">
        <w:rPr>
          <w:rFonts w:cs="Times New Roman"/>
          <w:sz w:val="20"/>
          <w:lang w:val="es-CO"/>
        </w:rPr>
        <w:t>Fuente: E</w:t>
      </w:r>
      <w:r w:rsidR="00067A43" w:rsidRPr="00606E51">
        <w:rPr>
          <w:rFonts w:cs="Times New Roman"/>
          <w:sz w:val="20"/>
          <w:lang w:val="es-CO"/>
        </w:rPr>
        <w:t xml:space="preserve">laboración propia con información de UNICEF y Ministerio de Salud y </w:t>
      </w:r>
      <w:r w:rsidRPr="00606E51">
        <w:rPr>
          <w:rFonts w:cs="Times New Roman"/>
          <w:sz w:val="20"/>
          <w:lang w:val="es-CO"/>
        </w:rPr>
        <w:t>Protección Social</w:t>
      </w:r>
    </w:p>
    <w:p w14:paraId="145A5F77" w14:textId="128DE924" w:rsidR="0031255A" w:rsidRPr="00606E51" w:rsidRDefault="0031255A" w:rsidP="00684143">
      <w:pPr>
        <w:pStyle w:val="Heading1"/>
        <w:rPr>
          <w:lang w:val="es-CO"/>
        </w:rPr>
      </w:pPr>
      <w:bookmarkStart w:id="17" w:name="_Toc481101221"/>
      <w:bookmarkStart w:id="18" w:name="_Toc505090935"/>
      <w:r w:rsidRPr="00606E51">
        <w:rPr>
          <w:lang w:val="es-CO"/>
        </w:rPr>
        <w:lastRenderedPageBreak/>
        <w:t>Propósito, Alcance y Objetivo</w:t>
      </w:r>
      <w:bookmarkEnd w:id="17"/>
      <w:bookmarkEnd w:id="18"/>
    </w:p>
    <w:p w14:paraId="6A0D0A48" w14:textId="77777777" w:rsidR="00057DA1" w:rsidRPr="00606E51" w:rsidRDefault="00057DA1" w:rsidP="00285C40">
      <w:pPr>
        <w:jc w:val="both"/>
        <w:rPr>
          <w:rFonts w:cs="Times New Roman"/>
          <w:lang w:val="es-CO"/>
        </w:rPr>
      </w:pPr>
    </w:p>
    <w:p w14:paraId="6CA7EB1C" w14:textId="66226E2F" w:rsidR="00057DA1" w:rsidRPr="00606E51" w:rsidRDefault="00057DA1" w:rsidP="00057DA1">
      <w:pPr>
        <w:jc w:val="both"/>
        <w:rPr>
          <w:rFonts w:cs="Times New Roman"/>
          <w:lang w:val="es-CO"/>
        </w:rPr>
      </w:pPr>
      <w:r w:rsidRPr="00606E51">
        <w:rPr>
          <w:rFonts w:cs="Times New Roman"/>
          <w:lang w:val="es-CO"/>
        </w:rPr>
        <w:t>A continuación</w:t>
      </w:r>
      <w:r w:rsidR="00D9407C" w:rsidRPr="00606E51">
        <w:rPr>
          <w:rFonts w:cs="Times New Roman"/>
          <w:lang w:val="es-CO"/>
        </w:rPr>
        <w:t>,</w:t>
      </w:r>
      <w:r w:rsidRPr="00606E51">
        <w:rPr>
          <w:rFonts w:cs="Times New Roman"/>
          <w:lang w:val="es-CO"/>
        </w:rPr>
        <w:t xml:space="preserve"> se describe el propósito, alcance y los objetivos para evaluar el Lineamiento contenido en la Resolución de acuerdo a los criterios de adherencia y costo-efectividad del Lineamiento y los cambios en los procesos de las EAPB, las secretarias de salud municipal y departamental para cumplir las </w:t>
      </w:r>
      <w:r w:rsidR="00C477CD" w:rsidRPr="00606E51">
        <w:rPr>
          <w:rFonts w:cs="Times New Roman"/>
          <w:lang w:val="es-CO"/>
        </w:rPr>
        <w:t>órdenes</w:t>
      </w:r>
      <w:r w:rsidRPr="00606E51">
        <w:rPr>
          <w:rFonts w:cs="Times New Roman"/>
          <w:lang w:val="es-CO"/>
        </w:rPr>
        <w:t xml:space="preserve"> de la Resolución.</w:t>
      </w:r>
    </w:p>
    <w:p w14:paraId="00F38684" w14:textId="77777777" w:rsidR="002B2022" w:rsidRPr="00606E51" w:rsidRDefault="002B2022" w:rsidP="00285C40">
      <w:pPr>
        <w:jc w:val="both"/>
        <w:rPr>
          <w:rFonts w:cs="Times New Roman"/>
          <w:lang w:val="es-CO"/>
        </w:rPr>
      </w:pPr>
    </w:p>
    <w:p w14:paraId="197C1474" w14:textId="190EF4AB" w:rsidR="007F0B06" w:rsidRPr="00606E51" w:rsidRDefault="007F0B06" w:rsidP="008A61FD">
      <w:pPr>
        <w:pStyle w:val="Heading2"/>
        <w:rPr>
          <w:lang w:val="es-CO"/>
        </w:rPr>
      </w:pPr>
      <w:bookmarkStart w:id="19" w:name="_Toc505090936"/>
      <w:r w:rsidRPr="00606E51">
        <w:rPr>
          <w:lang w:val="es-CO"/>
        </w:rPr>
        <w:t>Propósito</w:t>
      </w:r>
      <w:bookmarkEnd w:id="19"/>
    </w:p>
    <w:p w14:paraId="482956D8" w14:textId="77777777" w:rsidR="007F0B06" w:rsidRPr="00606E51" w:rsidRDefault="007F0B06" w:rsidP="00285C40">
      <w:pPr>
        <w:jc w:val="both"/>
        <w:rPr>
          <w:rFonts w:cs="Times New Roman"/>
          <w:lang w:val="es-CO"/>
        </w:rPr>
      </w:pPr>
    </w:p>
    <w:p w14:paraId="2F269CEF" w14:textId="77777777" w:rsidR="006004FA" w:rsidRPr="0022109F" w:rsidRDefault="006004FA" w:rsidP="006004FA">
      <w:pPr>
        <w:jc w:val="both"/>
        <w:rPr>
          <w:rFonts w:cs="Times New Roman"/>
          <w:lang w:val="es-CO"/>
        </w:rPr>
      </w:pPr>
      <w:r w:rsidRPr="008A61FD">
        <w:rPr>
          <w:rFonts w:cs="Times New Roman"/>
          <w:lang w:val="es-CO"/>
        </w:rPr>
        <w:t xml:space="preserve">La evaluación fue </w:t>
      </w:r>
      <w:r w:rsidRPr="00720146">
        <w:rPr>
          <w:rFonts w:cs="Times New Roman"/>
          <w:lang w:val="es-CO"/>
        </w:rPr>
        <w:t>comisionada por UNICEF</w:t>
      </w:r>
      <w:r w:rsidRPr="008A61FD">
        <w:rPr>
          <w:rFonts w:cs="Times New Roman"/>
          <w:lang w:val="es-CO"/>
        </w:rPr>
        <w:t xml:space="preserve"> en acuerdo con el Ministerio de Salud y Protección Social (MSPS) </w:t>
      </w:r>
      <w:r w:rsidRPr="0022109F">
        <w:rPr>
          <w:rFonts w:cs="Times New Roman"/>
          <w:lang w:val="es-CO"/>
        </w:rPr>
        <w:t xml:space="preserve">con el objetivo de ofrecer nuevas orientaciones prácticas a agentes clave del sistema de salud en Colombia, tanto del nivel </w:t>
      </w:r>
      <w:r w:rsidRPr="00720146">
        <w:rPr>
          <w:rFonts w:cs="Times New Roman"/>
          <w:lang w:val="es-CO"/>
        </w:rPr>
        <w:t>nacional como local, sobre cómo asegurar la adecuada implementación del Lineamiento y propiciar una asignación racional de responsabilidades</w:t>
      </w:r>
      <w:r w:rsidRPr="008A61FD">
        <w:rPr>
          <w:rFonts w:cs="Times New Roman"/>
          <w:lang w:val="es-CO"/>
        </w:rPr>
        <w:t xml:space="preserve"> y compromisos entre entidades locales competentes para garantizar el acceso a los servicios de salud, en especial a la atención de la desnutrición aguda</w:t>
      </w:r>
      <w:r w:rsidRPr="0022109F">
        <w:rPr>
          <w:rFonts w:cs="Times New Roman"/>
          <w:lang w:val="es-CO"/>
        </w:rPr>
        <w:t>.</w:t>
      </w:r>
    </w:p>
    <w:p w14:paraId="066BAD78" w14:textId="77777777" w:rsidR="006004FA" w:rsidRPr="00720146" w:rsidRDefault="006004FA" w:rsidP="00285C40">
      <w:pPr>
        <w:jc w:val="both"/>
        <w:rPr>
          <w:rFonts w:cs="Times New Roman"/>
          <w:lang w:val="es-CO"/>
        </w:rPr>
      </w:pPr>
    </w:p>
    <w:p w14:paraId="10781310" w14:textId="039A7279" w:rsidR="006004FA" w:rsidRPr="008A61FD" w:rsidRDefault="006004FA" w:rsidP="00720146">
      <w:pPr>
        <w:pStyle w:val="Heading2"/>
        <w:rPr>
          <w:lang w:val="es-CO"/>
        </w:rPr>
      </w:pPr>
      <w:bookmarkStart w:id="20" w:name="_Toc505090937"/>
      <w:r w:rsidRPr="008A61FD">
        <w:rPr>
          <w:lang w:val="es-CO"/>
        </w:rPr>
        <w:t>Objetivo</w:t>
      </w:r>
      <w:bookmarkEnd w:id="20"/>
    </w:p>
    <w:p w14:paraId="3FA44404" w14:textId="77777777" w:rsidR="006004FA" w:rsidRPr="0022109F" w:rsidRDefault="006004FA" w:rsidP="00285C40">
      <w:pPr>
        <w:jc w:val="both"/>
        <w:rPr>
          <w:rFonts w:cs="Times New Roman"/>
          <w:lang w:val="es-CO"/>
        </w:rPr>
      </w:pPr>
    </w:p>
    <w:p w14:paraId="74F5845B" w14:textId="48042032" w:rsidR="00F3506D" w:rsidRPr="008A61FD" w:rsidRDefault="000D266C" w:rsidP="00285C40">
      <w:pPr>
        <w:jc w:val="both"/>
        <w:rPr>
          <w:rFonts w:cs="Times New Roman"/>
          <w:lang w:val="es-CO"/>
        </w:rPr>
      </w:pPr>
      <w:r w:rsidRPr="00720146">
        <w:rPr>
          <w:rFonts w:cs="Times New Roman"/>
          <w:lang w:val="es-CO"/>
        </w:rPr>
        <w:t xml:space="preserve">El </w:t>
      </w:r>
      <w:r w:rsidR="002C0A6C" w:rsidRPr="00720146">
        <w:rPr>
          <w:rFonts w:cs="Times New Roman"/>
          <w:lang w:val="es-CO"/>
        </w:rPr>
        <w:t xml:space="preserve">objetivo </w:t>
      </w:r>
      <w:r w:rsidRPr="00720146">
        <w:rPr>
          <w:rFonts w:cs="Times New Roman"/>
          <w:lang w:val="es-CO"/>
        </w:rPr>
        <w:t xml:space="preserve">de esta evaluación es determinar </w:t>
      </w:r>
      <w:r w:rsidR="008C7759" w:rsidRPr="00720146">
        <w:rPr>
          <w:rFonts w:cs="Times New Roman"/>
          <w:lang w:val="es-CO"/>
        </w:rPr>
        <w:t xml:space="preserve">el grado de costo-efectividad de </w:t>
      </w:r>
      <w:r w:rsidR="00490DA4" w:rsidRPr="00720146">
        <w:rPr>
          <w:rFonts w:cs="Times New Roman"/>
          <w:lang w:val="es-CO"/>
        </w:rPr>
        <w:t>la aplicación d</w:t>
      </w:r>
      <w:r w:rsidRPr="00720146">
        <w:rPr>
          <w:rFonts w:cs="Times New Roman"/>
          <w:lang w:val="es-CO"/>
        </w:rPr>
        <w:t>el Lineamiento</w:t>
      </w:r>
      <w:r w:rsidR="00490DA4" w:rsidRPr="008A61FD">
        <w:rPr>
          <w:rFonts w:cs="Times New Roman"/>
          <w:lang w:val="es-CO"/>
        </w:rPr>
        <w:t xml:space="preserve">, tal y como se describe </w:t>
      </w:r>
      <w:r w:rsidR="00581B70" w:rsidRPr="008A61FD">
        <w:rPr>
          <w:rFonts w:cs="Times New Roman"/>
          <w:lang w:val="es-CO"/>
        </w:rPr>
        <w:t>en la Resolución</w:t>
      </w:r>
      <w:r w:rsidR="00490DA4" w:rsidRPr="008A61FD">
        <w:rPr>
          <w:rFonts w:cs="Times New Roman"/>
          <w:lang w:val="es-CO"/>
        </w:rPr>
        <w:t xml:space="preserve">, así como su </w:t>
      </w:r>
      <w:r w:rsidR="00490DA4" w:rsidRPr="00720146">
        <w:rPr>
          <w:rFonts w:cs="Times New Roman"/>
          <w:lang w:val="es-CO"/>
        </w:rPr>
        <w:t>nivel de adherencia</w:t>
      </w:r>
      <w:r w:rsidR="00490DA4" w:rsidRPr="008A61FD">
        <w:rPr>
          <w:rFonts w:cs="Times New Roman"/>
          <w:lang w:val="es-CO"/>
        </w:rPr>
        <w:t xml:space="preserve"> entre los prestadores de salud </w:t>
      </w:r>
      <w:r w:rsidRPr="008A61FD">
        <w:rPr>
          <w:rFonts w:cs="Times New Roman"/>
          <w:lang w:val="es-CO"/>
        </w:rPr>
        <w:t xml:space="preserve">y </w:t>
      </w:r>
      <w:r w:rsidR="00490DA4" w:rsidRPr="008A61FD">
        <w:rPr>
          <w:rFonts w:cs="Times New Roman"/>
          <w:lang w:val="es-CO"/>
        </w:rPr>
        <w:t>su aceptación por par</w:t>
      </w:r>
      <w:r w:rsidR="00490DA4" w:rsidRPr="0022109F">
        <w:rPr>
          <w:rFonts w:cs="Times New Roman"/>
          <w:lang w:val="es-CO"/>
        </w:rPr>
        <w:t xml:space="preserve">te de los cuidadores de los niños y niñas de 0 a 59 meses de edad con desnutrición aguda moderada o severa.  Con base en </w:t>
      </w:r>
      <w:r w:rsidR="008C7759" w:rsidRPr="00720146">
        <w:rPr>
          <w:rFonts w:cs="Times New Roman"/>
          <w:lang w:val="es-CO"/>
        </w:rPr>
        <w:t>esta valoración</w:t>
      </w:r>
      <w:r w:rsidR="00490DA4" w:rsidRPr="00720146">
        <w:rPr>
          <w:rFonts w:cs="Times New Roman"/>
          <w:lang w:val="es-CO"/>
        </w:rPr>
        <w:t xml:space="preserve">, se busca plantear </w:t>
      </w:r>
      <w:r w:rsidRPr="00720146">
        <w:rPr>
          <w:rFonts w:cs="Times New Roman"/>
          <w:lang w:val="es-CO"/>
        </w:rPr>
        <w:t>recomendaciones prácticas</w:t>
      </w:r>
      <w:r w:rsidRPr="008A61FD">
        <w:rPr>
          <w:rFonts w:cs="Times New Roman"/>
          <w:lang w:val="es-CO"/>
        </w:rPr>
        <w:t>, basadas en evidencia, a las autoridades de salud del nivel nacional y local en Colombia</w:t>
      </w:r>
      <w:r w:rsidR="002F7236" w:rsidRPr="008A61FD">
        <w:rPr>
          <w:rStyle w:val="FootnoteReference"/>
          <w:rFonts w:cs="Times New Roman"/>
          <w:lang w:val="es-CO"/>
        </w:rPr>
        <w:footnoteReference w:id="20"/>
      </w:r>
      <w:r w:rsidRPr="008A61FD">
        <w:rPr>
          <w:rFonts w:cs="Times New Roman"/>
          <w:lang w:val="es-CO"/>
        </w:rPr>
        <w:t xml:space="preserve">, que les permita </w:t>
      </w:r>
      <w:r w:rsidR="00662F1B" w:rsidRPr="00720146">
        <w:rPr>
          <w:rFonts w:cs="Times New Roman"/>
          <w:lang w:val="es-CO"/>
        </w:rPr>
        <w:t>m</w:t>
      </w:r>
      <w:r w:rsidR="001C7A09" w:rsidRPr="00720146">
        <w:rPr>
          <w:rFonts w:cs="Times New Roman"/>
          <w:lang w:val="es-CO"/>
        </w:rPr>
        <w:t>ejorar</w:t>
      </w:r>
      <w:r w:rsidR="00490DA4" w:rsidRPr="00720146" w:rsidDel="00490DA4">
        <w:rPr>
          <w:rFonts w:cs="Times New Roman"/>
          <w:lang w:val="es-CO"/>
        </w:rPr>
        <w:t xml:space="preserve"> </w:t>
      </w:r>
      <w:r w:rsidR="00490DA4" w:rsidRPr="00720146">
        <w:rPr>
          <w:rFonts w:cs="Times New Roman"/>
          <w:lang w:val="es-CO"/>
        </w:rPr>
        <w:t>la implementación y adopción del Lineamiento</w:t>
      </w:r>
      <w:r w:rsidR="000F5BA6" w:rsidRPr="008A61FD">
        <w:rPr>
          <w:rFonts w:cs="Times New Roman"/>
          <w:lang w:val="es-CO"/>
        </w:rPr>
        <w:t xml:space="preserve"> en zonas rurales dispersas de acuerdo a las órdenes emitidas por la Resolución.</w:t>
      </w:r>
    </w:p>
    <w:p w14:paraId="195C63A8" w14:textId="2FB99390" w:rsidR="006004FA" w:rsidRPr="0022109F" w:rsidRDefault="006004FA" w:rsidP="00285C40">
      <w:pPr>
        <w:jc w:val="both"/>
        <w:rPr>
          <w:rFonts w:cs="Times New Roman"/>
          <w:lang w:val="es-CO"/>
        </w:rPr>
      </w:pPr>
    </w:p>
    <w:p w14:paraId="0C53FBBE" w14:textId="77777777" w:rsidR="006004FA" w:rsidRDefault="006004FA" w:rsidP="006004FA">
      <w:pPr>
        <w:jc w:val="both"/>
        <w:rPr>
          <w:rFonts w:cs="Times New Roman"/>
          <w:lang w:val="es-CO"/>
        </w:rPr>
        <w:sectPr w:rsidR="006004FA" w:rsidSect="008340B2">
          <w:headerReference w:type="default" r:id="rId12"/>
          <w:footerReference w:type="default" r:id="rId13"/>
          <w:type w:val="continuous"/>
          <w:pgSz w:w="12240" w:h="15840"/>
          <w:pgMar w:top="1418" w:right="1701" w:bottom="1418" w:left="1701" w:header="709" w:footer="709" w:gutter="0"/>
          <w:cols w:space="708"/>
          <w:docGrid w:linePitch="360"/>
        </w:sectPr>
      </w:pPr>
      <w:r w:rsidRPr="00720146">
        <w:rPr>
          <w:rFonts w:cs="Times New Roman"/>
          <w:lang w:val="es-CO"/>
        </w:rPr>
        <w:t>En este contexto, para lograr el propósito planteado, se delimitó el alcance de la evaluación en 5 objetivos específicos, abordados a través de 8 preguntas básicas</w:t>
      </w:r>
      <w:r w:rsidRPr="008A61FD">
        <w:rPr>
          <w:rFonts w:cs="Times New Roman"/>
          <w:lang w:val="es-CO"/>
        </w:rPr>
        <w:t>, así:</w:t>
      </w:r>
    </w:p>
    <w:p w14:paraId="5BCF45D0" w14:textId="77777777" w:rsidR="006004FA" w:rsidRPr="00606E51" w:rsidRDefault="006004FA" w:rsidP="006004FA">
      <w:pPr>
        <w:pStyle w:val="Caption"/>
        <w:rPr>
          <w:lang w:val="es-CO"/>
        </w:rPr>
      </w:pPr>
      <w:r w:rsidRPr="00606E51">
        <w:rPr>
          <w:lang w:val="es-CO"/>
        </w:rPr>
        <w:lastRenderedPageBreak/>
        <w:t xml:space="preserve">Cuadro </w:t>
      </w:r>
      <w:r w:rsidRPr="00606E51">
        <w:rPr>
          <w:lang w:val="es-CO"/>
        </w:rPr>
        <w:fldChar w:fldCharType="begin"/>
      </w:r>
      <w:r w:rsidRPr="00606E51">
        <w:rPr>
          <w:lang w:val="es-CO"/>
        </w:rPr>
        <w:instrText xml:space="preserve"> STYLEREF 1 \s </w:instrText>
      </w:r>
      <w:r w:rsidRPr="00606E51">
        <w:rPr>
          <w:lang w:val="es-CO"/>
        </w:rPr>
        <w:fldChar w:fldCharType="separate"/>
      </w:r>
      <w:r w:rsidRPr="00606E51">
        <w:rPr>
          <w:lang w:val="es-CO"/>
        </w:rPr>
        <w:t>1</w:t>
      </w:r>
      <w:r w:rsidRPr="00606E51">
        <w:rPr>
          <w:lang w:val="es-CO"/>
        </w:rPr>
        <w:fldChar w:fldCharType="end"/>
      </w:r>
      <w:r w:rsidRPr="00606E51">
        <w:rPr>
          <w:lang w:val="es-CO"/>
        </w:rPr>
        <w:noBreakHyphen/>
      </w:r>
      <w:r w:rsidRPr="00606E51">
        <w:rPr>
          <w:lang w:val="es-CO"/>
        </w:rPr>
        <w:fldChar w:fldCharType="begin"/>
      </w:r>
      <w:r w:rsidRPr="00606E51">
        <w:rPr>
          <w:lang w:val="es-CO"/>
        </w:rPr>
        <w:instrText xml:space="preserve"> SEQ Cuadro \* ROMAN \s 1 </w:instrText>
      </w:r>
      <w:r w:rsidRPr="00606E51">
        <w:rPr>
          <w:lang w:val="es-CO"/>
        </w:rPr>
        <w:fldChar w:fldCharType="separate"/>
      </w:r>
      <w:r w:rsidRPr="00606E51">
        <w:rPr>
          <w:lang w:val="es-CO"/>
        </w:rPr>
        <w:t>I</w:t>
      </w:r>
      <w:r w:rsidRPr="00606E51">
        <w:rPr>
          <w:lang w:val="es-CO"/>
        </w:rPr>
        <w:fldChar w:fldCharType="end"/>
      </w:r>
      <w:r w:rsidRPr="00606E51">
        <w:rPr>
          <w:lang w:val="es-CO"/>
        </w:rPr>
        <w:t xml:space="preserve"> Objetivos y preguntas de evaluación </w:t>
      </w:r>
    </w:p>
    <w:tbl>
      <w:tblPr>
        <w:tblStyle w:val="TableGrid"/>
        <w:tblW w:w="13225" w:type="dxa"/>
        <w:tblInd w:w="360" w:type="dxa"/>
        <w:tblLook w:val="04A0" w:firstRow="1" w:lastRow="0" w:firstColumn="1" w:lastColumn="0" w:noHBand="0" w:noVBand="1"/>
      </w:tblPr>
      <w:tblGrid>
        <w:gridCol w:w="2245"/>
        <w:gridCol w:w="4590"/>
        <w:gridCol w:w="6390"/>
      </w:tblGrid>
      <w:tr w:rsidR="006004FA" w:rsidRPr="002E0382" w14:paraId="00750B52" w14:textId="77777777" w:rsidTr="008A61FD">
        <w:tc>
          <w:tcPr>
            <w:tcW w:w="2245" w:type="dxa"/>
            <w:vAlign w:val="center"/>
          </w:tcPr>
          <w:p w14:paraId="39B61940" w14:textId="77777777" w:rsidR="006004FA" w:rsidRPr="002E0382" w:rsidRDefault="006004FA" w:rsidP="008A61FD">
            <w:pPr>
              <w:jc w:val="center"/>
              <w:rPr>
                <w:bCs w:val="0"/>
                <w:sz w:val="20"/>
                <w:szCs w:val="20"/>
                <w:lang w:val="es-CO"/>
              </w:rPr>
            </w:pPr>
            <w:r>
              <w:rPr>
                <w:bCs w:val="0"/>
                <w:sz w:val="20"/>
                <w:szCs w:val="20"/>
                <w:lang w:val="es-CO"/>
              </w:rPr>
              <w:t>Criterio de evaluación</w:t>
            </w:r>
          </w:p>
        </w:tc>
        <w:tc>
          <w:tcPr>
            <w:tcW w:w="4590" w:type="dxa"/>
          </w:tcPr>
          <w:p w14:paraId="19F37A2E" w14:textId="77777777" w:rsidR="006004FA" w:rsidRPr="002E0382" w:rsidRDefault="006004FA" w:rsidP="008A61FD">
            <w:pPr>
              <w:jc w:val="center"/>
              <w:rPr>
                <w:bCs w:val="0"/>
                <w:sz w:val="20"/>
                <w:szCs w:val="20"/>
                <w:lang w:val="es-CO"/>
              </w:rPr>
            </w:pPr>
            <w:r w:rsidRPr="002E0382">
              <w:rPr>
                <w:bCs w:val="0"/>
                <w:sz w:val="20"/>
                <w:szCs w:val="20"/>
                <w:lang w:val="es-CO"/>
              </w:rPr>
              <w:t>Objetivo específico</w:t>
            </w:r>
          </w:p>
        </w:tc>
        <w:tc>
          <w:tcPr>
            <w:tcW w:w="6390" w:type="dxa"/>
          </w:tcPr>
          <w:p w14:paraId="2CA2E697" w14:textId="77777777" w:rsidR="006004FA" w:rsidRPr="002E0382" w:rsidRDefault="006004FA" w:rsidP="008A61FD">
            <w:pPr>
              <w:jc w:val="center"/>
              <w:rPr>
                <w:bCs w:val="0"/>
                <w:sz w:val="20"/>
                <w:szCs w:val="20"/>
                <w:lang w:val="es-CO"/>
              </w:rPr>
            </w:pPr>
            <w:r w:rsidRPr="002E0382">
              <w:rPr>
                <w:bCs w:val="0"/>
                <w:sz w:val="20"/>
                <w:szCs w:val="20"/>
                <w:lang w:val="es-CO"/>
              </w:rPr>
              <w:t>Preguntas de evaluación</w:t>
            </w:r>
          </w:p>
        </w:tc>
      </w:tr>
      <w:tr w:rsidR="006004FA" w:rsidRPr="002E0382" w14:paraId="5C475DB2" w14:textId="77777777" w:rsidTr="008A61FD">
        <w:tc>
          <w:tcPr>
            <w:tcW w:w="2245" w:type="dxa"/>
            <w:vMerge w:val="restart"/>
            <w:vAlign w:val="center"/>
          </w:tcPr>
          <w:p w14:paraId="254001D0" w14:textId="77777777" w:rsidR="006004FA" w:rsidRPr="002E0382" w:rsidRDefault="006004FA" w:rsidP="008A61FD">
            <w:pPr>
              <w:jc w:val="center"/>
              <w:rPr>
                <w:b w:val="0"/>
                <w:bCs w:val="0"/>
                <w:sz w:val="20"/>
                <w:szCs w:val="20"/>
                <w:lang w:val="es-CO"/>
              </w:rPr>
            </w:pPr>
            <w:r w:rsidRPr="002E0382">
              <w:rPr>
                <w:sz w:val="20"/>
                <w:szCs w:val="20"/>
                <w:lang w:val="es-CO"/>
              </w:rPr>
              <w:t>Adherencia</w:t>
            </w:r>
          </w:p>
        </w:tc>
        <w:tc>
          <w:tcPr>
            <w:tcW w:w="4590" w:type="dxa"/>
          </w:tcPr>
          <w:p w14:paraId="239244CF" w14:textId="77777777" w:rsidR="006004FA" w:rsidRPr="002E0382" w:rsidRDefault="006004FA" w:rsidP="008A61FD">
            <w:pPr>
              <w:jc w:val="both"/>
              <w:rPr>
                <w:bCs w:val="0"/>
                <w:sz w:val="20"/>
                <w:szCs w:val="20"/>
                <w:lang w:val="es-CO"/>
              </w:rPr>
            </w:pPr>
            <w:r w:rsidRPr="002E0382">
              <w:rPr>
                <w:bCs w:val="0"/>
                <w:sz w:val="20"/>
                <w:szCs w:val="20"/>
                <w:lang w:val="es-CO"/>
              </w:rPr>
              <w:t xml:space="preserve">i. </w:t>
            </w:r>
            <w:r w:rsidRPr="002E0382">
              <w:rPr>
                <w:b w:val="0"/>
                <w:bCs w:val="0"/>
                <w:sz w:val="20"/>
                <w:szCs w:val="20"/>
                <w:lang w:val="es-CO"/>
              </w:rPr>
              <w:t>Determinar si las órdenes impartidas por la Resolución están siendo implementadas apropiadamente por los diferentes actores del sistema general de seguridad social en salud (SGSSS) de los municipios de Maicao, Manaure, Riohacha y Uribia del departamento de La Guajira.</w:t>
            </w:r>
          </w:p>
        </w:tc>
        <w:tc>
          <w:tcPr>
            <w:tcW w:w="6390" w:type="dxa"/>
          </w:tcPr>
          <w:p w14:paraId="3D6679AD" w14:textId="77777777" w:rsidR="006004FA" w:rsidRPr="002E0382" w:rsidRDefault="006004FA" w:rsidP="008A61FD">
            <w:pPr>
              <w:jc w:val="both"/>
              <w:rPr>
                <w:b w:val="0"/>
                <w:bCs w:val="0"/>
                <w:sz w:val="20"/>
                <w:szCs w:val="20"/>
                <w:lang w:val="es-CO"/>
              </w:rPr>
            </w:pPr>
            <w:r w:rsidRPr="002E0382">
              <w:rPr>
                <w:bCs w:val="0"/>
                <w:sz w:val="20"/>
                <w:szCs w:val="20"/>
                <w:lang w:val="es-CO"/>
              </w:rPr>
              <w:t>1.</w:t>
            </w:r>
            <w:r>
              <w:rPr>
                <w:bCs w:val="0"/>
                <w:sz w:val="20"/>
                <w:szCs w:val="20"/>
                <w:lang w:val="es-CO"/>
              </w:rPr>
              <w:t xml:space="preserve"> </w:t>
            </w:r>
            <w:r w:rsidRPr="002E0382">
              <w:rPr>
                <w:b w:val="0"/>
                <w:bCs w:val="0"/>
                <w:sz w:val="20"/>
                <w:szCs w:val="20"/>
                <w:lang w:val="es-CO"/>
              </w:rPr>
              <w:t>¿La atención a la desnutrición aguda por parte de las EAPB, las entidades territoriales y sus respectivas redes de prestadores se hace siguiendo la Resolución del MSPS?</w:t>
            </w:r>
          </w:p>
          <w:p w14:paraId="1F56B415" w14:textId="77777777" w:rsidR="006004FA" w:rsidRPr="002E0382" w:rsidRDefault="006004FA" w:rsidP="008A61FD">
            <w:pPr>
              <w:jc w:val="both"/>
              <w:rPr>
                <w:bCs w:val="0"/>
                <w:sz w:val="20"/>
                <w:szCs w:val="20"/>
                <w:lang w:val="es-CO"/>
              </w:rPr>
            </w:pPr>
          </w:p>
        </w:tc>
      </w:tr>
      <w:tr w:rsidR="006004FA" w:rsidRPr="002E0382" w14:paraId="77B77311" w14:textId="77777777" w:rsidTr="008A61FD">
        <w:tc>
          <w:tcPr>
            <w:tcW w:w="2245" w:type="dxa"/>
            <w:vMerge/>
            <w:vAlign w:val="center"/>
          </w:tcPr>
          <w:p w14:paraId="38E26E39" w14:textId="77777777" w:rsidR="006004FA" w:rsidRPr="002E0382" w:rsidDel="009D2044" w:rsidRDefault="006004FA" w:rsidP="008A61FD">
            <w:pPr>
              <w:jc w:val="center"/>
              <w:rPr>
                <w:sz w:val="20"/>
                <w:szCs w:val="20"/>
                <w:lang w:val="es-CO"/>
              </w:rPr>
            </w:pPr>
          </w:p>
        </w:tc>
        <w:tc>
          <w:tcPr>
            <w:tcW w:w="4590" w:type="dxa"/>
          </w:tcPr>
          <w:p w14:paraId="61AB6483" w14:textId="77777777" w:rsidR="006004FA" w:rsidRPr="002E0382" w:rsidRDefault="006004FA" w:rsidP="008A61FD">
            <w:pPr>
              <w:jc w:val="both"/>
              <w:rPr>
                <w:bCs w:val="0"/>
                <w:sz w:val="20"/>
                <w:szCs w:val="20"/>
                <w:lang w:val="es-CO"/>
              </w:rPr>
            </w:pPr>
            <w:r w:rsidRPr="002E0382">
              <w:rPr>
                <w:bCs w:val="0"/>
                <w:sz w:val="20"/>
                <w:szCs w:val="20"/>
                <w:lang w:val="es-CO"/>
              </w:rPr>
              <w:t>ii.</w:t>
            </w:r>
            <w:r w:rsidRPr="002E0382">
              <w:rPr>
                <w:b w:val="0"/>
                <w:bCs w:val="0"/>
                <w:sz w:val="20"/>
                <w:szCs w:val="20"/>
                <w:lang w:val="es-CO"/>
              </w:rPr>
              <w:t xml:space="preserve"> Determinar el </w:t>
            </w:r>
            <w:r w:rsidRPr="002E0382">
              <w:rPr>
                <w:sz w:val="20"/>
                <w:szCs w:val="20"/>
                <w:lang w:val="es-CO"/>
              </w:rPr>
              <w:t>grado de adherencia</w:t>
            </w:r>
            <w:r w:rsidRPr="002E0382">
              <w:rPr>
                <w:b w:val="0"/>
                <w:bCs w:val="0"/>
                <w:sz w:val="20"/>
                <w:szCs w:val="20"/>
                <w:lang w:val="es-CO"/>
              </w:rPr>
              <w:t xml:space="preserve"> del Lineamiento, a partir de los resultados de efectividad,  tanto en el personal médico, como entre los cuidadores de los niños y niñas menores de cinco años con desnutrición aguda en los municipios objeto de análisis en esta evaluación</w:t>
            </w:r>
            <w:r w:rsidRPr="002E0382">
              <w:rPr>
                <w:b w:val="0"/>
                <w:bCs w:val="0"/>
                <w:sz w:val="20"/>
                <w:szCs w:val="20"/>
                <w:vertAlign w:val="superscript"/>
                <w:lang w:val="es-CO"/>
              </w:rPr>
              <w:footnoteReference w:id="21"/>
            </w:r>
            <w:r w:rsidRPr="002E0382">
              <w:rPr>
                <w:b w:val="0"/>
                <w:bCs w:val="0"/>
                <w:sz w:val="20"/>
                <w:szCs w:val="20"/>
                <w:lang w:val="es-CO"/>
              </w:rPr>
              <w:t>.</w:t>
            </w:r>
          </w:p>
        </w:tc>
        <w:tc>
          <w:tcPr>
            <w:tcW w:w="6390" w:type="dxa"/>
          </w:tcPr>
          <w:p w14:paraId="073BCD56" w14:textId="77777777" w:rsidR="006004FA" w:rsidRPr="002E0382" w:rsidRDefault="006004FA" w:rsidP="008A61FD">
            <w:pPr>
              <w:jc w:val="both"/>
              <w:rPr>
                <w:b w:val="0"/>
                <w:bCs w:val="0"/>
                <w:sz w:val="20"/>
                <w:szCs w:val="20"/>
                <w:lang w:val="es-CO"/>
              </w:rPr>
            </w:pPr>
            <w:r w:rsidRPr="002E0382">
              <w:rPr>
                <w:bCs w:val="0"/>
                <w:sz w:val="20"/>
                <w:szCs w:val="20"/>
                <w:lang w:val="es-CO"/>
              </w:rPr>
              <w:t>2.</w:t>
            </w:r>
            <w:r>
              <w:rPr>
                <w:b w:val="0"/>
                <w:bCs w:val="0"/>
                <w:sz w:val="20"/>
                <w:szCs w:val="20"/>
                <w:lang w:val="es-CO"/>
              </w:rPr>
              <w:t xml:space="preserve"> </w:t>
            </w:r>
            <w:r w:rsidRPr="002E0382">
              <w:rPr>
                <w:b w:val="0"/>
                <w:bCs w:val="0"/>
                <w:sz w:val="20"/>
                <w:szCs w:val="20"/>
                <w:lang w:val="es-CO"/>
              </w:rPr>
              <w:t>¿Cuál es el grado de adherencia del Lineamiento por parte de los profesionales de la salud pertenecientes a la red prestadora de los municipios objeto de esta evaluación?</w:t>
            </w:r>
          </w:p>
          <w:p w14:paraId="1C410442" w14:textId="77777777" w:rsidR="006004FA" w:rsidRPr="002E0382" w:rsidRDefault="006004FA" w:rsidP="008A61FD">
            <w:pPr>
              <w:jc w:val="both"/>
              <w:rPr>
                <w:b w:val="0"/>
                <w:bCs w:val="0"/>
                <w:sz w:val="20"/>
                <w:szCs w:val="20"/>
                <w:lang w:val="es-CO"/>
              </w:rPr>
            </w:pPr>
          </w:p>
          <w:p w14:paraId="054D0B4E" w14:textId="77777777" w:rsidR="006004FA" w:rsidRPr="002E0382" w:rsidRDefault="006004FA" w:rsidP="008A61FD">
            <w:pPr>
              <w:jc w:val="both"/>
              <w:rPr>
                <w:bCs w:val="0"/>
                <w:sz w:val="20"/>
                <w:szCs w:val="20"/>
                <w:lang w:val="es-CO"/>
              </w:rPr>
            </w:pPr>
            <w:r w:rsidRPr="002E0382">
              <w:rPr>
                <w:bCs w:val="0"/>
                <w:sz w:val="20"/>
                <w:szCs w:val="20"/>
                <w:lang w:val="es-CO"/>
              </w:rPr>
              <w:t xml:space="preserve">3. </w:t>
            </w:r>
            <w:r w:rsidRPr="002E0382">
              <w:rPr>
                <w:b w:val="0"/>
                <w:bCs w:val="0"/>
                <w:sz w:val="20"/>
                <w:szCs w:val="20"/>
                <w:lang w:val="es-CO"/>
              </w:rPr>
              <w:t>¿Cuál es el nivel de adherencia terapéutica para los cuidadores de la población sujeto de este Lineamiento?</w:t>
            </w:r>
          </w:p>
        </w:tc>
      </w:tr>
      <w:tr w:rsidR="006004FA" w:rsidRPr="002E0382" w14:paraId="1EB75C5B" w14:textId="77777777" w:rsidTr="008A61FD">
        <w:tc>
          <w:tcPr>
            <w:tcW w:w="2245" w:type="dxa"/>
            <w:vMerge w:val="restart"/>
            <w:vAlign w:val="center"/>
          </w:tcPr>
          <w:p w14:paraId="53C65B2B" w14:textId="77777777" w:rsidR="006004FA" w:rsidRPr="002E0382" w:rsidRDefault="006004FA" w:rsidP="008A61FD">
            <w:pPr>
              <w:jc w:val="center"/>
              <w:rPr>
                <w:bCs w:val="0"/>
                <w:sz w:val="20"/>
                <w:szCs w:val="20"/>
                <w:lang w:val="es-CO"/>
              </w:rPr>
            </w:pPr>
            <w:r w:rsidRPr="002E0382">
              <w:rPr>
                <w:bCs w:val="0"/>
                <w:sz w:val="20"/>
                <w:szCs w:val="20"/>
                <w:lang w:val="es-CO"/>
              </w:rPr>
              <w:t>Costo efectividad</w:t>
            </w:r>
          </w:p>
          <w:p w14:paraId="7BA47488" w14:textId="77777777" w:rsidR="006004FA" w:rsidRPr="002E0382" w:rsidRDefault="006004FA" w:rsidP="008A61FD">
            <w:pPr>
              <w:jc w:val="center"/>
              <w:rPr>
                <w:bCs w:val="0"/>
                <w:sz w:val="20"/>
                <w:szCs w:val="20"/>
                <w:lang w:val="es-CO"/>
              </w:rPr>
            </w:pPr>
          </w:p>
          <w:p w14:paraId="6F178588" w14:textId="77777777" w:rsidR="006004FA" w:rsidRPr="002E0382" w:rsidRDefault="006004FA" w:rsidP="008A61FD">
            <w:pPr>
              <w:jc w:val="center"/>
              <w:rPr>
                <w:b w:val="0"/>
                <w:bCs w:val="0"/>
                <w:sz w:val="20"/>
                <w:szCs w:val="20"/>
                <w:lang w:val="es-CO"/>
              </w:rPr>
            </w:pPr>
          </w:p>
        </w:tc>
        <w:tc>
          <w:tcPr>
            <w:tcW w:w="4590" w:type="dxa"/>
          </w:tcPr>
          <w:p w14:paraId="746AA39F" w14:textId="77777777" w:rsidR="006004FA" w:rsidRPr="002E0382" w:rsidRDefault="006004FA" w:rsidP="008A61FD">
            <w:pPr>
              <w:jc w:val="both"/>
              <w:rPr>
                <w:bCs w:val="0"/>
                <w:sz w:val="20"/>
                <w:szCs w:val="20"/>
                <w:lang w:val="es-CO"/>
              </w:rPr>
            </w:pPr>
            <w:r w:rsidRPr="002E0382">
              <w:rPr>
                <w:b w:val="0"/>
                <w:bCs w:val="0"/>
                <w:sz w:val="20"/>
                <w:szCs w:val="20"/>
                <w:lang w:val="es-CO"/>
              </w:rPr>
              <w:br w:type="page"/>
            </w:r>
            <w:r w:rsidRPr="002E0382">
              <w:rPr>
                <w:bCs w:val="0"/>
                <w:sz w:val="20"/>
                <w:szCs w:val="20"/>
                <w:lang w:val="es-CO"/>
              </w:rPr>
              <w:t xml:space="preserve">iii. </w:t>
            </w:r>
            <w:r w:rsidRPr="002E0382">
              <w:rPr>
                <w:b w:val="0"/>
                <w:bCs w:val="0"/>
                <w:sz w:val="20"/>
                <w:szCs w:val="20"/>
                <w:lang w:val="es-CO"/>
              </w:rPr>
              <w:t>Estimar el costo incremental de implementación del Lineamiento, tanto en la atención intrahospitalaria, como para el manejo en el hogar.</w:t>
            </w:r>
          </w:p>
        </w:tc>
        <w:tc>
          <w:tcPr>
            <w:tcW w:w="6390" w:type="dxa"/>
          </w:tcPr>
          <w:p w14:paraId="3A13F649" w14:textId="77777777" w:rsidR="006004FA" w:rsidRPr="002E0382" w:rsidRDefault="006004FA" w:rsidP="008A61FD">
            <w:pPr>
              <w:rPr>
                <w:b w:val="0"/>
                <w:sz w:val="20"/>
                <w:szCs w:val="20"/>
                <w:lang w:val="es-CO"/>
              </w:rPr>
            </w:pPr>
            <w:r w:rsidRPr="002E0382">
              <w:rPr>
                <w:sz w:val="20"/>
                <w:szCs w:val="20"/>
                <w:lang w:val="es-CO"/>
              </w:rPr>
              <w:t>4.</w:t>
            </w:r>
            <w:r>
              <w:rPr>
                <w:sz w:val="20"/>
                <w:szCs w:val="20"/>
                <w:lang w:val="es-CO"/>
              </w:rPr>
              <w:t xml:space="preserve"> </w:t>
            </w:r>
            <w:r w:rsidRPr="002E0382">
              <w:rPr>
                <w:b w:val="0"/>
                <w:sz w:val="20"/>
                <w:szCs w:val="20"/>
                <w:lang w:val="es-CO"/>
              </w:rPr>
              <w:t>¿Cuál es el costo de los insumos, procesos y productos para implementar el Lineamiento para el manejo en el hogar a través de la modalidad de la atención extramural de las IPS de baja complejidad?</w:t>
            </w:r>
          </w:p>
          <w:p w14:paraId="2ADC1B2C" w14:textId="77777777" w:rsidR="006004FA" w:rsidRPr="002E0382" w:rsidRDefault="006004FA" w:rsidP="008A61FD">
            <w:pPr>
              <w:rPr>
                <w:sz w:val="20"/>
                <w:szCs w:val="20"/>
                <w:lang w:val="es-CO"/>
              </w:rPr>
            </w:pPr>
          </w:p>
          <w:p w14:paraId="590B39DB" w14:textId="77777777" w:rsidR="006004FA" w:rsidRPr="002E0382" w:rsidRDefault="006004FA" w:rsidP="008A61FD">
            <w:pPr>
              <w:rPr>
                <w:bCs w:val="0"/>
                <w:sz w:val="20"/>
                <w:szCs w:val="20"/>
                <w:lang w:val="es-CO"/>
              </w:rPr>
            </w:pPr>
            <w:r w:rsidRPr="002E0382">
              <w:rPr>
                <w:sz w:val="20"/>
                <w:szCs w:val="20"/>
                <w:lang w:val="es-CO"/>
              </w:rPr>
              <w:t>5.</w:t>
            </w:r>
            <w:r w:rsidRPr="002E0382">
              <w:rPr>
                <w:b w:val="0"/>
                <w:sz w:val="20"/>
                <w:szCs w:val="20"/>
                <w:lang w:val="es-CO"/>
              </w:rPr>
              <w:t xml:space="preserve"> </w:t>
            </w:r>
            <w:r>
              <w:rPr>
                <w:b w:val="0"/>
                <w:sz w:val="20"/>
                <w:szCs w:val="20"/>
                <w:lang w:val="es-CO"/>
              </w:rPr>
              <w:t xml:space="preserve"> </w:t>
            </w:r>
            <w:r w:rsidRPr="002E0382">
              <w:rPr>
                <w:b w:val="0"/>
                <w:sz w:val="20"/>
                <w:szCs w:val="20"/>
                <w:lang w:val="es-CO"/>
              </w:rPr>
              <w:t>¿Cuál es el costo de los insumos, procesos y productos específicos de aplicar el Lineamiento para el manejo intrahospitalario en las IPS de mediana/alta complejidad?</w:t>
            </w:r>
          </w:p>
        </w:tc>
      </w:tr>
      <w:tr w:rsidR="006004FA" w:rsidRPr="002E0382" w14:paraId="0BF64840" w14:textId="77777777" w:rsidTr="008A61FD">
        <w:trPr>
          <w:trHeight w:val="980"/>
        </w:trPr>
        <w:tc>
          <w:tcPr>
            <w:tcW w:w="2245" w:type="dxa"/>
            <w:vMerge/>
            <w:vAlign w:val="center"/>
          </w:tcPr>
          <w:p w14:paraId="7B5EC1B5" w14:textId="77777777" w:rsidR="006004FA" w:rsidRPr="002E0382" w:rsidRDefault="006004FA" w:rsidP="008A61FD">
            <w:pPr>
              <w:jc w:val="center"/>
              <w:rPr>
                <w:bCs w:val="0"/>
                <w:sz w:val="20"/>
                <w:szCs w:val="20"/>
                <w:lang w:val="es-CO"/>
              </w:rPr>
            </w:pPr>
          </w:p>
        </w:tc>
        <w:tc>
          <w:tcPr>
            <w:tcW w:w="4590" w:type="dxa"/>
          </w:tcPr>
          <w:p w14:paraId="7D3A34DC" w14:textId="77777777" w:rsidR="006004FA" w:rsidRPr="002E0382" w:rsidRDefault="006004FA" w:rsidP="008A61FD">
            <w:pPr>
              <w:jc w:val="both"/>
              <w:rPr>
                <w:bCs w:val="0"/>
                <w:sz w:val="20"/>
                <w:szCs w:val="20"/>
                <w:lang w:val="es-CO"/>
              </w:rPr>
            </w:pPr>
            <w:r w:rsidRPr="002E0382">
              <w:rPr>
                <w:bCs w:val="0"/>
                <w:sz w:val="20"/>
                <w:szCs w:val="20"/>
                <w:lang w:val="es-CO"/>
              </w:rPr>
              <w:t xml:space="preserve">iv. </w:t>
            </w:r>
            <w:r w:rsidRPr="002E0382">
              <w:rPr>
                <w:b w:val="0"/>
                <w:bCs w:val="0"/>
                <w:sz w:val="20"/>
                <w:szCs w:val="20"/>
                <w:lang w:val="es-CO"/>
              </w:rPr>
              <w:t>Estimar el costo de atención de niños y niñas con desnutrición aguda (moderada y severa) en los municipios de estudio, en el escenario de no implementación del Lineamiento.</w:t>
            </w:r>
          </w:p>
        </w:tc>
        <w:tc>
          <w:tcPr>
            <w:tcW w:w="6390" w:type="dxa"/>
          </w:tcPr>
          <w:p w14:paraId="3D0AE2B8" w14:textId="77777777" w:rsidR="006004FA" w:rsidRPr="002E0382" w:rsidRDefault="006004FA" w:rsidP="008A61FD">
            <w:pPr>
              <w:jc w:val="both"/>
              <w:rPr>
                <w:b w:val="0"/>
                <w:bCs w:val="0"/>
                <w:sz w:val="20"/>
                <w:szCs w:val="20"/>
                <w:lang w:val="es-CO"/>
              </w:rPr>
            </w:pPr>
            <w:r>
              <w:rPr>
                <w:bCs w:val="0"/>
                <w:sz w:val="20"/>
                <w:szCs w:val="20"/>
                <w:lang w:val="es-CO"/>
              </w:rPr>
              <w:t>6</w:t>
            </w:r>
            <w:r w:rsidRPr="002E0382">
              <w:rPr>
                <w:bCs w:val="0"/>
                <w:sz w:val="20"/>
                <w:szCs w:val="20"/>
                <w:lang w:val="es-CO"/>
              </w:rPr>
              <w:t>.</w:t>
            </w:r>
            <w:r>
              <w:rPr>
                <w:bCs w:val="0"/>
                <w:sz w:val="20"/>
                <w:szCs w:val="20"/>
                <w:lang w:val="es-CO"/>
              </w:rPr>
              <w:t xml:space="preserve"> </w:t>
            </w:r>
            <w:r w:rsidRPr="002E0382">
              <w:rPr>
                <w:b w:val="0"/>
                <w:bCs w:val="0"/>
                <w:sz w:val="20"/>
                <w:szCs w:val="20"/>
                <w:lang w:val="es-CO"/>
              </w:rPr>
              <w:t>¿Cuánto cuesta mejorar el estado de salud de la sociedad (utilizando indicadores de efectividad), debido a la implementación del Lineamiento?</w:t>
            </w:r>
          </w:p>
          <w:p w14:paraId="65A87DFD" w14:textId="77777777" w:rsidR="006004FA" w:rsidRPr="002E0382" w:rsidRDefault="006004FA" w:rsidP="008A61FD">
            <w:pPr>
              <w:jc w:val="both"/>
              <w:rPr>
                <w:bCs w:val="0"/>
                <w:sz w:val="20"/>
                <w:szCs w:val="20"/>
                <w:lang w:val="es-CO"/>
              </w:rPr>
            </w:pPr>
          </w:p>
        </w:tc>
      </w:tr>
      <w:tr w:rsidR="006004FA" w:rsidRPr="002E0382" w14:paraId="4C29E794" w14:textId="77777777" w:rsidTr="008A61FD">
        <w:tc>
          <w:tcPr>
            <w:tcW w:w="2245" w:type="dxa"/>
            <w:vMerge/>
            <w:vAlign w:val="center"/>
          </w:tcPr>
          <w:p w14:paraId="023E83F7" w14:textId="77777777" w:rsidR="006004FA" w:rsidRPr="002E0382" w:rsidRDefault="006004FA" w:rsidP="008A61FD">
            <w:pPr>
              <w:jc w:val="center"/>
              <w:rPr>
                <w:bCs w:val="0"/>
                <w:sz w:val="20"/>
                <w:szCs w:val="20"/>
                <w:lang w:val="es-CO"/>
              </w:rPr>
            </w:pPr>
          </w:p>
        </w:tc>
        <w:tc>
          <w:tcPr>
            <w:tcW w:w="4590" w:type="dxa"/>
          </w:tcPr>
          <w:p w14:paraId="33593D80" w14:textId="77777777" w:rsidR="006004FA" w:rsidRPr="002E0382" w:rsidRDefault="006004FA" w:rsidP="008A61FD">
            <w:pPr>
              <w:jc w:val="both"/>
              <w:rPr>
                <w:bCs w:val="0"/>
                <w:sz w:val="20"/>
                <w:szCs w:val="20"/>
                <w:lang w:val="es-CO"/>
              </w:rPr>
            </w:pPr>
            <w:r>
              <w:rPr>
                <w:bCs w:val="0"/>
                <w:sz w:val="20"/>
                <w:szCs w:val="20"/>
                <w:lang w:val="es-CO"/>
              </w:rPr>
              <w:t>iv</w:t>
            </w:r>
            <w:r w:rsidRPr="002E0382">
              <w:rPr>
                <w:bCs w:val="0"/>
                <w:sz w:val="20"/>
                <w:szCs w:val="20"/>
                <w:lang w:val="es-CO"/>
              </w:rPr>
              <w:t xml:space="preserve">. </w:t>
            </w:r>
            <w:r>
              <w:rPr>
                <w:b w:val="0"/>
                <w:bCs w:val="0"/>
                <w:sz w:val="20"/>
                <w:szCs w:val="20"/>
                <w:lang w:val="es-CO"/>
              </w:rPr>
              <w:t>E</w:t>
            </w:r>
            <w:r w:rsidRPr="002E0382">
              <w:rPr>
                <w:b w:val="0"/>
                <w:bCs w:val="0"/>
                <w:sz w:val="20"/>
                <w:szCs w:val="20"/>
                <w:lang w:val="es-CO"/>
              </w:rPr>
              <w:t>stimar la efectividad de la implementación del Lineamiento en los municipios seleccionados de La Guajira</w:t>
            </w:r>
          </w:p>
        </w:tc>
        <w:tc>
          <w:tcPr>
            <w:tcW w:w="6390" w:type="dxa"/>
          </w:tcPr>
          <w:p w14:paraId="019915C6" w14:textId="77777777" w:rsidR="006004FA" w:rsidRPr="002E0382" w:rsidRDefault="006004FA" w:rsidP="008A61FD">
            <w:pPr>
              <w:rPr>
                <w:b w:val="0"/>
                <w:bCs w:val="0"/>
                <w:sz w:val="20"/>
                <w:szCs w:val="20"/>
                <w:lang w:val="es-CO"/>
              </w:rPr>
            </w:pPr>
            <w:r>
              <w:rPr>
                <w:sz w:val="20"/>
                <w:szCs w:val="20"/>
                <w:lang w:val="es-CO"/>
              </w:rPr>
              <w:t>7</w:t>
            </w:r>
            <w:r w:rsidRPr="002E0382">
              <w:rPr>
                <w:sz w:val="20"/>
                <w:szCs w:val="20"/>
                <w:lang w:val="es-CO"/>
              </w:rPr>
              <w:t>.</w:t>
            </w:r>
            <w:r>
              <w:rPr>
                <w:sz w:val="20"/>
                <w:szCs w:val="20"/>
                <w:lang w:val="es-CO"/>
              </w:rPr>
              <w:t xml:space="preserve"> </w:t>
            </w:r>
            <w:r w:rsidRPr="002E0382">
              <w:rPr>
                <w:b w:val="0"/>
                <w:bCs w:val="0"/>
                <w:sz w:val="20"/>
                <w:szCs w:val="20"/>
                <w:lang w:val="es-CO"/>
              </w:rPr>
              <w:t>¿Cuántos niños con desnutrición aguda moderada y severa atendidos cumplieron los criterios para su recuperación, debido al Lineamiento?</w:t>
            </w:r>
          </w:p>
          <w:p w14:paraId="68E4EEDF" w14:textId="77777777" w:rsidR="006004FA" w:rsidRPr="002E0382" w:rsidRDefault="006004FA" w:rsidP="008A61FD">
            <w:pPr>
              <w:rPr>
                <w:b w:val="0"/>
                <w:bCs w:val="0"/>
                <w:sz w:val="20"/>
                <w:szCs w:val="20"/>
                <w:lang w:val="es-CO"/>
              </w:rPr>
            </w:pPr>
          </w:p>
          <w:p w14:paraId="31ACC5B8" w14:textId="77777777" w:rsidR="006004FA" w:rsidRPr="002E0382" w:rsidRDefault="006004FA" w:rsidP="008A61FD">
            <w:pPr>
              <w:rPr>
                <w:bCs w:val="0"/>
                <w:sz w:val="20"/>
                <w:szCs w:val="20"/>
                <w:lang w:val="es-CO"/>
              </w:rPr>
            </w:pPr>
            <w:r>
              <w:rPr>
                <w:bCs w:val="0"/>
                <w:sz w:val="20"/>
                <w:szCs w:val="20"/>
                <w:lang w:val="es-CO"/>
              </w:rPr>
              <w:t>8</w:t>
            </w:r>
            <w:r w:rsidRPr="002E0382">
              <w:rPr>
                <w:bCs w:val="0"/>
                <w:sz w:val="20"/>
                <w:szCs w:val="20"/>
                <w:lang w:val="es-CO"/>
              </w:rPr>
              <w:t>.</w:t>
            </w:r>
            <w:r>
              <w:rPr>
                <w:b w:val="0"/>
                <w:bCs w:val="0"/>
                <w:sz w:val="20"/>
                <w:szCs w:val="20"/>
                <w:lang w:val="es-CO"/>
              </w:rPr>
              <w:t xml:space="preserve"> </w:t>
            </w:r>
            <w:r w:rsidRPr="002E0382">
              <w:rPr>
                <w:b w:val="0"/>
                <w:bCs w:val="0"/>
                <w:sz w:val="20"/>
                <w:szCs w:val="20"/>
                <w:lang w:val="es-CO"/>
              </w:rPr>
              <w:t>¿Cuántos niños con desnutrición aguda moderada y severa atendidos presentaron alguna mejora en el puntaje Z del indicador peso para la talla (P/T)?</w:t>
            </w:r>
          </w:p>
        </w:tc>
      </w:tr>
    </w:tbl>
    <w:p w14:paraId="7D5ED526" w14:textId="77777777" w:rsidR="006004FA" w:rsidRDefault="006004FA" w:rsidP="00285C40">
      <w:pPr>
        <w:jc w:val="both"/>
        <w:rPr>
          <w:rFonts w:cs="Times New Roman"/>
          <w:lang w:val="es-CO"/>
        </w:rPr>
      </w:pPr>
    </w:p>
    <w:p w14:paraId="5ED589C8" w14:textId="77777777" w:rsidR="006004FA" w:rsidRDefault="006004FA" w:rsidP="00285C40">
      <w:pPr>
        <w:jc w:val="both"/>
        <w:rPr>
          <w:rFonts w:cs="Times New Roman"/>
          <w:lang w:val="es-CO"/>
        </w:rPr>
        <w:sectPr w:rsidR="006004FA" w:rsidSect="006004FA">
          <w:headerReference w:type="default" r:id="rId14"/>
          <w:footerReference w:type="default" r:id="rId15"/>
          <w:pgSz w:w="15840" w:h="12240" w:orient="landscape"/>
          <w:pgMar w:top="1701" w:right="1418" w:bottom="1701" w:left="1418" w:header="709" w:footer="709" w:gutter="0"/>
          <w:cols w:space="708"/>
          <w:docGrid w:linePitch="360"/>
        </w:sectPr>
      </w:pPr>
    </w:p>
    <w:p w14:paraId="776BC255" w14:textId="77777777" w:rsidR="00B24656" w:rsidRPr="00606E51" w:rsidRDefault="00D27C7A" w:rsidP="008A61FD">
      <w:pPr>
        <w:pStyle w:val="Heading2"/>
        <w:rPr>
          <w:lang w:val="es-CO"/>
        </w:rPr>
      </w:pPr>
      <w:bookmarkStart w:id="21" w:name="_Toc481101223"/>
      <w:r w:rsidRPr="00606E51">
        <w:rPr>
          <w:lang w:val="es-CO"/>
        </w:rPr>
        <w:lastRenderedPageBreak/>
        <w:t xml:space="preserve"> </w:t>
      </w:r>
      <w:bookmarkStart w:id="22" w:name="_Toc505090938"/>
      <w:r w:rsidR="00B24656" w:rsidRPr="00606E51">
        <w:rPr>
          <w:lang w:val="es-CO"/>
        </w:rPr>
        <w:t>Alcance</w:t>
      </w:r>
      <w:bookmarkEnd w:id="21"/>
      <w:r w:rsidR="00935D26">
        <w:rPr>
          <w:rStyle w:val="FootnoteReference"/>
          <w:lang w:val="es-CO"/>
        </w:rPr>
        <w:footnoteReference w:id="22"/>
      </w:r>
      <w:bookmarkEnd w:id="22"/>
    </w:p>
    <w:p w14:paraId="7C0B361B" w14:textId="77777777" w:rsidR="00BF74FA" w:rsidRPr="00606E51" w:rsidRDefault="00BF74FA" w:rsidP="00E153B4">
      <w:pPr>
        <w:jc w:val="both"/>
        <w:rPr>
          <w:rFonts w:cs="Times New Roman"/>
          <w:lang w:val="es-CO"/>
        </w:rPr>
      </w:pPr>
    </w:p>
    <w:p w14:paraId="55279422" w14:textId="4ACC918F" w:rsidR="00773324" w:rsidRPr="00720146" w:rsidRDefault="00C6357F" w:rsidP="00E153B4">
      <w:pPr>
        <w:jc w:val="both"/>
        <w:rPr>
          <w:rFonts w:cs="Times New Roman"/>
          <w:bCs/>
          <w:lang w:val="es-CO"/>
        </w:rPr>
      </w:pPr>
      <w:r w:rsidRPr="0022109F">
        <w:rPr>
          <w:rFonts w:cs="Times New Roman"/>
          <w:bCs/>
          <w:lang w:val="es-CO"/>
        </w:rPr>
        <w:t xml:space="preserve">Esta </w:t>
      </w:r>
      <w:r w:rsidR="00E153B4" w:rsidRPr="00720146">
        <w:rPr>
          <w:rFonts w:cs="Times New Roman"/>
          <w:bCs/>
          <w:lang w:val="es-CO"/>
        </w:rPr>
        <w:t xml:space="preserve">evaluación </w:t>
      </w:r>
      <w:r w:rsidR="008A61FD">
        <w:rPr>
          <w:rFonts w:cs="Times New Roman"/>
          <w:bCs/>
          <w:lang w:val="es-CO"/>
        </w:rPr>
        <w:t xml:space="preserve">se desarrolló en </w:t>
      </w:r>
      <w:r w:rsidR="008A61FD" w:rsidRPr="002E0382">
        <w:rPr>
          <w:rFonts w:cs="Times New Roman"/>
          <w:bCs/>
          <w:lang w:val="es-CO"/>
        </w:rPr>
        <w:t>los municipios de Maicao, Manaure, Riohacha y Uribia del departamento de La Guajira</w:t>
      </w:r>
      <w:r w:rsidR="008A61FD" w:rsidRPr="002E0382">
        <w:rPr>
          <w:rStyle w:val="FootnoteReference"/>
          <w:rFonts w:cs="Times New Roman"/>
          <w:bCs/>
          <w:lang w:val="es-CO"/>
        </w:rPr>
        <w:footnoteReference w:id="23"/>
      </w:r>
      <w:r w:rsidR="008A61FD">
        <w:rPr>
          <w:rFonts w:cs="Times New Roman"/>
          <w:bCs/>
          <w:lang w:val="es-CO"/>
        </w:rPr>
        <w:t xml:space="preserve">, con el apoyo de un </w:t>
      </w:r>
      <w:r w:rsidR="00E153B4" w:rsidRPr="00720146">
        <w:rPr>
          <w:rFonts w:cs="Times New Roman"/>
          <w:bCs/>
          <w:lang w:val="es-CO"/>
        </w:rPr>
        <w:t>equipo</w:t>
      </w:r>
      <w:r w:rsidR="00D3262C" w:rsidRPr="00720146">
        <w:rPr>
          <w:rFonts w:cs="Times New Roman"/>
          <w:bCs/>
          <w:lang w:val="es-CO"/>
        </w:rPr>
        <w:t xml:space="preserve"> externo e</w:t>
      </w:r>
      <w:r w:rsidR="00E153B4" w:rsidRPr="00720146">
        <w:rPr>
          <w:rFonts w:cs="Times New Roman"/>
          <w:bCs/>
          <w:lang w:val="es-CO"/>
        </w:rPr>
        <w:t xml:space="preserve"> </w:t>
      </w:r>
      <w:r w:rsidR="004B00BE" w:rsidRPr="00720146">
        <w:rPr>
          <w:rFonts w:cs="Times New Roman"/>
          <w:bCs/>
          <w:lang w:val="es-CO"/>
        </w:rPr>
        <w:t>independiente</w:t>
      </w:r>
      <w:r w:rsidR="00D3262C" w:rsidRPr="0022109F">
        <w:rPr>
          <w:rFonts w:cs="Times New Roman"/>
          <w:bCs/>
          <w:lang w:val="es-CO"/>
        </w:rPr>
        <w:t xml:space="preserve"> de UNICEF y el MSPS</w:t>
      </w:r>
      <w:r w:rsidR="004B00BE" w:rsidRPr="00720146">
        <w:rPr>
          <w:rFonts w:cs="Times New Roman"/>
          <w:bCs/>
          <w:lang w:val="es-CO"/>
        </w:rPr>
        <w:t xml:space="preserve">, el cual hizo una revisión documental, usó la información disponible y utilizó instrumentos de recolección de información </w:t>
      </w:r>
      <w:r w:rsidR="00DE21B4" w:rsidRPr="00720146">
        <w:rPr>
          <w:rFonts w:cs="Times New Roman"/>
          <w:bCs/>
          <w:lang w:val="es-CO"/>
        </w:rPr>
        <w:t xml:space="preserve">(tanto cualitativa como cuantitativa) </w:t>
      </w:r>
      <w:r w:rsidR="007F0235" w:rsidRPr="00720146">
        <w:rPr>
          <w:rFonts w:cs="Times New Roman"/>
          <w:bCs/>
          <w:lang w:val="es-CO"/>
        </w:rPr>
        <w:t>que permitiera un análisis objetivo</w:t>
      </w:r>
      <w:r w:rsidR="004B00BE" w:rsidRPr="00720146">
        <w:rPr>
          <w:rFonts w:cs="Times New Roman"/>
          <w:bCs/>
          <w:lang w:val="es-CO"/>
        </w:rPr>
        <w:t xml:space="preserve"> de acuerdo a los criterios </w:t>
      </w:r>
      <w:r w:rsidR="00BB6A04" w:rsidRPr="00720146">
        <w:rPr>
          <w:rFonts w:cs="Times New Roman"/>
          <w:lang w:val="es-CO"/>
        </w:rPr>
        <w:t xml:space="preserve">de adherencia </w:t>
      </w:r>
      <w:r w:rsidR="004B00BE" w:rsidRPr="00720146">
        <w:rPr>
          <w:rFonts w:cs="Times New Roman"/>
          <w:lang w:val="es-CO"/>
        </w:rPr>
        <w:t>y costo-efectividad</w:t>
      </w:r>
      <w:r w:rsidR="002E4329" w:rsidRPr="00720146">
        <w:rPr>
          <w:rFonts w:cs="Times New Roman"/>
          <w:bCs/>
          <w:lang w:val="es-CO"/>
        </w:rPr>
        <w:t>.</w:t>
      </w:r>
    </w:p>
    <w:p w14:paraId="6A6AAC99" w14:textId="77777777" w:rsidR="00773324" w:rsidRPr="00720146" w:rsidRDefault="00773324" w:rsidP="00E153B4">
      <w:pPr>
        <w:jc w:val="both"/>
        <w:rPr>
          <w:rFonts w:cs="Times New Roman"/>
          <w:bCs/>
          <w:lang w:val="es-CO"/>
        </w:rPr>
      </w:pPr>
    </w:p>
    <w:p w14:paraId="4D0F5E99" w14:textId="5E59EDBD" w:rsidR="008A61FD" w:rsidRDefault="008A61FD" w:rsidP="00E153B4">
      <w:pPr>
        <w:jc w:val="both"/>
        <w:rPr>
          <w:rFonts w:cs="Times New Roman"/>
          <w:bCs/>
          <w:lang w:val="es-CO"/>
        </w:rPr>
      </w:pPr>
      <w:r>
        <w:rPr>
          <w:rFonts w:cs="Times New Roman"/>
          <w:bCs/>
          <w:lang w:val="es-CO"/>
        </w:rPr>
        <w:t>EL proceso de evaluación priorizó la región de La Guajira, considerando que allí ya se contaba con un proceso avanzado de implementación de</w:t>
      </w:r>
      <w:r w:rsidR="00224194">
        <w:rPr>
          <w:rFonts w:cs="Times New Roman"/>
          <w:bCs/>
          <w:lang w:val="es-CO"/>
        </w:rPr>
        <w:t xml:space="preserve"> los elementos principales de</w:t>
      </w:r>
      <w:r>
        <w:rPr>
          <w:rFonts w:cs="Times New Roman"/>
          <w:bCs/>
          <w:lang w:val="es-CO"/>
        </w:rPr>
        <w:t xml:space="preserve">l Lineamiento, así como con información de primera mano (de parte de UNICEF y el propio MSPS) en torno a los logros y desafíos </w:t>
      </w:r>
      <w:r w:rsidRPr="008A61FD">
        <w:rPr>
          <w:rFonts w:cs="Times New Roman"/>
          <w:bCs/>
          <w:lang w:val="es-CO"/>
        </w:rPr>
        <w:t xml:space="preserve">qué </w:t>
      </w:r>
      <w:r>
        <w:rPr>
          <w:rFonts w:cs="Times New Roman"/>
          <w:bCs/>
          <w:lang w:val="es-CO"/>
        </w:rPr>
        <w:t xml:space="preserve">habían implicado dicha ejecución.  No obstante, el alcance de esta evaluación siempre se vio restringido por una </w:t>
      </w:r>
      <w:r w:rsidRPr="008A61FD">
        <w:rPr>
          <w:rFonts w:cs="Times New Roman"/>
          <w:bCs/>
          <w:lang w:val="es-CO"/>
        </w:rPr>
        <w:t xml:space="preserve">falta </w:t>
      </w:r>
      <w:r>
        <w:rPr>
          <w:rFonts w:cs="Times New Roman"/>
          <w:bCs/>
          <w:lang w:val="es-CO"/>
        </w:rPr>
        <w:t>frecuente de datos</w:t>
      </w:r>
      <w:r w:rsidR="00F23D4C">
        <w:rPr>
          <w:rFonts w:cs="Times New Roman"/>
          <w:bCs/>
          <w:lang w:val="es-CO"/>
        </w:rPr>
        <w:t xml:space="preserve"> </w:t>
      </w:r>
      <w:r>
        <w:rPr>
          <w:rFonts w:cs="Times New Roman"/>
          <w:bCs/>
          <w:lang w:val="es-CO"/>
        </w:rPr>
        <w:t>– tanto en el propio Ministerio de Salud, como entre los agentes locales del sistema de salud en el departamento de La Guajira –</w:t>
      </w:r>
      <w:r w:rsidR="00224194">
        <w:rPr>
          <w:rFonts w:cs="Times New Roman"/>
          <w:bCs/>
          <w:lang w:val="es-CO"/>
        </w:rPr>
        <w:t xml:space="preserve"> </w:t>
      </w:r>
      <w:r w:rsidRPr="008A61FD">
        <w:rPr>
          <w:rFonts w:cs="Times New Roman"/>
          <w:bCs/>
          <w:lang w:val="es-CO"/>
        </w:rPr>
        <w:t>sobre elementos particulares de la intervención</w:t>
      </w:r>
      <w:r w:rsidR="00F23D4C">
        <w:rPr>
          <w:rFonts w:cs="Times New Roman"/>
          <w:bCs/>
          <w:lang w:val="es-CO"/>
        </w:rPr>
        <w:t xml:space="preserve">;  en particular, lo referido al seguimiento de casos de malnutrición, niño a niño, así como a los gastos locales en </w:t>
      </w:r>
      <w:r w:rsidR="00F23D4C" w:rsidRPr="00606E51">
        <w:rPr>
          <w:rFonts w:cs="Times New Roman"/>
          <w:bCs/>
          <w:lang w:val="es-CO"/>
        </w:rPr>
        <w:t>la atención ambulatoria intra-mural de los casos de desnutrición aguda en las IPS de baja complejidad</w:t>
      </w:r>
      <w:r w:rsidR="00224194">
        <w:rPr>
          <w:rFonts w:cs="Times New Roman"/>
          <w:bCs/>
          <w:lang w:val="es-CO"/>
        </w:rPr>
        <w:t xml:space="preserve">.  Fue por esto que el equipo evaluador se vio obligado a hacer varios ajustes metodológicos que subsanaran los vacìos de información; ya fuera por medio de la aplicación de instrumentos alternativos de recolección de información (e.g. entrevistas y grupos focales en terreno) o por refinamiento de supuestos para poder imputar o estimar algunos de los costos y efectos de la implementación del Lineamiento.   </w:t>
      </w:r>
    </w:p>
    <w:p w14:paraId="16941FE4" w14:textId="77777777" w:rsidR="008A61FD" w:rsidRDefault="008A61FD" w:rsidP="00E153B4">
      <w:pPr>
        <w:jc w:val="both"/>
        <w:rPr>
          <w:rFonts w:cs="Times New Roman"/>
          <w:bCs/>
          <w:lang w:val="es-CO"/>
        </w:rPr>
      </w:pPr>
    </w:p>
    <w:p w14:paraId="196C5807" w14:textId="73AA6996" w:rsidR="000F57A9" w:rsidRDefault="000F57A9" w:rsidP="00E153B4">
      <w:pPr>
        <w:jc w:val="both"/>
        <w:rPr>
          <w:rFonts w:cs="Times New Roman"/>
          <w:bCs/>
          <w:lang w:val="es-CO"/>
        </w:rPr>
      </w:pPr>
      <w:r w:rsidRPr="0022109F">
        <w:rPr>
          <w:rFonts w:cs="Times New Roman"/>
          <w:bCs/>
          <w:lang w:val="es-CO"/>
        </w:rPr>
        <w:t xml:space="preserve">La información cuantitativa </w:t>
      </w:r>
      <w:r w:rsidR="00224194">
        <w:rPr>
          <w:rFonts w:cs="Times New Roman"/>
          <w:bCs/>
          <w:lang w:val="es-CO"/>
        </w:rPr>
        <w:t xml:space="preserve">se obtuvo del </w:t>
      </w:r>
      <w:r w:rsidR="00773324" w:rsidRPr="00720146">
        <w:rPr>
          <w:rFonts w:cs="Times New Roman"/>
          <w:bCs/>
          <w:lang w:val="es-CO"/>
        </w:rPr>
        <w:t>seguimiento realizado por el MSPS en torno a</w:t>
      </w:r>
      <w:r w:rsidR="005A1BB7" w:rsidRPr="00720146">
        <w:rPr>
          <w:rFonts w:cs="Times New Roman"/>
          <w:bCs/>
          <w:lang w:val="es-CO"/>
        </w:rPr>
        <w:t xml:space="preserve"> la aplicación del Lineamiento </w:t>
      </w:r>
      <w:r w:rsidR="00773324" w:rsidRPr="00720146">
        <w:rPr>
          <w:rFonts w:cs="Times New Roman"/>
          <w:bCs/>
          <w:lang w:val="es-CO"/>
        </w:rPr>
        <w:t>en</w:t>
      </w:r>
      <w:r w:rsidRPr="00720146">
        <w:rPr>
          <w:rFonts w:cs="Times New Roman"/>
          <w:bCs/>
          <w:lang w:val="es-CO"/>
        </w:rPr>
        <w:t xml:space="preserve"> los años 2015 y 2016</w:t>
      </w:r>
      <w:r w:rsidRPr="0022109F">
        <w:rPr>
          <w:rFonts w:cs="Times New Roman"/>
          <w:bCs/>
          <w:lang w:val="es-CO"/>
        </w:rPr>
        <w:t xml:space="preserve">, mientras que la observación </w:t>
      </w:r>
      <w:r w:rsidR="005A1BB7" w:rsidRPr="00720146">
        <w:rPr>
          <w:rFonts w:cs="Times New Roman"/>
          <w:bCs/>
          <w:lang w:val="es-CO"/>
        </w:rPr>
        <w:t xml:space="preserve">en campo </w:t>
      </w:r>
      <w:r w:rsidRPr="00720146">
        <w:rPr>
          <w:rFonts w:cs="Times New Roman"/>
          <w:bCs/>
          <w:lang w:val="es-CO"/>
        </w:rPr>
        <w:t xml:space="preserve">y la recolección de información cualitativa </w:t>
      </w:r>
      <w:r w:rsidR="005A1BB7" w:rsidRPr="00720146">
        <w:rPr>
          <w:rFonts w:cs="Times New Roman"/>
          <w:bCs/>
          <w:lang w:val="es-CO"/>
        </w:rPr>
        <w:t xml:space="preserve">en </w:t>
      </w:r>
      <w:r w:rsidR="00773324" w:rsidRPr="00720146">
        <w:rPr>
          <w:rFonts w:cs="Times New Roman"/>
          <w:bCs/>
          <w:lang w:val="es-CO"/>
        </w:rPr>
        <w:t xml:space="preserve">los </w:t>
      </w:r>
      <w:r w:rsidR="005A1BB7" w:rsidRPr="00720146">
        <w:rPr>
          <w:rFonts w:cs="Times New Roman"/>
          <w:bCs/>
          <w:lang w:val="es-CO"/>
        </w:rPr>
        <w:t xml:space="preserve">municipios </w:t>
      </w:r>
      <w:r w:rsidR="00773324" w:rsidRPr="00720146">
        <w:rPr>
          <w:rFonts w:cs="Times New Roman"/>
          <w:bCs/>
          <w:lang w:val="es-CO"/>
        </w:rPr>
        <w:t xml:space="preserve">priorizados para la evaluación, </w:t>
      </w:r>
      <w:r w:rsidRPr="00720146">
        <w:rPr>
          <w:rFonts w:cs="Times New Roman"/>
          <w:bCs/>
          <w:lang w:val="es-CO"/>
        </w:rPr>
        <w:t>se realizaron en la primera semana de diciembre de 2016 y en la última semana marzo y la primera semana de abril de 2017</w:t>
      </w:r>
      <w:r w:rsidR="005A1BB7" w:rsidRPr="00720146">
        <w:rPr>
          <w:rFonts w:cs="Times New Roman"/>
          <w:bCs/>
          <w:lang w:val="es-CO"/>
        </w:rPr>
        <w:t>.</w:t>
      </w:r>
      <w:r w:rsidR="000C6AC7" w:rsidRPr="00720146">
        <w:rPr>
          <w:rFonts w:cs="Times New Roman"/>
          <w:bCs/>
          <w:lang w:val="es-CO"/>
        </w:rPr>
        <w:t xml:space="preserve"> </w:t>
      </w:r>
      <w:r w:rsidR="00236E41" w:rsidRPr="00720146">
        <w:rPr>
          <w:rFonts w:cs="Times New Roman"/>
          <w:bCs/>
          <w:lang w:val="es-CO"/>
        </w:rPr>
        <w:t xml:space="preserve">La información cualitativa </w:t>
      </w:r>
      <w:r w:rsidR="00773324" w:rsidRPr="00720146">
        <w:rPr>
          <w:rFonts w:cs="Times New Roman"/>
          <w:bCs/>
          <w:lang w:val="es-CO"/>
        </w:rPr>
        <w:t xml:space="preserve">en mención </w:t>
      </w:r>
      <w:r w:rsidR="00C57F3B" w:rsidRPr="00720146">
        <w:rPr>
          <w:rFonts w:cs="Times New Roman"/>
          <w:bCs/>
          <w:lang w:val="es-CO"/>
        </w:rPr>
        <w:t>corresponde a entrevistas semiestructuradas y</w:t>
      </w:r>
      <w:r w:rsidR="00CC7254" w:rsidRPr="00720146">
        <w:rPr>
          <w:rFonts w:cs="Times New Roman"/>
          <w:bCs/>
          <w:lang w:val="es-CO"/>
        </w:rPr>
        <w:t xml:space="preserve"> grupos de discusión d</w:t>
      </w:r>
      <w:r w:rsidR="00773324" w:rsidRPr="00720146">
        <w:rPr>
          <w:rFonts w:cs="Times New Roman"/>
          <w:bCs/>
          <w:lang w:val="es-CO"/>
        </w:rPr>
        <w:t xml:space="preserve">irigida, realizados </w:t>
      </w:r>
      <w:r w:rsidR="005A36B1" w:rsidRPr="00720146">
        <w:rPr>
          <w:rFonts w:cs="Times New Roman"/>
          <w:bCs/>
          <w:lang w:val="es-CO"/>
        </w:rPr>
        <w:t>en las oficinas de las secretarías de salud de cada municipio y en la secretaria de salud departamental</w:t>
      </w:r>
      <w:r w:rsidR="00773324" w:rsidRPr="00720146">
        <w:rPr>
          <w:rFonts w:cs="Times New Roman"/>
          <w:bCs/>
          <w:lang w:val="es-CO"/>
        </w:rPr>
        <w:t xml:space="preserve"> de La Guajira</w:t>
      </w:r>
      <w:r w:rsidR="005A36B1" w:rsidRPr="00720146">
        <w:rPr>
          <w:rFonts w:cs="Times New Roman"/>
          <w:bCs/>
          <w:lang w:val="es-CO"/>
        </w:rPr>
        <w:t>.</w:t>
      </w:r>
      <w:r w:rsidR="00A05857">
        <w:rPr>
          <w:rFonts w:cs="Times New Roman"/>
          <w:bCs/>
          <w:lang w:val="es-CO"/>
        </w:rPr>
        <w:t xml:space="preserve"> </w:t>
      </w:r>
    </w:p>
    <w:p w14:paraId="1AB5794D" w14:textId="0CBE6EBB" w:rsidR="00224194" w:rsidRDefault="00224194" w:rsidP="00E153B4">
      <w:pPr>
        <w:jc w:val="both"/>
        <w:rPr>
          <w:rFonts w:cs="Times New Roman"/>
          <w:bCs/>
          <w:lang w:val="es-CO"/>
        </w:rPr>
      </w:pPr>
    </w:p>
    <w:p w14:paraId="7BF130C8" w14:textId="724B584F" w:rsidR="00710630" w:rsidRDefault="00224194" w:rsidP="00E153B4">
      <w:pPr>
        <w:jc w:val="both"/>
        <w:rPr>
          <w:rFonts w:cs="Times New Roman"/>
          <w:bCs/>
          <w:lang w:val="es-CO"/>
        </w:rPr>
      </w:pPr>
      <w:r>
        <w:rPr>
          <w:rFonts w:cs="Times New Roman"/>
          <w:bCs/>
          <w:lang w:val="es-CO"/>
        </w:rPr>
        <w:t>Es conveniente aclarar que esta evaluación no se propuso hacer una indagación sobre cuál era la contribución exacta de la aplicación del Lineamiento en la reducción de casos de desnutrición aguda entre niños y niñas menores de cinco años</w:t>
      </w:r>
      <w:r w:rsidR="0093002A">
        <w:rPr>
          <w:rFonts w:cs="Times New Roman"/>
          <w:bCs/>
          <w:lang w:val="es-CO"/>
        </w:rPr>
        <w:t>, considerando las vastas limitaciones de información que había, sobre todo en el seguimiento que se hicieron de los casos de malnutrición.  Sin una serie de datos completa y confiable en torno a una muestra representativa de los casos de desnutrición aguda atendidos en los municipios priorizados,</w:t>
      </w:r>
      <w:r w:rsidR="00E30115">
        <w:rPr>
          <w:rFonts w:cs="Times New Roman"/>
          <w:bCs/>
          <w:lang w:val="es-CO"/>
        </w:rPr>
        <w:t xml:space="preserve"> así como de otras variables individuales y familiares</w:t>
      </w:r>
      <w:r w:rsidR="00BF1557">
        <w:rPr>
          <w:rFonts w:cs="Times New Roman"/>
          <w:bCs/>
          <w:lang w:val="es-CO"/>
        </w:rPr>
        <w:t xml:space="preserve">, y </w:t>
      </w:r>
      <w:r w:rsidR="00E30115">
        <w:rPr>
          <w:rFonts w:cs="Times New Roman"/>
          <w:bCs/>
          <w:lang w:val="es-CO"/>
        </w:rPr>
        <w:t xml:space="preserve">de </w:t>
      </w:r>
      <w:r w:rsidR="00BF1557">
        <w:rPr>
          <w:rFonts w:cs="Times New Roman"/>
          <w:bCs/>
          <w:lang w:val="es-CO"/>
        </w:rPr>
        <w:t xml:space="preserve">los demás </w:t>
      </w:r>
      <w:r w:rsidR="00E30115">
        <w:rPr>
          <w:rFonts w:cs="Times New Roman"/>
          <w:bCs/>
          <w:lang w:val="es-CO"/>
        </w:rPr>
        <w:t xml:space="preserve">factores asociados a esta enfermedad, </w:t>
      </w:r>
      <w:r w:rsidR="0093002A">
        <w:rPr>
          <w:rFonts w:cs="Times New Roman"/>
          <w:bCs/>
          <w:lang w:val="es-CO"/>
        </w:rPr>
        <w:t xml:space="preserve">era </w:t>
      </w:r>
      <w:r w:rsidR="00E30115">
        <w:rPr>
          <w:rFonts w:cs="Times New Roman"/>
          <w:bCs/>
          <w:lang w:val="es-CO"/>
        </w:rPr>
        <w:t xml:space="preserve">inviable </w:t>
      </w:r>
      <w:r w:rsidR="00A85CEB">
        <w:rPr>
          <w:rFonts w:cs="Times New Roman"/>
          <w:bCs/>
          <w:lang w:val="es-CO"/>
        </w:rPr>
        <w:t xml:space="preserve">un examen </w:t>
      </w:r>
      <w:r w:rsidR="00E30115">
        <w:rPr>
          <w:rFonts w:cs="Times New Roman"/>
          <w:bCs/>
          <w:lang w:val="es-CO"/>
        </w:rPr>
        <w:t>sobre el impacto del Lineamiento</w:t>
      </w:r>
      <w:r w:rsidR="0093002A">
        <w:rPr>
          <w:rFonts w:cs="Times New Roman"/>
          <w:bCs/>
          <w:lang w:val="es-CO"/>
        </w:rPr>
        <w:t>.</w:t>
      </w:r>
      <w:r w:rsidR="00E30115">
        <w:rPr>
          <w:rFonts w:cs="Times New Roman"/>
          <w:bCs/>
          <w:lang w:val="es-CO"/>
        </w:rPr>
        <w:t xml:space="preserve">  </w:t>
      </w:r>
      <w:r w:rsidR="0093002A">
        <w:rPr>
          <w:rFonts w:cs="Times New Roman"/>
          <w:bCs/>
          <w:lang w:val="es-CO"/>
        </w:rPr>
        <w:t>Además, una evaluación de ese tipo no estaba en las prioridades del MSPS, dado que su interés estaba en conocer los primeros resultados en torno a la apropiación y el costo real de implementar el Lineamiento, que</w:t>
      </w:r>
      <w:r w:rsidR="00625DD8">
        <w:rPr>
          <w:rFonts w:cs="Times New Roman"/>
          <w:bCs/>
          <w:lang w:val="es-CO"/>
        </w:rPr>
        <w:t xml:space="preserve"> ya era de obligatorio cumplimiento.</w:t>
      </w:r>
      <w:r w:rsidR="00625DD8">
        <w:rPr>
          <w:rStyle w:val="FootnoteReference"/>
          <w:rFonts w:cs="Times New Roman"/>
          <w:bCs/>
          <w:lang w:val="es-CO"/>
        </w:rPr>
        <w:footnoteReference w:id="24"/>
      </w:r>
      <w:r w:rsidR="00625DD8">
        <w:rPr>
          <w:rFonts w:cs="Times New Roman"/>
          <w:bCs/>
          <w:lang w:val="es-CO"/>
        </w:rPr>
        <w:t xml:space="preserve"> </w:t>
      </w:r>
      <w:r w:rsidR="00710630">
        <w:rPr>
          <w:rFonts w:cs="Times New Roman"/>
          <w:bCs/>
          <w:lang w:val="es-CO"/>
        </w:rPr>
        <w:t xml:space="preserve">Hay que señalar, también, </w:t>
      </w:r>
      <w:r w:rsidR="00710630" w:rsidRPr="00606E51">
        <w:rPr>
          <w:rFonts w:cs="Times New Roman"/>
          <w:bCs/>
          <w:lang w:val="es-CO"/>
        </w:rPr>
        <w:t xml:space="preserve">que la evaluación no </w:t>
      </w:r>
      <w:r w:rsidR="00710630">
        <w:rPr>
          <w:rFonts w:cs="Times New Roman"/>
          <w:bCs/>
          <w:lang w:val="es-CO"/>
        </w:rPr>
        <w:t xml:space="preserve">se propuso medir </w:t>
      </w:r>
      <w:r w:rsidR="00710630" w:rsidRPr="00606E51">
        <w:rPr>
          <w:rFonts w:cs="Times New Roman"/>
          <w:bCs/>
          <w:lang w:val="es-CO"/>
        </w:rPr>
        <w:t xml:space="preserve">el impacto sobre la unidad de pago por capitación (UPC) de </w:t>
      </w:r>
      <w:r w:rsidR="00710630" w:rsidRPr="00606E51">
        <w:rPr>
          <w:rFonts w:cs="Times New Roman"/>
          <w:bCs/>
          <w:lang w:val="es-CO"/>
        </w:rPr>
        <w:lastRenderedPageBreak/>
        <w:t xml:space="preserve">incluir el Lineamiento en el plan de beneficios del sistema de salud colombiano, toda vez que este cálculo no se hace por patologías ni se circuncribe a una zona geográfica particular </w:t>
      </w:r>
      <w:r w:rsidR="00710630" w:rsidRPr="00606E51">
        <w:rPr>
          <w:rStyle w:val="FootnoteReference"/>
          <w:rFonts w:cs="Times New Roman"/>
          <w:bCs/>
          <w:lang w:val="es-CO"/>
        </w:rPr>
        <w:footnoteReference w:id="25"/>
      </w:r>
      <w:r w:rsidR="00710630" w:rsidRPr="00606E51">
        <w:rPr>
          <w:rFonts w:cs="Times New Roman"/>
          <w:bCs/>
          <w:lang w:val="es-CO"/>
        </w:rPr>
        <w:t>.</w:t>
      </w:r>
    </w:p>
    <w:p w14:paraId="6BE1D272" w14:textId="77777777" w:rsidR="00710630" w:rsidRDefault="00710630" w:rsidP="00E153B4">
      <w:pPr>
        <w:jc w:val="both"/>
        <w:rPr>
          <w:rFonts w:cs="Times New Roman"/>
          <w:bCs/>
          <w:lang w:val="es-CO"/>
        </w:rPr>
      </w:pPr>
    </w:p>
    <w:p w14:paraId="0A22C6BC" w14:textId="6A574836" w:rsidR="003E37DE" w:rsidRDefault="00710630" w:rsidP="00710630">
      <w:pPr>
        <w:jc w:val="both"/>
        <w:rPr>
          <w:rFonts w:cs="Times New Roman"/>
          <w:bCs/>
          <w:lang w:val="es-CO"/>
        </w:rPr>
      </w:pPr>
      <w:r>
        <w:rPr>
          <w:rFonts w:cs="Times New Roman"/>
          <w:bCs/>
          <w:lang w:val="es-CO"/>
        </w:rPr>
        <w:t>D</w:t>
      </w:r>
      <w:r w:rsidRPr="00606E51">
        <w:rPr>
          <w:rFonts w:cs="Times New Roman"/>
          <w:bCs/>
          <w:lang w:val="es-CO"/>
        </w:rPr>
        <w:t xml:space="preserve">ebido a la no disponibilidad de información sobre la atención ambulatoria intra-mural de los casos de desnutrición aguda en las IPS de baja complejidad, este estudio solamente </w:t>
      </w:r>
      <w:r>
        <w:rPr>
          <w:rFonts w:cs="Times New Roman"/>
          <w:bCs/>
          <w:lang w:val="es-CO"/>
        </w:rPr>
        <w:t>consideró</w:t>
      </w:r>
      <w:r w:rsidRPr="00606E51">
        <w:rPr>
          <w:rFonts w:cs="Times New Roman"/>
          <w:bCs/>
          <w:lang w:val="es-CO"/>
        </w:rPr>
        <w:t xml:space="preserve"> los costos de manejo intrahospitalario de casos de desnutrición aguda complicada en IPS de mediana/alta complejidad y la atención ambulatoria en la modalidad extramural de los casos de desnutrición aguda sin complicaciones qu</w:t>
      </w:r>
      <w:r w:rsidR="003E37DE">
        <w:rPr>
          <w:rFonts w:cs="Times New Roman"/>
          <w:bCs/>
          <w:lang w:val="es-CO"/>
        </w:rPr>
        <w:t>e fueron manejados en el hogar.</w:t>
      </w:r>
    </w:p>
    <w:p w14:paraId="317A22F9" w14:textId="7A46065E" w:rsidR="003E37DE" w:rsidRDefault="003E37DE" w:rsidP="00710630">
      <w:pPr>
        <w:jc w:val="both"/>
        <w:rPr>
          <w:rFonts w:cs="Times New Roman"/>
          <w:bCs/>
          <w:lang w:val="es-CO"/>
        </w:rPr>
      </w:pPr>
    </w:p>
    <w:p w14:paraId="6B6F3956" w14:textId="76F8745F" w:rsidR="003E37DE" w:rsidRPr="00606E51" w:rsidRDefault="003E37DE" w:rsidP="00710630">
      <w:pPr>
        <w:jc w:val="both"/>
        <w:rPr>
          <w:rFonts w:cs="Times New Roman"/>
          <w:bCs/>
          <w:lang w:val="es-CO"/>
        </w:rPr>
      </w:pPr>
      <w:r>
        <w:rPr>
          <w:rFonts w:cs="Times New Roman"/>
          <w:bCs/>
          <w:lang w:val="es-CO"/>
        </w:rPr>
        <w:t xml:space="preserve">Por último, hay que anotar que la evaluación no examinó </w:t>
      </w:r>
      <w:r w:rsidR="00F16AAB">
        <w:rPr>
          <w:rFonts w:cs="Times New Roman"/>
          <w:bCs/>
          <w:lang w:val="es-CO"/>
        </w:rPr>
        <w:t xml:space="preserve">el grado en que el diseño o la implementación del Lineamiento </w:t>
      </w:r>
      <w:r w:rsidR="00600F7B">
        <w:rPr>
          <w:rFonts w:cs="Times New Roman"/>
          <w:bCs/>
          <w:lang w:val="es-CO"/>
        </w:rPr>
        <w:t xml:space="preserve">pudiera contemplar, o no, </w:t>
      </w:r>
      <w:r w:rsidR="00F16AAB">
        <w:rPr>
          <w:rFonts w:cs="Times New Roman"/>
          <w:bCs/>
          <w:lang w:val="es-CO"/>
        </w:rPr>
        <w:t xml:space="preserve">medidas especìficas para </w:t>
      </w:r>
      <w:r w:rsidR="00600F7B">
        <w:rPr>
          <w:rFonts w:cs="Times New Roman"/>
          <w:bCs/>
          <w:lang w:val="es-CO"/>
        </w:rPr>
        <w:t xml:space="preserve">la promoción de </w:t>
      </w:r>
      <w:r w:rsidR="00F16AAB">
        <w:rPr>
          <w:rFonts w:cs="Times New Roman"/>
          <w:bCs/>
          <w:lang w:val="es-CO"/>
        </w:rPr>
        <w:t xml:space="preserve">la </w:t>
      </w:r>
      <w:r>
        <w:rPr>
          <w:rFonts w:cs="Times New Roman"/>
          <w:bCs/>
          <w:lang w:val="es-CO"/>
        </w:rPr>
        <w:t xml:space="preserve">igualdad (o equidad) </w:t>
      </w:r>
      <w:r w:rsidRPr="003E37DE">
        <w:rPr>
          <w:rFonts w:cs="Times New Roman"/>
          <w:bCs/>
          <w:lang w:val="es-CO"/>
        </w:rPr>
        <w:t xml:space="preserve">de </w:t>
      </w:r>
      <w:r w:rsidR="00600F7B">
        <w:rPr>
          <w:rFonts w:cs="Times New Roman"/>
          <w:bCs/>
          <w:lang w:val="es-CO"/>
        </w:rPr>
        <w:t>género.  Esto, considerando que el contenido del Lineamiento se limita a instrucciones de carácter estrictamente médico, las cuales son de obligatorio cumplimiento, independiente del sexo o género de quienes deben aplicarlas o recibirlas.</w:t>
      </w:r>
    </w:p>
    <w:p w14:paraId="549C5CA8" w14:textId="77777777" w:rsidR="006C4154" w:rsidRPr="00606E51" w:rsidRDefault="006C4154" w:rsidP="00E153B4">
      <w:pPr>
        <w:jc w:val="both"/>
        <w:rPr>
          <w:lang w:val="es-CO"/>
        </w:rPr>
      </w:pPr>
    </w:p>
    <w:p w14:paraId="7C574981" w14:textId="6B0F5B00" w:rsidR="00A634DC" w:rsidRPr="00606E51" w:rsidRDefault="007F0235" w:rsidP="00E153B4">
      <w:pPr>
        <w:jc w:val="both"/>
        <w:rPr>
          <w:rFonts w:cs="Times New Roman"/>
          <w:bCs/>
          <w:lang w:val="es-CO"/>
        </w:rPr>
      </w:pPr>
      <w:r w:rsidRPr="00606E51">
        <w:rPr>
          <w:rFonts w:cs="Times New Roman"/>
          <w:bCs/>
          <w:lang w:val="es-CO"/>
        </w:rPr>
        <w:t>A continuación</w:t>
      </w:r>
      <w:r w:rsidR="00057DA1" w:rsidRPr="00606E51">
        <w:rPr>
          <w:rFonts w:cs="Times New Roman"/>
          <w:bCs/>
          <w:lang w:val="es-CO"/>
        </w:rPr>
        <w:t>,</w:t>
      </w:r>
      <w:r w:rsidR="00961AA8">
        <w:rPr>
          <w:rFonts w:cs="Times New Roman"/>
          <w:bCs/>
          <w:lang w:val="es-CO"/>
        </w:rPr>
        <w:t xml:space="preserve"> se describe, en detalle, </w:t>
      </w:r>
      <w:r w:rsidRPr="00606E51">
        <w:rPr>
          <w:rFonts w:cs="Times New Roman"/>
          <w:bCs/>
          <w:lang w:val="es-CO"/>
        </w:rPr>
        <w:t xml:space="preserve">el </w:t>
      </w:r>
      <w:r w:rsidR="00961AA8">
        <w:rPr>
          <w:rFonts w:cs="Times New Roman"/>
          <w:bCs/>
          <w:lang w:val="es-CO"/>
        </w:rPr>
        <w:t xml:space="preserve">contenido y </w:t>
      </w:r>
      <w:r w:rsidRPr="00606E51">
        <w:rPr>
          <w:rFonts w:cs="Times New Roman"/>
          <w:bCs/>
          <w:lang w:val="es-CO"/>
        </w:rPr>
        <w:t>alcance</w:t>
      </w:r>
      <w:r w:rsidR="00DC1695" w:rsidRPr="00606E51">
        <w:rPr>
          <w:rFonts w:cs="Times New Roman"/>
          <w:bCs/>
          <w:lang w:val="es-CO"/>
        </w:rPr>
        <w:t xml:space="preserve"> </w:t>
      </w:r>
      <w:r w:rsidR="0060158F" w:rsidRPr="00606E51">
        <w:rPr>
          <w:rFonts w:cs="Times New Roman"/>
          <w:bCs/>
          <w:lang w:val="es-CO"/>
        </w:rPr>
        <w:t xml:space="preserve">de </w:t>
      </w:r>
      <w:r w:rsidR="00DC1695" w:rsidRPr="00606E51">
        <w:rPr>
          <w:rFonts w:cs="Times New Roman"/>
          <w:bCs/>
          <w:lang w:val="es-CO"/>
        </w:rPr>
        <w:t xml:space="preserve">los criterios </w:t>
      </w:r>
      <w:r w:rsidR="00580842" w:rsidRPr="00606E51">
        <w:rPr>
          <w:rFonts w:cs="Times New Roman"/>
          <w:bCs/>
          <w:lang w:val="es-CO"/>
        </w:rPr>
        <w:t>de adherenc</w:t>
      </w:r>
      <w:r w:rsidR="00BB6A04" w:rsidRPr="00606E51">
        <w:rPr>
          <w:rFonts w:cs="Times New Roman"/>
          <w:bCs/>
          <w:lang w:val="es-CO"/>
        </w:rPr>
        <w:t xml:space="preserve">ia </w:t>
      </w:r>
      <w:r w:rsidR="00580842" w:rsidRPr="00606E51">
        <w:rPr>
          <w:rFonts w:cs="Times New Roman"/>
          <w:bCs/>
          <w:lang w:val="es-CO"/>
        </w:rPr>
        <w:t>y costo</w:t>
      </w:r>
      <w:r w:rsidR="007960E9" w:rsidRPr="00606E51">
        <w:rPr>
          <w:rFonts w:cs="Times New Roman"/>
          <w:bCs/>
          <w:lang w:val="es-CO"/>
        </w:rPr>
        <w:t>-efectividad</w:t>
      </w:r>
      <w:r w:rsidR="00AC3630" w:rsidRPr="00606E51">
        <w:rPr>
          <w:rFonts w:cs="Times New Roman"/>
          <w:bCs/>
          <w:lang w:val="es-CO"/>
        </w:rPr>
        <w:t xml:space="preserve"> </w:t>
      </w:r>
      <w:r w:rsidR="0079397F" w:rsidRPr="00606E51">
        <w:rPr>
          <w:rFonts w:cs="Times New Roman"/>
          <w:bCs/>
          <w:lang w:val="es-CO"/>
        </w:rPr>
        <w:t xml:space="preserve">para </w:t>
      </w:r>
      <w:r w:rsidR="00961AA8">
        <w:rPr>
          <w:rFonts w:cs="Times New Roman"/>
          <w:bCs/>
          <w:lang w:val="es-CO"/>
        </w:rPr>
        <w:t xml:space="preserve">evaluar </w:t>
      </w:r>
      <w:r w:rsidR="00262C8A" w:rsidRPr="00606E51">
        <w:rPr>
          <w:rFonts w:cs="Times New Roman"/>
          <w:bCs/>
          <w:lang w:val="es-CO"/>
        </w:rPr>
        <w:t xml:space="preserve">el Lineamiento contenido en la Resolución. </w:t>
      </w:r>
    </w:p>
    <w:p w14:paraId="4F9C04F6" w14:textId="74D31B67" w:rsidR="00961AA8" w:rsidRDefault="00961AA8" w:rsidP="00720146">
      <w:pPr>
        <w:jc w:val="both"/>
        <w:rPr>
          <w:rFonts w:cs="Times New Roman"/>
          <w:color w:val="234F77" w:themeColor="accent2" w:themeShade="80"/>
          <w:sz w:val="24"/>
          <w:szCs w:val="24"/>
          <w:lang w:val="es-CO"/>
        </w:rPr>
      </w:pPr>
      <w:bookmarkStart w:id="23" w:name="_Ref486283134"/>
    </w:p>
    <w:p w14:paraId="2F772104" w14:textId="77777777" w:rsidR="00D1224D" w:rsidRPr="00606E51" w:rsidRDefault="00BF74FA" w:rsidP="00997568">
      <w:pPr>
        <w:pStyle w:val="Heading3"/>
        <w:rPr>
          <w:lang w:val="es-CO"/>
        </w:rPr>
      </w:pPr>
      <w:bookmarkStart w:id="24" w:name="_Toc505090939"/>
      <w:r w:rsidRPr="00606E51">
        <w:rPr>
          <w:lang w:val="es-CO"/>
        </w:rPr>
        <w:t>Criterio de adherencia</w:t>
      </w:r>
      <w:bookmarkEnd w:id="23"/>
      <w:bookmarkEnd w:id="24"/>
    </w:p>
    <w:p w14:paraId="1648EFCE" w14:textId="77777777" w:rsidR="00A634DC" w:rsidRDefault="00A634DC" w:rsidP="00686430">
      <w:pPr>
        <w:jc w:val="both"/>
        <w:rPr>
          <w:rFonts w:cs="Times New Roman"/>
          <w:bCs/>
          <w:lang w:val="es-CO"/>
        </w:rPr>
      </w:pPr>
    </w:p>
    <w:tbl>
      <w:tblPr>
        <w:tblStyle w:val="TableGrid"/>
        <w:tblW w:w="10710" w:type="dxa"/>
        <w:tblInd w:w="-995" w:type="dxa"/>
        <w:tblLook w:val="04A0" w:firstRow="1" w:lastRow="0" w:firstColumn="1" w:lastColumn="0" w:noHBand="0" w:noVBand="1"/>
      </w:tblPr>
      <w:tblGrid>
        <w:gridCol w:w="2245"/>
        <w:gridCol w:w="4590"/>
        <w:gridCol w:w="3875"/>
      </w:tblGrid>
      <w:tr w:rsidR="00A634DC" w:rsidRPr="002E0382" w14:paraId="0F9DA541" w14:textId="77777777" w:rsidTr="00720146">
        <w:tc>
          <w:tcPr>
            <w:tcW w:w="2245" w:type="dxa"/>
            <w:vAlign w:val="center"/>
          </w:tcPr>
          <w:p w14:paraId="632BB87F" w14:textId="77777777" w:rsidR="00A634DC" w:rsidRPr="002E0382" w:rsidRDefault="00A634DC" w:rsidP="00F16AAB">
            <w:pPr>
              <w:jc w:val="center"/>
              <w:rPr>
                <w:bCs w:val="0"/>
                <w:sz w:val="20"/>
                <w:szCs w:val="20"/>
                <w:lang w:val="es-CO"/>
              </w:rPr>
            </w:pPr>
            <w:r>
              <w:rPr>
                <w:bCs w:val="0"/>
                <w:sz w:val="20"/>
                <w:szCs w:val="20"/>
                <w:lang w:val="es-CO"/>
              </w:rPr>
              <w:t>Criterio de evaluación</w:t>
            </w:r>
          </w:p>
        </w:tc>
        <w:tc>
          <w:tcPr>
            <w:tcW w:w="4590" w:type="dxa"/>
          </w:tcPr>
          <w:p w14:paraId="1F51D088" w14:textId="77777777" w:rsidR="00A634DC" w:rsidRPr="002E0382" w:rsidRDefault="00A634DC" w:rsidP="00F16AAB">
            <w:pPr>
              <w:jc w:val="center"/>
              <w:rPr>
                <w:bCs w:val="0"/>
                <w:sz w:val="20"/>
                <w:szCs w:val="20"/>
                <w:lang w:val="es-CO"/>
              </w:rPr>
            </w:pPr>
            <w:r w:rsidRPr="002E0382">
              <w:rPr>
                <w:bCs w:val="0"/>
                <w:sz w:val="20"/>
                <w:szCs w:val="20"/>
                <w:lang w:val="es-CO"/>
              </w:rPr>
              <w:t>Objetivo específico</w:t>
            </w:r>
          </w:p>
        </w:tc>
        <w:tc>
          <w:tcPr>
            <w:tcW w:w="3875" w:type="dxa"/>
          </w:tcPr>
          <w:p w14:paraId="20B9B691" w14:textId="77777777" w:rsidR="00A634DC" w:rsidRPr="002E0382" w:rsidRDefault="00A634DC" w:rsidP="00F16AAB">
            <w:pPr>
              <w:jc w:val="center"/>
              <w:rPr>
                <w:bCs w:val="0"/>
                <w:sz w:val="20"/>
                <w:szCs w:val="20"/>
                <w:lang w:val="es-CO"/>
              </w:rPr>
            </w:pPr>
            <w:r w:rsidRPr="002E0382">
              <w:rPr>
                <w:bCs w:val="0"/>
                <w:sz w:val="20"/>
                <w:szCs w:val="20"/>
                <w:lang w:val="es-CO"/>
              </w:rPr>
              <w:t>Preguntas de evaluación</w:t>
            </w:r>
          </w:p>
        </w:tc>
      </w:tr>
      <w:tr w:rsidR="00A634DC" w:rsidRPr="002E0382" w14:paraId="6C76E6C4" w14:textId="77777777" w:rsidTr="00720146">
        <w:tc>
          <w:tcPr>
            <w:tcW w:w="2245" w:type="dxa"/>
            <w:vMerge w:val="restart"/>
            <w:vAlign w:val="center"/>
          </w:tcPr>
          <w:p w14:paraId="2DD97A84" w14:textId="77777777" w:rsidR="00A634DC" w:rsidRPr="002E0382" w:rsidRDefault="00A634DC" w:rsidP="00F16AAB">
            <w:pPr>
              <w:jc w:val="center"/>
              <w:rPr>
                <w:b w:val="0"/>
                <w:bCs w:val="0"/>
                <w:sz w:val="20"/>
                <w:szCs w:val="20"/>
                <w:lang w:val="es-CO"/>
              </w:rPr>
            </w:pPr>
            <w:r w:rsidRPr="002E0382">
              <w:rPr>
                <w:sz w:val="20"/>
                <w:szCs w:val="20"/>
                <w:lang w:val="es-CO"/>
              </w:rPr>
              <w:t>Adherencia</w:t>
            </w:r>
          </w:p>
        </w:tc>
        <w:tc>
          <w:tcPr>
            <w:tcW w:w="4590" w:type="dxa"/>
          </w:tcPr>
          <w:p w14:paraId="0B3DF3DF" w14:textId="77777777" w:rsidR="00A634DC" w:rsidRPr="002E0382" w:rsidRDefault="00A634DC" w:rsidP="00F16AAB">
            <w:pPr>
              <w:jc w:val="both"/>
              <w:rPr>
                <w:bCs w:val="0"/>
                <w:sz w:val="20"/>
                <w:szCs w:val="20"/>
                <w:lang w:val="es-CO"/>
              </w:rPr>
            </w:pPr>
            <w:r w:rsidRPr="002E0382">
              <w:rPr>
                <w:bCs w:val="0"/>
                <w:sz w:val="20"/>
                <w:szCs w:val="20"/>
                <w:lang w:val="es-CO"/>
              </w:rPr>
              <w:t xml:space="preserve">i. </w:t>
            </w:r>
            <w:r w:rsidRPr="002E0382">
              <w:rPr>
                <w:b w:val="0"/>
                <w:bCs w:val="0"/>
                <w:sz w:val="20"/>
                <w:szCs w:val="20"/>
                <w:lang w:val="es-CO"/>
              </w:rPr>
              <w:t>Determinar si las órdenes impartidas por la Resolución están siendo implementadas apropiadamente por los diferentes actores del sistema general de seguridad social en salud (SGSSS) de los municipios de Maicao, Manaure, Riohacha y Uribia del departamento de La Guajira.</w:t>
            </w:r>
          </w:p>
        </w:tc>
        <w:tc>
          <w:tcPr>
            <w:tcW w:w="3875" w:type="dxa"/>
          </w:tcPr>
          <w:p w14:paraId="62C16449" w14:textId="77777777" w:rsidR="00A634DC" w:rsidRPr="002E0382" w:rsidRDefault="00A634DC" w:rsidP="00F16AAB">
            <w:pPr>
              <w:jc w:val="both"/>
              <w:rPr>
                <w:b w:val="0"/>
                <w:bCs w:val="0"/>
                <w:sz w:val="20"/>
                <w:szCs w:val="20"/>
                <w:lang w:val="es-CO"/>
              </w:rPr>
            </w:pPr>
            <w:r w:rsidRPr="002E0382">
              <w:rPr>
                <w:bCs w:val="0"/>
                <w:sz w:val="20"/>
                <w:szCs w:val="20"/>
                <w:lang w:val="es-CO"/>
              </w:rPr>
              <w:t>1.</w:t>
            </w:r>
            <w:r>
              <w:rPr>
                <w:bCs w:val="0"/>
                <w:sz w:val="20"/>
                <w:szCs w:val="20"/>
                <w:lang w:val="es-CO"/>
              </w:rPr>
              <w:t xml:space="preserve"> </w:t>
            </w:r>
            <w:r w:rsidRPr="002E0382">
              <w:rPr>
                <w:b w:val="0"/>
                <w:bCs w:val="0"/>
                <w:sz w:val="20"/>
                <w:szCs w:val="20"/>
                <w:lang w:val="es-CO"/>
              </w:rPr>
              <w:t>¿La atención a la desnutrición aguda por parte de las EAPB, las entidades territoriales y sus respectivas redes de prestadores se hace siguiendo la Resolución del MSPS?</w:t>
            </w:r>
          </w:p>
          <w:p w14:paraId="30314027" w14:textId="77777777" w:rsidR="00A634DC" w:rsidRPr="002E0382" w:rsidRDefault="00A634DC" w:rsidP="00F16AAB">
            <w:pPr>
              <w:jc w:val="both"/>
              <w:rPr>
                <w:bCs w:val="0"/>
                <w:sz w:val="20"/>
                <w:szCs w:val="20"/>
                <w:lang w:val="es-CO"/>
              </w:rPr>
            </w:pPr>
          </w:p>
        </w:tc>
      </w:tr>
      <w:tr w:rsidR="00A634DC" w:rsidRPr="002E0382" w14:paraId="1CF3CA47" w14:textId="77777777" w:rsidTr="00720146">
        <w:tc>
          <w:tcPr>
            <w:tcW w:w="2245" w:type="dxa"/>
            <w:vMerge/>
            <w:vAlign w:val="center"/>
          </w:tcPr>
          <w:p w14:paraId="287FDBCD" w14:textId="77777777" w:rsidR="00A634DC" w:rsidRPr="002E0382" w:rsidDel="009D2044" w:rsidRDefault="00A634DC" w:rsidP="00F16AAB">
            <w:pPr>
              <w:jc w:val="center"/>
              <w:rPr>
                <w:sz w:val="20"/>
                <w:szCs w:val="20"/>
                <w:lang w:val="es-CO"/>
              </w:rPr>
            </w:pPr>
          </w:p>
        </w:tc>
        <w:tc>
          <w:tcPr>
            <w:tcW w:w="4590" w:type="dxa"/>
          </w:tcPr>
          <w:p w14:paraId="4C1FFED8" w14:textId="2EE9D627" w:rsidR="00A634DC" w:rsidRPr="002E0382" w:rsidRDefault="00A634DC" w:rsidP="00F16AAB">
            <w:pPr>
              <w:jc w:val="both"/>
              <w:rPr>
                <w:bCs w:val="0"/>
                <w:sz w:val="20"/>
                <w:szCs w:val="20"/>
                <w:lang w:val="es-CO"/>
              </w:rPr>
            </w:pPr>
            <w:r w:rsidRPr="002E0382">
              <w:rPr>
                <w:bCs w:val="0"/>
                <w:sz w:val="20"/>
                <w:szCs w:val="20"/>
                <w:lang w:val="es-CO"/>
              </w:rPr>
              <w:t>ii.</w:t>
            </w:r>
            <w:r w:rsidRPr="002E0382">
              <w:rPr>
                <w:b w:val="0"/>
                <w:bCs w:val="0"/>
                <w:sz w:val="20"/>
                <w:szCs w:val="20"/>
                <w:lang w:val="es-CO"/>
              </w:rPr>
              <w:t xml:space="preserve"> Determinar el </w:t>
            </w:r>
            <w:r w:rsidRPr="002E0382">
              <w:rPr>
                <w:sz w:val="20"/>
                <w:szCs w:val="20"/>
                <w:lang w:val="es-CO"/>
              </w:rPr>
              <w:t>grado de adherencia</w:t>
            </w:r>
            <w:r w:rsidRPr="002E0382">
              <w:rPr>
                <w:b w:val="0"/>
                <w:bCs w:val="0"/>
                <w:sz w:val="20"/>
                <w:szCs w:val="20"/>
                <w:lang w:val="es-CO"/>
              </w:rPr>
              <w:t xml:space="preserve"> del Lineamiento, a partir de los resultados de </w:t>
            </w:r>
            <w:r w:rsidR="00710630" w:rsidRPr="002E0382">
              <w:rPr>
                <w:b w:val="0"/>
                <w:bCs w:val="0"/>
                <w:sz w:val="20"/>
                <w:szCs w:val="20"/>
                <w:lang w:val="es-CO"/>
              </w:rPr>
              <w:t>efectividad, tanto</w:t>
            </w:r>
            <w:r w:rsidRPr="002E0382">
              <w:rPr>
                <w:b w:val="0"/>
                <w:bCs w:val="0"/>
                <w:sz w:val="20"/>
                <w:szCs w:val="20"/>
                <w:lang w:val="es-CO"/>
              </w:rPr>
              <w:t xml:space="preserve"> en el personal médico, como entre los cuidadores de los niños y niñas menores de cinco años con desnutrición aguda en los municipios objeto de análisis en esta evaluación</w:t>
            </w:r>
            <w:r w:rsidRPr="002E0382">
              <w:rPr>
                <w:b w:val="0"/>
                <w:bCs w:val="0"/>
                <w:sz w:val="20"/>
                <w:szCs w:val="20"/>
                <w:vertAlign w:val="superscript"/>
                <w:lang w:val="es-CO"/>
              </w:rPr>
              <w:footnoteReference w:id="26"/>
            </w:r>
            <w:r w:rsidRPr="002E0382">
              <w:rPr>
                <w:b w:val="0"/>
                <w:bCs w:val="0"/>
                <w:sz w:val="20"/>
                <w:szCs w:val="20"/>
                <w:lang w:val="es-CO"/>
              </w:rPr>
              <w:t>.</w:t>
            </w:r>
          </w:p>
        </w:tc>
        <w:tc>
          <w:tcPr>
            <w:tcW w:w="3875" w:type="dxa"/>
          </w:tcPr>
          <w:p w14:paraId="0280873A" w14:textId="77777777" w:rsidR="00A634DC" w:rsidRPr="002E0382" w:rsidRDefault="00A634DC" w:rsidP="00F16AAB">
            <w:pPr>
              <w:jc w:val="both"/>
              <w:rPr>
                <w:b w:val="0"/>
                <w:bCs w:val="0"/>
                <w:sz w:val="20"/>
                <w:szCs w:val="20"/>
                <w:lang w:val="es-CO"/>
              </w:rPr>
            </w:pPr>
            <w:r w:rsidRPr="002E0382">
              <w:rPr>
                <w:bCs w:val="0"/>
                <w:sz w:val="20"/>
                <w:szCs w:val="20"/>
                <w:lang w:val="es-CO"/>
              </w:rPr>
              <w:t>2.</w:t>
            </w:r>
            <w:r>
              <w:rPr>
                <w:b w:val="0"/>
                <w:bCs w:val="0"/>
                <w:sz w:val="20"/>
                <w:szCs w:val="20"/>
                <w:lang w:val="es-CO"/>
              </w:rPr>
              <w:t xml:space="preserve"> </w:t>
            </w:r>
            <w:r w:rsidRPr="002E0382">
              <w:rPr>
                <w:b w:val="0"/>
                <w:bCs w:val="0"/>
                <w:sz w:val="20"/>
                <w:szCs w:val="20"/>
                <w:lang w:val="es-CO"/>
              </w:rPr>
              <w:t>¿Cuál es el grado de adherencia del Lineamiento por parte de los profesionales de la salud pertenecientes a la red prestadora de los municipios objeto de esta evaluación?</w:t>
            </w:r>
          </w:p>
          <w:p w14:paraId="17D07EFC" w14:textId="77777777" w:rsidR="00A634DC" w:rsidRPr="002E0382" w:rsidRDefault="00A634DC" w:rsidP="00F16AAB">
            <w:pPr>
              <w:jc w:val="both"/>
              <w:rPr>
                <w:b w:val="0"/>
                <w:bCs w:val="0"/>
                <w:sz w:val="20"/>
                <w:szCs w:val="20"/>
                <w:lang w:val="es-CO"/>
              </w:rPr>
            </w:pPr>
          </w:p>
          <w:p w14:paraId="34A444E5" w14:textId="77777777" w:rsidR="00A634DC" w:rsidRPr="002E0382" w:rsidRDefault="00A634DC" w:rsidP="00F16AAB">
            <w:pPr>
              <w:jc w:val="both"/>
              <w:rPr>
                <w:bCs w:val="0"/>
                <w:sz w:val="20"/>
                <w:szCs w:val="20"/>
                <w:lang w:val="es-CO"/>
              </w:rPr>
            </w:pPr>
            <w:r w:rsidRPr="002E0382">
              <w:rPr>
                <w:bCs w:val="0"/>
                <w:sz w:val="20"/>
                <w:szCs w:val="20"/>
                <w:lang w:val="es-CO"/>
              </w:rPr>
              <w:t xml:space="preserve">3. </w:t>
            </w:r>
            <w:r w:rsidRPr="002E0382">
              <w:rPr>
                <w:b w:val="0"/>
                <w:bCs w:val="0"/>
                <w:sz w:val="20"/>
                <w:szCs w:val="20"/>
                <w:lang w:val="es-CO"/>
              </w:rPr>
              <w:t>¿Cuál es el nivel de adherencia terapéutica para los cuidadores de la población sujeto de este Lineamiento?</w:t>
            </w:r>
          </w:p>
        </w:tc>
      </w:tr>
    </w:tbl>
    <w:p w14:paraId="25BA7C22" w14:textId="77777777" w:rsidR="00A634DC" w:rsidRDefault="00A634DC" w:rsidP="00686430">
      <w:pPr>
        <w:jc w:val="both"/>
        <w:rPr>
          <w:rFonts w:cs="Times New Roman"/>
          <w:bCs/>
          <w:lang w:val="es-CO"/>
        </w:rPr>
      </w:pPr>
    </w:p>
    <w:p w14:paraId="03C90170" w14:textId="77777777" w:rsidR="00A634DC" w:rsidRDefault="00A634DC" w:rsidP="00686430">
      <w:pPr>
        <w:jc w:val="both"/>
        <w:rPr>
          <w:rFonts w:cs="Times New Roman"/>
          <w:bCs/>
          <w:lang w:val="es-CO"/>
        </w:rPr>
      </w:pPr>
    </w:p>
    <w:p w14:paraId="456E595B" w14:textId="37CB0D46" w:rsidR="00A50A1B" w:rsidRDefault="00F31BB9" w:rsidP="00686430">
      <w:pPr>
        <w:jc w:val="both"/>
        <w:rPr>
          <w:rFonts w:cs="Times New Roman"/>
          <w:bCs/>
          <w:lang w:val="es-CO"/>
        </w:rPr>
      </w:pPr>
      <w:r w:rsidRPr="00606E51">
        <w:rPr>
          <w:rFonts w:cs="Times New Roman"/>
          <w:bCs/>
          <w:lang w:val="es-CO"/>
        </w:rPr>
        <w:t>Lopez Romero L.A. et al (2016)</w:t>
      </w:r>
      <w:r w:rsidR="00686430" w:rsidRPr="00606E51">
        <w:rPr>
          <w:rFonts w:cs="Times New Roman"/>
          <w:bCs/>
          <w:lang w:val="es-CO"/>
        </w:rPr>
        <w:t>,</w:t>
      </w:r>
      <w:r w:rsidRPr="00606E51">
        <w:rPr>
          <w:rFonts w:cs="Times New Roman"/>
          <w:bCs/>
          <w:lang w:val="es-CO"/>
        </w:rPr>
        <w:t xml:space="preserve"> después de estudiar </w:t>
      </w:r>
      <w:r w:rsidR="00686430" w:rsidRPr="00606E51">
        <w:rPr>
          <w:rFonts w:cs="Times New Roman"/>
          <w:bCs/>
          <w:lang w:val="es-CO"/>
        </w:rPr>
        <w:t xml:space="preserve">más de 200 publicaciones sobre el concepto de adherencia y sus métodos de medición, </w:t>
      </w:r>
      <w:r w:rsidRPr="00606E51">
        <w:rPr>
          <w:rFonts w:cs="Times New Roman"/>
          <w:bCs/>
          <w:lang w:val="es-CO"/>
        </w:rPr>
        <w:t>informan en las conclusiones de su trabajo que “…se evidenció el uso de diferentes conceptos a la hora de definir la adherenc</w:t>
      </w:r>
      <w:r w:rsidR="00686430" w:rsidRPr="00606E51">
        <w:rPr>
          <w:rFonts w:cs="Times New Roman"/>
          <w:bCs/>
          <w:lang w:val="es-CO"/>
        </w:rPr>
        <w:t xml:space="preserve">ia, sin que exista un consenso. </w:t>
      </w:r>
      <w:r w:rsidRPr="00606E51">
        <w:rPr>
          <w:rFonts w:cs="Times New Roman"/>
          <w:bCs/>
          <w:lang w:val="es-CO"/>
        </w:rPr>
        <w:t>Asimismo, para la medición se utilizaron diferentes técnicas, la más común fue el uso de métodos indirectos, seguidos de la combinación de directos e indirecto</w:t>
      </w:r>
      <w:r w:rsidR="00686430" w:rsidRPr="00606E51">
        <w:rPr>
          <w:rFonts w:cs="Times New Roman"/>
          <w:bCs/>
          <w:lang w:val="es-CO"/>
        </w:rPr>
        <w:t xml:space="preserve">.” </w:t>
      </w:r>
    </w:p>
    <w:p w14:paraId="3566E00F" w14:textId="77777777" w:rsidR="00A50A1B" w:rsidRDefault="00A50A1B" w:rsidP="00686430">
      <w:pPr>
        <w:jc w:val="both"/>
        <w:rPr>
          <w:rFonts w:cs="Times New Roman"/>
          <w:bCs/>
          <w:lang w:val="es-CO"/>
        </w:rPr>
      </w:pPr>
    </w:p>
    <w:p w14:paraId="46AE7DC9" w14:textId="77777777" w:rsidR="00686430" w:rsidRPr="00606E51" w:rsidRDefault="00686430" w:rsidP="00686430">
      <w:pPr>
        <w:jc w:val="both"/>
        <w:rPr>
          <w:rFonts w:cs="Times New Roman"/>
          <w:bCs/>
          <w:lang w:val="es-CO"/>
        </w:rPr>
      </w:pPr>
      <w:r w:rsidRPr="00606E51">
        <w:rPr>
          <w:rFonts w:cs="Times New Roman"/>
          <w:bCs/>
          <w:lang w:val="es-CO"/>
        </w:rPr>
        <w:lastRenderedPageBreak/>
        <w:t xml:space="preserve">Entre las definiciones de adherencia descritas en </w:t>
      </w:r>
      <w:r w:rsidR="00A50A1B">
        <w:rPr>
          <w:rFonts w:cs="Times New Roman"/>
          <w:bCs/>
          <w:lang w:val="es-CO"/>
        </w:rPr>
        <w:t>ese estudio se encuentra</w:t>
      </w:r>
      <w:r w:rsidRPr="00606E51">
        <w:rPr>
          <w:rFonts w:cs="Times New Roman"/>
          <w:bCs/>
          <w:lang w:val="es-CO"/>
        </w:rPr>
        <w:t xml:space="preserve"> que la más usada en la literatura es: “el grado en que la conducta de un paciente en relación con la toma de medicamentos, el seguimiento de una dieta o la modifcación de hábitos de vida, coincide con las instrucciones proporcionadas por el médico o personal sanitario”</w:t>
      </w:r>
      <w:r w:rsidR="00A276A7" w:rsidRPr="00606E51">
        <w:rPr>
          <w:rStyle w:val="FootnoteReference"/>
          <w:rFonts w:cs="Times New Roman"/>
          <w:bCs/>
          <w:lang w:val="es-CO"/>
        </w:rPr>
        <w:footnoteReference w:id="27"/>
      </w:r>
      <w:r w:rsidRPr="00606E51">
        <w:rPr>
          <w:rFonts w:cs="Times New Roman"/>
          <w:bCs/>
          <w:lang w:val="es-CO"/>
        </w:rPr>
        <w:t xml:space="preserve">. </w:t>
      </w:r>
    </w:p>
    <w:p w14:paraId="2F1C55CC" w14:textId="77777777" w:rsidR="00F31BB9" w:rsidRPr="00606E51" w:rsidRDefault="00F31BB9" w:rsidP="00F31BB9">
      <w:pPr>
        <w:jc w:val="both"/>
        <w:rPr>
          <w:rFonts w:cs="Times New Roman"/>
          <w:bCs/>
          <w:lang w:val="es-CO"/>
        </w:rPr>
      </w:pPr>
    </w:p>
    <w:p w14:paraId="6D143B6A" w14:textId="77777777" w:rsidR="00A50A1B" w:rsidRDefault="00A50A1B" w:rsidP="00F31BB9">
      <w:pPr>
        <w:jc w:val="both"/>
        <w:rPr>
          <w:rFonts w:cs="Times New Roman"/>
          <w:bCs/>
          <w:lang w:val="es-CO"/>
        </w:rPr>
      </w:pPr>
      <w:r>
        <w:rPr>
          <w:rFonts w:cs="Times New Roman"/>
          <w:bCs/>
          <w:lang w:val="es-CO"/>
        </w:rPr>
        <w:t>Por otro lado, l</w:t>
      </w:r>
      <w:r w:rsidR="00686430" w:rsidRPr="00606E51">
        <w:rPr>
          <w:rFonts w:cs="Times New Roman"/>
          <w:bCs/>
          <w:lang w:val="es-CO"/>
        </w:rPr>
        <w:t>a Organización Mundial de la Salud (OMS)</w:t>
      </w:r>
      <w:r w:rsidR="009573B6" w:rsidRPr="00606E51">
        <w:rPr>
          <w:rFonts w:cs="Times New Roman"/>
          <w:bCs/>
          <w:lang w:val="es-CO"/>
        </w:rPr>
        <w:t xml:space="preserve"> i</w:t>
      </w:r>
      <w:r w:rsidR="00A276A7" w:rsidRPr="00606E51">
        <w:rPr>
          <w:rFonts w:cs="Times New Roman"/>
          <w:bCs/>
          <w:lang w:val="es-CO"/>
        </w:rPr>
        <w:t>nforma que se entiende por</w:t>
      </w:r>
      <w:r w:rsidR="00686430" w:rsidRPr="00606E51">
        <w:rPr>
          <w:rFonts w:cs="Times New Roman"/>
          <w:bCs/>
          <w:lang w:val="es-CO"/>
        </w:rPr>
        <w:t xml:space="preserve"> </w:t>
      </w:r>
      <w:r w:rsidR="00686430" w:rsidRPr="00606E51">
        <w:rPr>
          <w:rFonts w:cs="Times New Roman"/>
          <w:bCs/>
          <w:i/>
          <w:lang w:val="es-CO"/>
        </w:rPr>
        <w:t>adherencia terapéutica</w:t>
      </w:r>
      <w:r w:rsidR="00686430" w:rsidRPr="00606E51">
        <w:rPr>
          <w:rFonts w:cs="Times New Roman"/>
          <w:bCs/>
          <w:lang w:val="es-CO"/>
        </w:rPr>
        <w:t xml:space="preserve"> como “el grado en que el comportamiento de una persona: tomar los medicamentos, seguir un régimen alimentario y ejecutar cambios del modo de vida, se corresponden con las recomendaciones acordadas de un prestador de asistencia sanitaria”</w:t>
      </w:r>
      <w:r w:rsidR="00DE4A9A" w:rsidRPr="00606E51">
        <w:rPr>
          <w:rStyle w:val="FootnoteReference"/>
          <w:rFonts w:cs="Times New Roman"/>
          <w:bCs/>
          <w:lang w:val="es-CO"/>
        </w:rPr>
        <w:footnoteReference w:id="28"/>
      </w:r>
      <w:r w:rsidR="00686430" w:rsidRPr="00606E51">
        <w:rPr>
          <w:rFonts w:cs="Times New Roman"/>
          <w:bCs/>
          <w:lang w:val="es-CO"/>
        </w:rPr>
        <w:t>.</w:t>
      </w:r>
      <w:r w:rsidR="00A276A7" w:rsidRPr="00606E51">
        <w:rPr>
          <w:rFonts w:cs="Times New Roman"/>
          <w:bCs/>
          <w:lang w:val="es-CO"/>
        </w:rPr>
        <w:t xml:space="preserve"> </w:t>
      </w:r>
      <w:r w:rsidR="00783AA4" w:rsidRPr="00606E51">
        <w:rPr>
          <w:rFonts w:cs="Times New Roman"/>
          <w:bCs/>
          <w:lang w:val="es-CO"/>
        </w:rPr>
        <w:t>Es decir, que se habla de a</w:t>
      </w:r>
      <w:r w:rsidR="00A276A7" w:rsidRPr="00606E51">
        <w:rPr>
          <w:rFonts w:cs="Times New Roman"/>
          <w:bCs/>
          <w:lang w:val="es-CO"/>
        </w:rPr>
        <w:t>dherencia</w:t>
      </w:r>
      <w:r w:rsidR="00783AA4" w:rsidRPr="00606E51">
        <w:rPr>
          <w:rFonts w:cs="Times New Roman"/>
          <w:bCs/>
          <w:lang w:val="es-CO"/>
        </w:rPr>
        <w:t xml:space="preserve"> cuando el paciente cumple de forma adecuada con las instrucciones que el médico le ha dado (</w:t>
      </w:r>
      <w:r w:rsidR="00EC17C4" w:rsidRPr="00606E51">
        <w:rPr>
          <w:rFonts w:cs="Times New Roman"/>
          <w:bCs/>
          <w:lang w:val="es-CO"/>
        </w:rPr>
        <w:t>Ferro</w:t>
      </w:r>
      <w:r w:rsidR="00783AA4" w:rsidRPr="00606E51">
        <w:rPr>
          <w:rFonts w:cs="Times New Roman"/>
          <w:bCs/>
          <w:lang w:val="es-CO"/>
        </w:rPr>
        <w:t xml:space="preserve"> et al, 2004). </w:t>
      </w:r>
      <w:r>
        <w:rPr>
          <w:rFonts w:cs="Times New Roman"/>
          <w:bCs/>
          <w:lang w:val="es-CO"/>
        </w:rPr>
        <w:t xml:space="preserve"> </w:t>
      </w:r>
    </w:p>
    <w:p w14:paraId="3C383636" w14:textId="77777777" w:rsidR="00A50A1B" w:rsidRDefault="00A50A1B" w:rsidP="00F31BB9">
      <w:pPr>
        <w:jc w:val="both"/>
        <w:rPr>
          <w:rFonts w:cs="Times New Roman"/>
          <w:bCs/>
          <w:lang w:val="es-CO"/>
        </w:rPr>
      </w:pPr>
    </w:p>
    <w:p w14:paraId="53849440" w14:textId="77777777" w:rsidR="00D16BAA" w:rsidRPr="00606E51" w:rsidRDefault="00A50A1B" w:rsidP="00F31BB9">
      <w:pPr>
        <w:jc w:val="both"/>
        <w:rPr>
          <w:rFonts w:cs="Times New Roman"/>
          <w:bCs/>
          <w:lang w:val="es-CO"/>
        </w:rPr>
      </w:pPr>
      <w:r>
        <w:rPr>
          <w:rFonts w:cs="Times New Roman"/>
          <w:bCs/>
          <w:lang w:val="es-CO"/>
        </w:rPr>
        <w:t>L</w:t>
      </w:r>
      <w:r w:rsidR="007720F3" w:rsidRPr="00606E51">
        <w:rPr>
          <w:rFonts w:cs="Times New Roman"/>
          <w:bCs/>
          <w:lang w:val="es-CO"/>
        </w:rPr>
        <w:t xml:space="preserve">a adherencia </w:t>
      </w:r>
      <w:r w:rsidR="008D36DA" w:rsidRPr="00606E51">
        <w:rPr>
          <w:rFonts w:cs="Times New Roman"/>
          <w:bCs/>
          <w:lang w:val="es-CO"/>
        </w:rPr>
        <w:t xml:space="preserve">también </w:t>
      </w:r>
      <w:r w:rsidR="007720F3" w:rsidRPr="00606E51">
        <w:rPr>
          <w:rFonts w:cs="Times New Roman"/>
          <w:bCs/>
          <w:lang w:val="es-CO"/>
        </w:rPr>
        <w:t xml:space="preserve">se </w:t>
      </w:r>
      <w:r>
        <w:rPr>
          <w:rFonts w:cs="Times New Roman"/>
          <w:bCs/>
          <w:lang w:val="es-CO"/>
        </w:rPr>
        <w:t xml:space="preserve">define por </w:t>
      </w:r>
      <w:r w:rsidRPr="00606E51">
        <w:rPr>
          <w:rFonts w:cs="Times New Roman"/>
          <w:bCs/>
          <w:lang w:val="es-CO"/>
        </w:rPr>
        <w:t>(Múnera y Piedrahita, 2008)</w:t>
      </w:r>
      <w:r w:rsidRPr="00606E51">
        <w:rPr>
          <w:rStyle w:val="FootnoteReference"/>
          <w:rFonts w:cs="Times New Roman"/>
          <w:bCs/>
          <w:lang w:val="es-CO"/>
        </w:rPr>
        <w:footnoteReference w:id="29"/>
      </w:r>
      <w:r>
        <w:rPr>
          <w:rFonts w:cs="Times New Roman"/>
          <w:bCs/>
          <w:lang w:val="es-CO"/>
        </w:rPr>
        <w:t xml:space="preserve"> como </w:t>
      </w:r>
      <w:r w:rsidR="00783AA4" w:rsidRPr="00606E51">
        <w:rPr>
          <w:rFonts w:cs="Times New Roman"/>
          <w:bCs/>
          <w:lang w:val="es-CO"/>
        </w:rPr>
        <w:t>la correcta implementación de las guías</w:t>
      </w:r>
      <w:r w:rsidR="007720F3" w:rsidRPr="00606E51">
        <w:rPr>
          <w:rFonts w:cs="Times New Roman"/>
          <w:bCs/>
          <w:lang w:val="es-CO"/>
        </w:rPr>
        <w:t xml:space="preserve"> y lineamientos</w:t>
      </w:r>
      <w:r w:rsidR="00783AA4" w:rsidRPr="00606E51">
        <w:rPr>
          <w:rFonts w:cs="Times New Roman"/>
          <w:bCs/>
          <w:lang w:val="es-CO"/>
        </w:rPr>
        <w:t xml:space="preserve"> por parte de los profesionales médicos frente al manejo estandarizado de una patología, rompiendo los paradigmas concebidos durante su periodo de formación</w:t>
      </w:r>
      <w:r w:rsidR="00FB5AA2" w:rsidRPr="00606E51">
        <w:rPr>
          <w:rFonts w:cs="Times New Roman"/>
          <w:bCs/>
          <w:lang w:val="es-CO"/>
        </w:rPr>
        <w:t xml:space="preserve">. </w:t>
      </w:r>
    </w:p>
    <w:p w14:paraId="203844E7" w14:textId="77777777" w:rsidR="00D16BAA" w:rsidRPr="00606E51" w:rsidRDefault="00D16BAA" w:rsidP="00F31BB9">
      <w:pPr>
        <w:jc w:val="both"/>
        <w:rPr>
          <w:rFonts w:cs="Times New Roman"/>
          <w:bCs/>
          <w:lang w:val="es-CO"/>
        </w:rPr>
      </w:pPr>
    </w:p>
    <w:p w14:paraId="29B809BE" w14:textId="77777777" w:rsidR="004870D5" w:rsidRDefault="00E153B4" w:rsidP="00F31BB9">
      <w:pPr>
        <w:jc w:val="both"/>
        <w:rPr>
          <w:rFonts w:cs="Times New Roman"/>
          <w:bCs/>
          <w:lang w:val="es-CO"/>
        </w:rPr>
      </w:pPr>
      <w:r w:rsidRPr="00606E51">
        <w:rPr>
          <w:rFonts w:cs="Times New Roman"/>
          <w:bCs/>
          <w:lang w:val="es-CO"/>
        </w:rPr>
        <w:t xml:space="preserve">Teniendo en cuenta lo anterior, </w:t>
      </w:r>
      <w:r w:rsidR="00634C30" w:rsidRPr="00606E51">
        <w:rPr>
          <w:rFonts w:cs="Times New Roman"/>
          <w:bCs/>
          <w:lang w:val="es-CO"/>
        </w:rPr>
        <w:t xml:space="preserve">esta evaluación </w:t>
      </w:r>
      <w:r w:rsidR="00A50A1B">
        <w:rPr>
          <w:rFonts w:cs="Times New Roman"/>
          <w:bCs/>
          <w:lang w:val="es-CO"/>
        </w:rPr>
        <w:t xml:space="preserve">asume la adherencia </w:t>
      </w:r>
      <w:r w:rsidR="004870D5">
        <w:rPr>
          <w:rFonts w:cs="Times New Roman"/>
          <w:bCs/>
          <w:lang w:val="es-CO"/>
        </w:rPr>
        <w:t>en dos sentidos complementarios:</w:t>
      </w:r>
    </w:p>
    <w:p w14:paraId="145A7DDE" w14:textId="77777777" w:rsidR="004870D5" w:rsidRDefault="004870D5" w:rsidP="00F31BB9">
      <w:pPr>
        <w:jc w:val="both"/>
        <w:rPr>
          <w:rFonts w:cs="Times New Roman"/>
          <w:bCs/>
          <w:lang w:val="es-CO"/>
        </w:rPr>
      </w:pPr>
    </w:p>
    <w:p w14:paraId="6E9B57D5" w14:textId="77777777" w:rsidR="008D36DA" w:rsidRPr="00606E51" w:rsidRDefault="004870D5" w:rsidP="00F31BB9">
      <w:pPr>
        <w:jc w:val="both"/>
        <w:rPr>
          <w:rFonts w:cs="Times New Roman"/>
          <w:bCs/>
          <w:lang w:val="es-CO"/>
        </w:rPr>
      </w:pPr>
      <w:r>
        <w:rPr>
          <w:rFonts w:cs="Times New Roman"/>
          <w:bCs/>
          <w:lang w:val="es-CO"/>
        </w:rPr>
        <w:t>A) C</w:t>
      </w:r>
      <w:r w:rsidR="00A50A1B">
        <w:rPr>
          <w:rFonts w:cs="Times New Roman"/>
          <w:bCs/>
          <w:lang w:val="es-CO"/>
        </w:rPr>
        <w:t xml:space="preserve">omo </w:t>
      </w:r>
      <w:r w:rsidR="00E153B4" w:rsidRPr="00606E51">
        <w:rPr>
          <w:rFonts w:cs="Times New Roman"/>
          <w:bCs/>
          <w:lang w:val="es-CO"/>
        </w:rPr>
        <w:t xml:space="preserve">la </w:t>
      </w:r>
      <w:r w:rsidR="008D36DA" w:rsidRPr="00606E51">
        <w:rPr>
          <w:rFonts w:cs="Times New Roman"/>
          <w:bCs/>
          <w:lang w:val="es-CO"/>
        </w:rPr>
        <w:t xml:space="preserve">correcta </w:t>
      </w:r>
      <w:r w:rsidR="00D65514" w:rsidRPr="00606E51">
        <w:rPr>
          <w:rFonts w:cs="Times New Roman"/>
          <w:bCs/>
          <w:lang w:val="es-CO"/>
        </w:rPr>
        <w:t xml:space="preserve">aplicación de las instrucciones y protocolos sugeridos por el </w:t>
      </w:r>
      <w:r w:rsidR="0048098C" w:rsidRPr="00606E51">
        <w:rPr>
          <w:rFonts w:cs="Times New Roman"/>
          <w:bCs/>
          <w:lang w:val="es-CO"/>
        </w:rPr>
        <w:t>L</w:t>
      </w:r>
      <w:r>
        <w:rPr>
          <w:rFonts w:cs="Times New Roman"/>
          <w:bCs/>
          <w:lang w:val="es-CO"/>
        </w:rPr>
        <w:t xml:space="preserve">ineamiento, </w:t>
      </w:r>
      <w:r w:rsidR="00E153B4" w:rsidRPr="00606E51">
        <w:rPr>
          <w:rFonts w:cs="Times New Roman"/>
          <w:bCs/>
          <w:lang w:val="es-CO"/>
        </w:rPr>
        <w:t>por parte de los profesionales de sal</w:t>
      </w:r>
      <w:r w:rsidR="00235469" w:rsidRPr="00606E51">
        <w:rPr>
          <w:rFonts w:cs="Times New Roman"/>
          <w:bCs/>
          <w:lang w:val="es-CO"/>
        </w:rPr>
        <w:t xml:space="preserve">ud </w:t>
      </w:r>
      <w:r w:rsidR="00D65514" w:rsidRPr="00606E51">
        <w:rPr>
          <w:rFonts w:cs="Times New Roman"/>
          <w:bCs/>
          <w:lang w:val="es-CO"/>
        </w:rPr>
        <w:t xml:space="preserve">pertenencientes a la red de prestadores de los municipios de Maicao, Manaure, Riohacha y Uribia del departamento de La Guajira. </w:t>
      </w:r>
    </w:p>
    <w:p w14:paraId="58856A55" w14:textId="77777777" w:rsidR="00D65514" w:rsidRPr="00606E51" w:rsidRDefault="00D65514" w:rsidP="00F31BB9">
      <w:pPr>
        <w:jc w:val="both"/>
        <w:rPr>
          <w:rFonts w:cs="Times New Roman"/>
          <w:bCs/>
          <w:lang w:val="es-CO"/>
        </w:rPr>
      </w:pPr>
    </w:p>
    <w:p w14:paraId="114D24B6" w14:textId="126EC591" w:rsidR="00D65514" w:rsidRPr="00606E51" w:rsidRDefault="004870D5" w:rsidP="00F31BB9">
      <w:pPr>
        <w:jc w:val="both"/>
        <w:rPr>
          <w:rFonts w:cs="Times New Roman"/>
          <w:bCs/>
          <w:lang w:val="es-CO"/>
        </w:rPr>
      </w:pPr>
      <w:r>
        <w:rPr>
          <w:rFonts w:cs="Times New Roman"/>
          <w:bCs/>
          <w:lang w:val="es-CO"/>
        </w:rPr>
        <w:t xml:space="preserve">B) Como la </w:t>
      </w:r>
      <w:r w:rsidR="00522CEE" w:rsidRPr="00606E51">
        <w:rPr>
          <w:rFonts w:cs="Times New Roman"/>
          <w:bCs/>
          <w:lang w:val="es-CO"/>
        </w:rPr>
        <w:t>adherencia terapéutica</w:t>
      </w:r>
      <w:r w:rsidR="002C0BA8" w:rsidRPr="00606E51">
        <w:rPr>
          <w:rFonts w:cs="Times New Roman"/>
          <w:bCs/>
          <w:lang w:val="es-CO"/>
        </w:rPr>
        <w:t xml:space="preserve"> del Lineamiento por parte de los cuidadores de los niños y niñas diagnosticados con desnutrición aguda en los municipios de Maicao, Manaure, Riohacha y Uribia del departamento de La Guajira</w:t>
      </w:r>
      <w:r w:rsidR="00F50A45" w:rsidRPr="00606E51">
        <w:rPr>
          <w:rFonts w:cs="Times New Roman"/>
          <w:bCs/>
          <w:lang w:val="es-CO"/>
        </w:rPr>
        <w:t xml:space="preserve">, según lo define la OMS. </w:t>
      </w:r>
      <w:r w:rsidR="00F2022C">
        <w:rPr>
          <w:rFonts w:cs="Times New Roman"/>
          <w:bCs/>
          <w:lang w:val="es-CO"/>
        </w:rPr>
        <w:t xml:space="preserve">Para efectos de la presente evaluación, </w:t>
      </w:r>
      <w:r w:rsidR="00701CFB">
        <w:rPr>
          <w:rFonts w:cs="Times New Roman"/>
          <w:bCs/>
          <w:lang w:val="es-CO"/>
        </w:rPr>
        <w:t xml:space="preserve">se considera que la adherencia terapéutica es alta o exitosa en la medida que los </w:t>
      </w:r>
      <w:r w:rsidR="002C0BA8" w:rsidRPr="00606E51">
        <w:rPr>
          <w:rFonts w:cs="Times New Roman"/>
          <w:bCs/>
          <w:lang w:val="es-CO"/>
        </w:rPr>
        <w:t>resultados de efectividad del Lineamiento</w:t>
      </w:r>
      <w:r w:rsidR="00684143">
        <w:rPr>
          <w:rFonts w:cs="Times New Roman"/>
          <w:bCs/>
          <w:lang w:val="es-CO"/>
        </w:rPr>
        <w:t xml:space="preserve"> son positivos o </w:t>
      </w:r>
      <w:r w:rsidR="002D3199">
        <w:rPr>
          <w:rFonts w:cs="Times New Roman"/>
          <w:bCs/>
          <w:lang w:val="es-CO"/>
        </w:rPr>
        <w:t>favorables; mayor</w:t>
      </w:r>
      <w:r w:rsidR="00684143">
        <w:rPr>
          <w:rFonts w:cs="Times New Roman"/>
          <w:bCs/>
          <w:lang w:val="es-CO"/>
        </w:rPr>
        <w:t xml:space="preserve"> efectividad supone una mejor adherencia terapéutica. </w:t>
      </w:r>
    </w:p>
    <w:p w14:paraId="578607D3" w14:textId="77777777" w:rsidR="008D36DA" w:rsidRPr="00606E51" w:rsidRDefault="008D36DA" w:rsidP="00F31BB9">
      <w:pPr>
        <w:jc w:val="both"/>
        <w:rPr>
          <w:rFonts w:cs="Times New Roman"/>
          <w:bCs/>
          <w:lang w:val="es-CO"/>
        </w:rPr>
      </w:pPr>
    </w:p>
    <w:p w14:paraId="4BE6FBD9" w14:textId="77777777" w:rsidR="002C0BA8" w:rsidRPr="00606E51" w:rsidRDefault="007720F3" w:rsidP="00E153B4">
      <w:pPr>
        <w:jc w:val="both"/>
        <w:rPr>
          <w:rFonts w:cs="Times New Roman"/>
          <w:bCs/>
          <w:lang w:val="es-CO"/>
        </w:rPr>
      </w:pPr>
      <w:r w:rsidRPr="00606E51">
        <w:rPr>
          <w:rFonts w:cs="Times New Roman"/>
          <w:bCs/>
          <w:lang w:val="es-CO"/>
        </w:rPr>
        <w:t>Ahora, dado que el Lineamiento hace parte de la Resolución</w:t>
      </w:r>
      <w:r w:rsidR="00750DE6" w:rsidRPr="00606E51">
        <w:rPr>
          <w:rFonts w:cs="Times New Roman"/>
          <w:bCs/>
          <w:lang w:val="es-CO"/>
        </w:rPr>
        <w:t xml:space="preserve"> emitida por </w:t>
      </w:r>
      <w:r w:rsidR="00E153B4" w:rsidRPr="00606E51">
        <w:rPr>
          <w:rFonts w:cs="Times New Roman"/>
          <w:bCs/>
          <w:lang w:val="es-CO"/>
        </w:rPr>
        <w:t>parte del MSPS</w:t>
      </w:r>
      <w:r w:rsidR="002C0BA8" w:rsidRPr="00606E51">
        <w:rPr>
          <w:rFonts w:cs="Times New Roman"/>
          <w:bCs/>
          <w:lang w:val="es-CO"/>
        </w:rPr>
        <w:t>,</w:t>
      </w:r>
      <w:r w:rsidR="00E153B4" w:rsidRPr="00606E51">
        <w:rPr>
          <w:rFonts w:cs="Times New Roman"/>
          <w:bCs/>
          <w:lang w:val="es-CO"/>
        </w:rPr>
        <w:t xml:space="preserve"> </w:t>
      </w:r>
      <w:r w:rsidR="002C0BA8" w:rsidRPr="00606E51">
        <w:rPr>
          <w:rFonts w:cs="Times New Roman"/>
          <w:bCs/>
          <w:lang w:val="es-CO"/>
        </w:rPr>
        <w:t>se indaga</w:t>
      </w:r>
      <w:r w:rsidR="00AF441E" w:rsidRPr="00606E51">
        <w:rPr>
          <w:rFonts w:cs="Times New Roman"/>
          <w:bCs/>
          <w:lang w:val="es-CO"/>
        </w:rPr>
        <w:t xml:space="preserve"> sobre</w:t>
      </w:r>
      <w:r w:rsidR="00E153B4" w:rsidRPr="00606E51">
        <w:rPr>
          <w:rFonts w:cs="Times New Roman"/>
          <w:bCs/>
          <w:lang w:val="es-CO"/>
        </w:rPr>
        <w:t xml:space="preserve"> los parámetros e indicaciones que la entidad</w:t>
      </w:r>
      <w:r w:rsidR="00B5581A" w:rsidRPr="00606E51">
        <w:rPr>
          <w:rFonts w:cs="Times New Roman"/>
          <w:bCs/>
          <w:lang w:val="es-CO"/>
        </w:rPr>
        <w:t>,</w:t>
      </w:r>
      <w:r w:rsidR="00E153B4" w:rsidRPr="00606E51">
        <w:rPr>
          <w:rFonts w:cs="Times New Roman"/>
          <w:bCs/>
          <w:lang w:val="es-CO"/>
        </w:rPr>
        <w:t xml:space="preserve"> como ente rector del sistema de salud, ha bri</w:t>
      </w:r>
      <w:r w:rsidR="0048098C" w:rsidRPr="00606E51">
        <w:rPr>
          <w:rFonts w:cs="Times New Roman"/>
          <w:bCs/>
          <w:lang w:val="es-CO"/>
        </w:rPr>
        <w:t>ndado a todos los usuarios del L</w:t>
      </w:r>
      <w:r w:rsidR="00E153B4" w:rsidRPr="00606E51">
        <w:rPr>
          <w:rFonts w:cs="Times New Roman"/>
          <w:bCs/>
          <w:lang w:val="es-CO"/>
        </w:rPr>
        <w:t>ineam</w:t>
      </w:r>
      <w:r w:rsidR="002C0BA8" w:rsidRPr="00606E51">
        <w:rPr>
          <w:rFonts w:cs="Times New Roman"/>
          <w:bCs/>
          <w:lang w:val="es-CO"/>
        </w:rPr>
        <w:t>iento. Es decir que se analiza</w:t>
      </w:r>
      <w:r w:rsidR="00E153B4" w:rsidRPr="00606E51">
        <w:rPr>
          <w:rFonts w:cs="Times New Roman"/>
          <w:bCs/>
          <w:lang w:val="es-CO"/>
        </w:rPr>
        <w:t xml:space="preserve"> la gestión realizada para promover la articulación vertica</w:t>
      </w:r>
      <w:r w:rsidR="00AF441E" w:rsidRPr="00606E51">
        <w:rPr>
          <w:rFonts w:cs="Times New Roman"/>
          <w:bCs/>
          <w:lang w:val="es-CO"/>
        </w:rPr>
        <w:t xml:space="preserve">l que contribuya </w:t>
      </w:r>
      <w:r w:rsidR="00E153B4" w:rsidRPr="00606E51">
        <w:rPr>
          <w:rFonts w:cs="Times New Roman"/>
          <w:bCs/>
          <w:lang w:val="es-CO"/>
        </w:rPr>
        <w:t xml:space="preserve">la aplicación </w:t>
      </w:r>
      <w:r w:rsidR="00EE4BAF" w:rsidRPr="00606E51">
        <w:rPr>
          <w:rFonts w:cs="Times New Roman"/>
          <w:bCs/>
          <w:lang w:val="es-CO"/>
        </w:rPr>
        <w:t>del lineamiento</w:t>
      </w:r>
      <w:r w:rsidR="00E153B4" w:rsidRPr="00606E51">
        <w:rPr>
          <w:rFonts w:cs="Times New Roman"/>
          <w:bCs/>
          <w:lang w:val="es-CO"/>
        </w:rPr>
        <w:t xml:space="preserve"> adoptad</w:t>
      </w:r>
      <w:r w:rsidR="00EE4BAF" w:rsidRPr="00606E51">
        <w:rPr>
          <w:rFonts w:cs="Times New Roman"/>
          <w:bCs/>
          <w:lang w:val="es-CO"/>
        </w:rPr>
        <w:t>o</w:t>
      </w:r>
      <w:r w:rsidR="00E153B4" w:rsidRPr="00606E51">
        <w:rPr>
          <w:rFonts w:cs="Times New Roman"/>
          <w:bCs/>
          <w:lang w:val="es-CO"/>
        </w:rPr>
        <w:t xml:space="preserve"> mediante la resolución. </w:t>
      </w:r>
    </w:p>
    <w:p w14:paraId="775897A2" w14:textId="77777777" w:rsidR="002C0BA8" w:rsidRPr="00606E51" w:rsidRDefault="002C0BA8" w:rsidP="00E153B4">
      <w:pPr>
        <w:jc w:val="both"/>
        <w:rPr>
          <w:rFonts w:cs="Times New Roman"/>
          <w:bCs/>
          <w:lang w:val="es-CO"/>
        </w:rPr>
      </w:pPr>
    </w:p>
    <w:p w14:paraId="1CBE1FF5" w14:textId="77777777" w:rsidR="00722FA3" w:rsidRPr="00606E51" w:rsidRDefault="00E153B4" w:rsidP="00E153B4">
      <w:pPr>
        <w:jc w:val="both"/>
        <w:rPr>
          <w:rFonts w:cs="Times New Roman"/>
          <w:bCs/>
          <w:lang w:val="es-CO"/>
        </w:rPr>
      </w:pPr>
      <w:r w:rsidRPr="00606E51">
        <w:rPr>
          <w:rFonts w:cs="Times New Roman"/>
          <w:bCs/>
          <w:lang w:val="es-CO"/>
        </w:rPr>
        <w:t>Asimismo</w:t>
      </w:r>
      <w:r w:rsidR="00AF441E" w:rsidRPr="00606E51">
        <w:rPr>
          <w:rFonts w:cs="Times New Roman"/>
          <w:bCs/>
          <w:lang w:val="es-CO"/>
        </w:rPr>
        <w:t>, se ana</w:t>
      </w:r>
      <w:r w:rsidR="002C0BA8" w:rsidRPr="00606E51">
        <w:rPr>
          <w:rFonts w:cs="Times New Roman"/>
          <w:bCs/>
          <w:lang w:val="es-CO"/>
        </w:rPr>
        <w:t>lizan</w:t>
      </w:r>
      <w:r w:rsidRPr="00606E51">
        <w:rPr>
          <w:rFonts w:cs="Times New Roman"/>
          <w:bCs/>
          <w:lang w:val="es-CO"/>
        </w:rPr>
        <w:t xml:space="preserve"> los cuellos de botella que han tenido tanto las EAPB como los prestadores primarios y complementarios</w:t>
      </w:r>
      <w:r w:rsidR="003831F1">
        <w:rPr>
          <w:rFonts w:cs="Times New Roman"/>
          <w:bCs/>
          <w:lang w:val="es-CO"/>
        </w:rPr>
        <w:t>,</w:t>
      </w:r>
      <w:r w:rsidRPr="00606E51">
        <w:rPr>
          <w:rFonts w:cs="Times New Roman"/>
          <w:bCs/>
          <w:lang w:val="es-CO"/>
        </w:rPr>
        <w:t xml:space="preserve"> </w:t>
      </w:r>
      <w:r w:rsidR="00AF441E" w:rsidRPr="00606E51">
        <w:rPr>
          <w:rFonts w:cs="Times New Roman"/>
          <w:bCs/>
          <w:lang w:val="es-CO"/>
        </w:rPr>
        <w:t>para implementar el Lineamiento contenido en la R</w:t>
      </w:r>
      <w:r w:rsidRPr="00606E51">
        <w:rPr>
          <w:rFonts w:cs="Times New Roman"/>
          <w:bCs/>
          <w:lang w:val="es-CO"/>
        </w:rPr>
        <w:t>esolución, en términos de los procesos de operación inherentes a sus competencias</w:t>
      </w:r>
      <w:r w:rsidR="00B5581A" w:rsidRPr="00606E51">
        <w:rPr>
          <w:rFonts w:cs="Times New Roman"/>
          <w:bCs/>
          <w:lang w:val="es-CO"/>
        </w:rPr>
        <w:t xml:space="preserve"> y las ordenadas por la Resolución</w:t>
      </w:r>
      <w:r w:rsidRPr="00606E51">
        <w:rPr>
          <w:rFonts w:cs="Times New Roman"/>
          <w:bCs/>
          <w:lang w:val="es-CO"/>
        </w:rPr>
        <w:t>.</w:t>
      </w:r>
    </w:p>
    <w:p w14:paraId="44DCC874" w14:textId="77777777" w:rsidR="00EC5CC6" w:rsidRPr="00606E51" w:rsidRDefault="00EC5CC6" w:rsidP="00E153B4">
      <w:pPr>
        <w:jc w:val="both"/>
        <w:rPr>
          <w:rFonts w:cs="Times New Roman"/>
          <w:bCs/>
          <w:lang w:val="es-CO"/>
        </w:rPr>
      </w:pPr>
    </w:p>
    <w:p w14:paraId="6502EACC" w14:textId="3E9E0CB7" w:rsidR="00E153B4" w:rsidRDefault="003831F1" w:rsidP="00E153B4">
      <w:pPr>
        <w:jc w:val="both"/>
        <w:rPr>
          <w:rFonts w:cs="Times New Roman"/>
          <w:bCs/>
          <w:lang w:val="es-CO"/>
        </w:rPr>
      </w:pPr>
      <w:r>
        <w:rPr>
          <w:rFonts w:cs="Times New Roman"/>
          <w:bCs/>
          <w:lang w:val="es-CO"/>
        </w:rPr>
        <w:t xml:space="preserve">Hay que anotar que la presente </w:t>
      </w:r>
      <w:r w:rsidR="00E153B4" w:rsidRPr="00606E51">
        <w:rPr>
          <w:rFonts w:cs="Times New Roman"/>
          <w:bCs/>
          <w:lang w:val="es-CO"/>
        </w:rPr>
        <w:t>evaluación no t</w:t>
      </w:r>
      <w:r w:rsidR="00EE67E8" w:rsidRPr="00606E51">
        <w:rPr>
          <w:rFonts w:cs="Times New Roman"/>
          <w:bCs/>
          <w:lang w:val="es-CO"/>
        </w:rPr>
        <w:t>iene</w:t>
      </w:r>
      <w:r w:rsidR="00E153B4" w:rsidRPr="00606E51">
        <w:rPr>
          <w:rFonts w:cs="Times New Roman"/>
          <w:bCs/>
          <w:lang w:val="es-CO"/>
        </w:rPr>
        <w:t xml:space="preserve"> un enfoque de auditoría clínica, médica, administrativa, ni de gestión de la operación del sistema de salud para implementar </w:t>
      </w:r>
      <w:r w:rsidR="0048098C" w:rsidRPr="00606E51">
        <w:rPr>
          <w:rFonts w:cs="Times New Roman"/>
          <w:bCs/>
          <w:lang w:val="es-CO"/>
        </w:rPr>
        <w:t>el Lineamiento</w:t>
      </w:r>
      <w:r>
        <w:rPr>
          <w:rFonts w:cs="Times New Roman"/>
          <w:bCs/>
          <w:lang w:val="es-CO"/>
        </w:rPr>
        <w:t>.  Dichos ejercicios están orientado</w:t>
      </w:r>
      <w:r w:rsidR="00E153B4" w:rsidRPr="00606E51">
        <w:rPr>
          <w:rFonts w:cs="Times New Roman"/>
          <w:bCs/>
          <w:lang w:val="es-CO"/>
        </w:rPr>
        <w:t>s a indagar los criterios de habilitación, los estándares de calidad, la eficiencia eficacia y calidad de la administración, la calidad de las historias clínicas, entre otros aspe</w:t>
      </w:r>
      <w:r>
        <w:rPr>
          <w:rFonts w:cs="Times New Roman"/>
          <w:bCs/>
          <w:lang w:val="es-CO"/>
        </w:rPr>
        <w:t xml:space="preserve">ctos, los cuales </w:t>
      </w:r>
      <w:r w:rsidR="00E153B4" w:rsidRPr="00606E51">
        <w:rPr>
          <w:rFonts w:cs="Times New Roman"/>
          <w:bCs/>
          <w:lang w:val="es-CO"/>
        </w:rPr>
        <w:t xml:space="preserve">están por fuera del alcance de esta evaluación. </w:t>
      </w:r>
      <w:r w:rsidR="009227A0" w:rsidRPr="00606E51">
        <w:rPr>
          <w:rFonts w:cs="Times New Roman"/>
          <w:bCs/>
          <w:lang w:val="es-CO"/>
        </w:rPr>
        <w:t xml:space="preserve">Adicionalmente, esta evaluación no hace un análisis antropológico con las comunidades que habitan la zona rural dispersa </w:t>
      </w:r>
      <w:r w:rsidR="002D3199" w:rsidRPr="00606E51">
        <w:rPr>
          <w:rFonts w:cs="Times New Roman"/>
          <w:bCs/>
          <w:lang w:val="es-CO"/>
        </w:rPr>
        <w:t>del alta</w:t>
      </w:r>
      <w:r w:rsidR="009227A0" w:rsidRPr="00606E51">
        <w:rPr>
          <w:rFonts w:cs="Times New Roman"/>
          <w:bCs/>
          <w:lang w:val="es-CO"/>
        </w:rPr>
        <w:t xml:space="preserve"> </w:t>
      </w:r>
      <w:r w:rsidR="009227A0" w:rsidRPr="00606E51">
        <w:rPr>
          <w:rFonts w:cs="Times New Roman"/>
          <w:bCs/>
          <w:lang w:val="es-CO"/>
        </w:rPr>
        <w:lastRenderedPageBreak/>
        <w:t xml:space="preserve">Guajira para indagar la adaptación de las instrucciones del personal médico a las costumbres y prácticas cotidianas. </w:t>
      </w:r>
    </w:p>
    <w:p w14:paraId="5EEAC316" w14:textId="555A577C" w:rsidR="002D3199" w:rsidRDefault="002D3199" w:rsidP="00E153B4">
      <w:pPr>
        <w:jc w:val="both"/>
        <w:rPr>
          <w:rFonts w:cs="Times New Roman"/>
          <w:bCs/>
          <w:lang w:val="es-CO"/>
        </w:rPr>
      </w:pPr>
    </w:p>
    <w:p w14:paraId="05DB0D30" w14:textId="614142DA" w:rsidR="002D3199" w:rsidRDefault="002D3199" w:rsidP="00E153B4">
      <w:pPr>
        <w:jc w:val="both"/>
        <w:rPr>
          <w:rFonts w:cs="Times New Roman"/>
          <w:bCs/>
          <w:lang w:val="es-CO"/>
        </w:rPr>
      </w:pPr>
    </w:p>
    <w:p w14:paraId="1FAE92EE" w14:textId="77777777" w:rsidR="002D3199" w:rsidRPr="00606E51" w:rsidRDefault="002D3199" w:rsidP="00E153B4">
      <w:pPr>
        <w:jc w:val="both"/>
        <w:rPr>
          <w:rFonts w:cs="Times New Roman"/>
          <w:bCs/>
          <w:lang w:val="es-CO"/>
        </w:rPr>
      </w:pPr>
    </w:p>
    <w:p w14:paraId="79B67FFF" w14:textId="77777777" w:rsidR="00B5581A" w:rsidRPr="00606E51" w:rsidRDefault="00B5581A" w:rsidP="00997568">
      <w:pPr>
        <w:pStyle w:val="Heading3"/>
        <w:rPr>
          <w:b/>
          <w:lang w:val="es-CO"/>
        </w:rPr>
      </w:pPr>
      <w:bookmarkStart w:id="25" w:name="_Toc505090940"/>
      <w:r w:rsidRPr="00606E51">
        <w:rPr>
          <w:lang w:val="es-CO"/>
        </w:rPr>
        <w:t>Criterio de costo-efectividad</w:t>
      </w:r>
      <w:bookmarkEnd w:id="25"/>
    </w:p>
    <w:p w14:paraId="695949F4" w14:textId="77777777" w:rsidR="00B5581A" w:rsidRPr="00606E51" w:rsidRDefault="00B5581A" w:rsidP="00E153B4">
      <w:pPr>
        <w:jc w:val="both"/>
        <w:rPr>
          <w:rFonts w:cs="Times New Roman"/>
          <w:bCs/>
          <w:lang w:val="es-CO"/>
        </w:rPr>
      </w:pPr>
    </w:p>
    <w:tbl>
      <w:tblPr>
        <w:tblStyle w:val="TableGrid"/>
        <w:tblW w:w="10710" w:type="dxa"/>
        <w:tblInd w:w="-815" w:type="dxa"/>
        <w:tblLook w:val="04A0" w:firstRow="1" w:lastRow="0" w:firstColumn="1" w:lastColumn="0" w:noHBand="0" w:noVBand="1"/>
      </w:tblPr>
      <w:tblGrid>
        <w:gridCol w:w="2245"/>
        <w:gridCol w:w="4590"/>
        <w:gridCol w:w="3875"/>
      </w:tblGrid>
      <w:tr w:rsidR="002D3199" w:rsidRPr="002E0382" w14:paraId="269729E1" w14:textId="77777777" w:rsidTr="00720146">
        <w:tc>
          <w:tcPr>
            <w:tcW w:w="2245" w:type="dxa"/>
            <w:vAlign w:val="center"/>
          </w:tcPr>
          <w:p w14:paraId="7CC5645E" w14:textId="77777777" w:rsidR="002D3199" w:rsidRPr="002E0382" w:rsidRDefault="002D3199" w:rsidP="00F16AAB">
            <w:pPr>
              <w:jc w:val="center"/>
              <w:rPr>
                <w:bCs w:val="0"/>
                <w:sz w:val="20"/>
                <w:szCs w:val="20"/>
                <w:lang w:val="es-CO"/>
              </w:rPr>
            </w:pPr>
            <w:r>
              <w:rPr>
                <w:bCs w:val="0"/>
                <w:sz w:val="20"/>
                <w:szCs w:val="20"/>
                <w:lang w:val="es-CO"/>
              </w:rPr>
              <w:t>Criterio de evaluación</w:t>
            </w:r>
          </w:p>
        </w:tc>
        <w:tc>
          <w:tcPr>
            <w:tcW w:w="4590" w:type="dxa"/>
          </w:tcPr>
          <w:p w14:paraId="3BA86B66" w14:textId="77777777" w:rsidR="002D3199" w:rsidRPr="002E0382" w:rsidRDefault="002D3199" w:rsidP="00F16AAB">
            <w:pPr>
              <w:jc w:val="center"/>
              <w:rPr>
                <w:bCs w:val="0"/>
                <w:sz w:val="20"/>
                <w:szCs w:val="20"/>
                <w:lang w:val="es-CO"/>
              </w:rPr>
            </w:pPr>
            <w:r w:rsidRPr="002E0382">
              <w:rPr>
                <w:bCs w:val="0"/>
                <w:sz w:val="20"/>
                <w:szCs w:val="20"/>
                <w:lang w:val="es-CO"/>
              </w:rPr>
              <w:t>Objetivo específico</w:t>
            </w:r>
          </w:p>
        </w:tc>
        <w:tc>
          <w:tcPr>
            <w:tcW w:w="3875" w:type="dxa"/>
          </w:tcPr>
          <w:p w14:paraId="472D0EA2" w14:textId="77777777" w:rsidR="002D3199" w:rsidRPr="002E0382" w:rsidRDefault="002D3199" w:rsidP="00F16AAB">
            <w:pPr>
              <w:jc w:val="center"/>
              <w:rPr>
                <w:bCs w:val="0"/>
                <w:sz w:val="20"/>
                <w:szCs w:val="20"/>
                <w:lang w:val="es-CO"/>
              </w:rPr>
            </w:pPr>
            <w:r w:rsidRPr="002E0382">
              <w:rPr>
                <w:bCs w:val="0"/>
                <w:sz w:val="20"/>
                <w:szCs w:val="20"/>
                <w:lang w:val="es-CO"/>
              </w:rPr>
              <w:t>Preguntas de evaluación</w:t>
            </w:r>
          </w:p>
        </w:tc>
      </w:tr>
      <w:tr w:rsidR="002D3199" w:rsidRPr="002E0382" w14:paraId="3AB026A4" w14:textId="77777777" w:rsidTr="00720146">
        <w:tc>
          <w:tcPr>
            <w:tcW w:w="2245" w:type="dxa"/>
            <w:vMerge w:val="restart"/>
            <w:vAlign w:val="center"/>
          </w:tcPr>
          <w:p w14:paraId="7198A436" w14:textId="77777777" w:rsidR="002D3199" w:rsidRPr="002E0382" w:rsidRDefault="002D3199" w:rsidP="00F16AAB">
            <w:pPr>
              <w:jc w:val="center"/>
              <w:rPr>
                <w:bCs w:val="0"/>
                <w:sz w:val="20"/>
                <w:szCs w:val="20"/>
                <w:lang w:val="es-CO"/>
              </w:rPr>
            </w:pPr>
            <w:r w:rsidRPr="002E0382">
              <w:rPr>
                <w:bCs w:val="0"/>
                <w:sz w:val="20"/>
                <w:szCs w:val="20"/>
                <w:lang w:val="es-CO"/>
              </w:rPr>
              <w:t>Costo efectividad</w:t>
            </w:r>
          </w:p>
          <w:p w14:paraId="07E0A767" w14:textId="77777777" w:rsidR="002D3199" w:rsidRPr="002E0382" w:rsidRDefault="002D3199" w:rsidP="00F16AAB">
            <w:pPr>
              <w:jc w:val="center"/>
              <w:rPr>
                <w:bCs w:val="0"/>
                <w:sz w:val="20"/>
                <w:szCs w:val="20"/>
                <w:lang w:val="es-CO"/>
              </w:rPr>
            </w:pPr>
          </w:p>
          <w:p w14:paraId="5082D097" w14:textId="77777777" w:rsidR="002D3199" w:rsidRPr="002E0382" w:rsidRDefault="002D3199" w:rsidP="00F16AAB">
            <w:pPr>
              <w:jc w:val="center"/>
              <w:rPr>
                <w:b w:val="0"/>
                <w:bCs w:val="0"/>
                <w:sz w:val="20"/>
                <w:szCs w:val="20"/>
                <w:lang w:val="es-CO"/>
              </w:rPr>
            </w:pPr>
          </w:p>
        </w:tc>
        <w:tc>
          <w:tcPr>
            <w:tcW w:w="4590" w:type="dxa"/>
          </w:tcPr>
          <w:p w14:paraId="45891735" w14:textId="77777777" w:rsidR="002D3199" w:rsidRPr="002E0382" w:rsidRDefault="002D3199" w:rsidP="00F16AAB">
            <w:pPr>
              <w:jc w:val="both"/>
              <w:rPr>
                <w:bCs w:val="0"/>
                <w:sz w:val="20"/>
                <w:szCs w:val="20"/>
                <w:lang w:val="es-CO"/>
              </w:rPr>
            </w:pPr>
            <w:r w:rsidRPr="002E0382">
              <w:rPr>
                <w:b w:val="0"/>
                <w:bCs w:val="0"/>
                <w:sz w:val="20"/>
                <w:szCs w:val="20"/>
                <w:lang w:val="es-CO"/>
              </w:rPr>
              <w:br w:type="page"/>
            </w:r>
            <w:r w:rsidRPr="002E0382">
              <w:rPr>
                <w:bCs w:val="0"/>
                <w:sz w:val="20"/>
                <w:szCs w:val="20"/>
                <w:lang w:val="es-CO"/>
              </w:rPr>
              <w:t xml:space="preserve">iii. </w:t>
            </w:r>
            <w:r w:rsidRPr="002E0382">
              <w:rPr>
                <w:b w:val="0"/>
                <w:bCs w:val="0"/>
                <w:sz w:val="20"/>
                <w:szCs w:val="20"/>
                <w:lang w:val="es-CO"/>
              </w:rPr>
              <w:t>Estimar el costo incremental de implementación del Lineamiento, tanto en la atención intrahospitalaria, como para el manejo en el hogar.</w:t>
            </w:r>
          </w:p>
        </w:tc>
        <w:tc>
          <w:tcPr>
            <w:tcW w:w="3875" w:type="dxa"/>
          </w:tcPr>
          <w:p w14:paraId="374C2ABD" w14:textId="77777777" w:rsidR="002D3199" w:rsidRPr="002E0382" w:rsidRDefault="002D3199" w:rsidP="00F16AAB">
            <w:pPr>
              <w:rPr>
                <w:b w:val="0"/>
                <w:sz w:val="20"/>
                <w:szCs w:val="20"/>
                <w:lang w:val="es-CO"/>
              </w:rPr>
            </w:pPr>
            <w:r w:rsidRPr="002E0382">
              <w:rPr>
                <w:sz w:val="20"/>
                <w:szCs w:val="20"/>
                <w:lang w:val="es-CO"/>
              </w:rPr>
              <w:t>4.</w:t>
            </w:r>
            <w:r>
              <w:rPr>
                <w:sz w:val="20"/>
                <w:szCs w:val="20"/>
                <w:lang w:val="es-CO"/>
              </w:rPr>
              <w:t xml:space="preserve"> </w:t>
            </w:r>
            <w:r w:rsidRPr="002E0382">
              <w:rPr>
                <w:b w:val="0"/>
                <w:sz w:val="20"/>
                <w:szCs w:val="20"/>
                <w:lang w:val="es-CO"/>
              </w:rPr>
              <w:t>¿Cuál es el costo de los insumos, procesos y productos para implementar el Lineamiento para el manejo en el hogar a través de la modalidad de la atención extramural de las IPS de baja complejidad?</w:t>
            </w:r>
          </w:p>
          <w:p w14:paraId="00107060" w14:textId="77777777" w:rsidR="002D3199" w:rsidRPr="002E0382" w:rsidRDefault="002D3199" w:rsidP="00F16AAB">
            <w:pPr>
              <w:rPr>
                <w:sz w:val="20"/>
                <w:szCs w:val="20"/>
                <w:lang w:val="es-CO"/>
              </w:rPr>
            </w:pPr>
          </w:p>
          <w:p w14:paraId="11B3D2F1" w14:textId="77777777" w:rsidR="002D3199" w:rsidRPr="002E0382" w:rsidRDefault="002D3199" w:rsidP="00F16AAB">
            <w:pPr>
              <w:rPr>
                <w:bCs w:val="0"/>
                <w:sz w:val="20"/>
                <w:szCs w:val="20"/>
                <w:lang w:val="es-CO"/>
              </w:rPr>
            </w:pPr>
            <w:r w:rsidRPr="002E0382">
              <w:rPr>
                <w:sz w:val="20"/>
                <w:szCs w:val="20"/>
                <w:lang w:val="es-CO"/>
              </w:rPr>
              <w:t>5.</w:t>
            </w:r>
            <w:r w:rsidRPr="002E0382">
              <w:rPr>
                <w:b w:val="0"/>
                <w:sz w:val="20"/>
                <w:szCs w:val="20"/>
                <w:lang w:val="es-CO"/>
              </w:rPr>
              <w:t xml:space="preserve"> </w:t>
            </w:r>
            <w:r>
              <w:rPr>
                <w:b w:val="0"/>
                <w:sz w:val="20"/>
                <w:szCs w:val="20"/>
                <w:lang w:val="es-CO"/>
              </w:rPr>
              <w:t xml:space="preserve"> </w:t>
            </w:r>
            <w:r w:rsidRPr="002E0382">
              <w:rPr>
                <w:b w:val="0"/>
                <w:sz w:val="20"/>
                <w:szCs w:val="20"/>
                <w:lang w:val="es-CO"/>
              </w:rPr>
              <w:t>¿Cuál es el costo de los insumos, procesos y productos específicos de aplicar el Lineamiento para el manejo intrahospitalario en las IPS de mediana/alta complejidad?</w:t>
            </w:r>
          </w:p>
        </w:tc>
      </w:tr>
      <w:tr w:rsidR="002D3199" w:rsidRPr="002E0382" w14:paraId="5918F6EF" w14:textId="77777777" w:rsidTr="00720146">
        <w:trPr>
          <w:trHeight w:val="980"/>
        </w:trPr>
        <w:tc>
          <w:tcPr>
            <w:tcW w:w="2245" w:type="dxa"/>
            <w:vMerge/>
            <w:vAlign w:val="center"/>
          </w:tcPr>
          <w:p w14:paraId="12C746D4" w14:textId="77777777" w:rsidR="002D3199" w:rsidRPr="002E0382" w:rsidRDefault="002D3199" w:rsidP="00F16AAB">
            <w:pPr>
              <w:jc w:val="center"/>
              <w:rPr>
                <w:bCs w:val="0"/>
                <w:sz w:val="20"/>
                <w:szCs w:val="20"/>
                <w:lang w:val="es-CO"/>
              </w:rPr>
            </w:pPr>
          </w:p>
        </w:tc>
        <w:tc>
          <w:tcPr>
            <w:tcW w:w="4590" w:type="dxa"/>
          </w:tcPr>
          <w:p w14:paraId="01F4EDD7" w14:textId="77777777" w:rsidR="002D3199" w:rsidRPr="002E0382" w:rsidRDefault="002D3199" w:rsidP="00F16AAB">
            <w:pPr>
              <w:jc w:val="both"/>
              <w:rPr>
                <w:bCs w:val="0"/>
                <w:sz w:val="20"/>
                <w:szCs w:val="20"/>
                <w:lang w:val="es-CO"/>
              </w:rPr>
            </w:pPr>
            <w:r w:rsidRPr="002E0382">
              <w:rPr>
                <w:bCs w:val="0"/>
                <w:sz w:val="20"/>
                <w:szCs w:val="20"/>
                <w:lang w:val="es-CO"/>
              </w:rPr>
              <w:t xml:space="preserve">iv. </w:t>
            </w:r>
            <w:r w:rsidRPr="002E0382">
              <w:rPr>
                <w:b w:val="0"/>
                <w:bCs w:val="0"/>
                <w:sz w:val="20"/>
                <w:szCs w:val="20"/>
                <w:lang w:val="es-CO"/>
              </w:rPr>
              <w:t>Estimar el costo de atención de niños y niñas con desnutrición aguda (moderada y severa) en los municipios de estudio, en el escenario de no implementación del Lineamiento.</w:t>
            </w:r>
          </w:p>
        </w:tc>
        <w:tc>
          <w:tcPr>
            <w:tcW w:w="3875" w:type="dxa"/>
          </w:tcPr>
          <w:p w14:paraId="2C54F4C6" w14:textId="77777777" w:rsidR="002D3199" w:rsidRPr="002E0382" w:rsidRDefault="002D3199" w:rsidP="00F16AAB">
            <w:pPr>
              <w:jc w:val="both"/>
              <w:rPr>
                <w:b w:val="0"/>
                <w:bCs w:val="0"/>
                <w:sz w:val="20"/>
                <w:szCs w:val="20"/>
                <w:lang w:val="es-CO"/>
              </w:rPr>
            </w:pPr>
            <w:r>
              <w:rPr>
                <w:bCs w:val="0"/>
                <w:sz w:val="20"/>
                <w:szCs w:val="20"/>
                <w:lang w:val="es-CO"/>
              </w:rPr>
              <w:t>6</w:t>
            </w:r>
            <w:r w:rsidRPr="002E0382">
              <w:rPr>
                <w:bCs w:val="0"/>
                <w:sz w:val="20"/>
                <w:szCs w:val="20"/>
                <w:lang w:val="es-CO"/>
              </w:rPr>
              <w:t>.</w:t>
            </w:r>
            <w:r>
              <w:rPr>
                <w:bCs w:val="0"/>
                <w:sz w:val="20"/>
                <w:szCs w:val="20"/>
                <w:lang w:val="es-CO"/>
              </w:rPr>
              <w:t xml:space="preserve"> </w:t>
            </w:r>
            <w:r w:rsidRPr="002E0382">
              <w:rPr>
                <w:b w:val="0"/>
                <w:bCs w:val="0"/>
                <w:sz w:val="20"/>
                <w:szCs w:val="20"/>
                <w:lang w:val="es-CO"/>
              </w:rPr>
              <w:t>¿Cuánto cuesta mejorar el estado de salud de la sociedad (utilizando indicadores de efectividad), debido a la implementación del Lineamiento?</w:t>
            </w:r>
          </w:p>
          <w:p w14:paraId="523F1517" w14:textId="77777777" w:rsidR="002D3199" w:rsidRPr="002E0382" w:rsidRDefault="002D3199" w:rsidP="00F16AAB">
            <w:pPr>
              <w:jc w:val="both"/>
              <w:rPr>
                <w:bCs w:val="0"/>
                <w:sz w:val="20"/>
                <w:szCs w:val="20"/>
                <w:lang w:val="es-CO"/>
              </w:rPr>
            </w:pPr>
          </w:p>
        </w:tc>
      </w:tr>
      <w:tr w:rsidR="002D3199" w:rsidRPr="002E0382" w14:paraId="337E6635" w14:textId="77777777" w:rsidTr="00720146">
        <w:tc>
          <w:tcPr>
            <w:tcW w:w="2245" w:type="dxa"/>
            <w:vMerge/>
            <w:vAlign w:val="center"/>
          </w:tcPr>
          <w:p w14:paraId="2DC61806" w14:textId="77777777" w:rsidR="002D3199" w:rsidRPr="002E0382" w:rsidRDefault="002D3199" w:rsidP="00F16AAB">
            <w:pPr>
              <w:jc w:val="center"/>
              <w:rPr>
                <w:bCs w:val="0"/>
                <w:sz w:val="20"/>
                <w:szCs w:val="20"/>
                <w:lang w:val="es-CO"/>
              </w:rPr>
            </w:pPr>
          </w:p>
        </w:tc>
        <w:tc>
          <w:tcPr>
            <w:tcW w:w="4590" w:type="dxa"/>
          </w:tcPr>
          <w:p w14:paraId="239478EB" w14:textId="77777777" w:rsidR="002D3199" w:rsidRPr="002E0382" w:rsidRDefault="002D3199" w:rsidP="00F16AAB">
            <w:pPr>
              <w:jc w:val="both"/>
              <w:rPr>
                <w:bCs w:val="0"/>
                <w:sz w:val="20"/>
                <w:szCs w:val="20"/>
                <w:lang w:val="es-CO"/>
              </w:rPr>
            </w:pPr>
            <w:r>
              <w:rPr>
                <w:bCs w:val="0"/>
                <w:sz w:val="20"/>
                <w:szCs w:val="20"/>
                <w:lang w:val="es-CO"/>
              </w:rPr>
              <w:t>iv</w:t>
            </w:r>
            <w:r w:rsidRPr="002E0382">
              <w:rPr>
                <w:bCs w:val="0"/>
                <w:sz w:val="20"/>
                <w:szCs w:val="20"/>
                <w:lang w:val="es-CO"/>
              </w:rPr>
              <w:t xml:space="preserve">. </w:t>
            </w:r>
            <w:r>
              <w:rPr>
                <w:b w:val="0"/>
                <w:bCs w:val="0"/>
                <w:sz w:val="20"/>
                <w:szCs w:val="20"/>
                <w:lang w:val="es-CO"/>
              </w:rPr>
              <w:t>E</w:t>
            </w:r>
            <w:r w:rsidRPr="002E0382">
              <w:rPr>
                <w:b w:val="0"/>
                <w:bCs w:val="0"/>
                <w:sz w:val="20"/>
                <w:szCs w:val="20"/>
                <w:lang w:val="es-CO"/>
              </w:rPr>
              <w:t>stimar la efectividad de la implementación del Lineamiento en los municipios seleccionados de La Guajira</w:t>
            </w:r>
          </w:p>
        </w:tc>
        <w:tc>
          <w:tcPr>
            <w:tcW w:w="3875" w:type="dxa"/>
          </w:tcPr>
          <w:p w14:paraId="11EFA7F1" w14:textId="77777777" w:rsidR="002D3199" w:rsidRPr="002E0382" w:rsidRDefault="002D3199" w:rsidP="00F16AAB">
            <w:pPr>
              <w:rPr>
                <w:b w:val="0"/>
                <w:bCs w:val="0"/>
                <w:sz w:val="20"/>
                <w:szCs w:val="20"/>
                <w:lang w:val="es-CO"/>
              </w:rPr>
            </w:pPr>
            <w:r>
              <w:rPr>
                <w:sz w:val="20"/>
                <w:szCs w:val="20"/>
                <w:lang w:val="es-CO"/>
              </w:rPr>
              <w:t>7</w:t>
            </w:r>
            <w:r w:rsidRPr="002E0382">
              <w:rPr>
                <w:sz w:val="20"/>
                <w:szCs w:val="20"/>
                <w:lang w:val="es-CO"/>
              </w:rPr>
              <w:t>.</w:t>
            </w:r>
            <w:r>
              <w:rPr>
                <w:sz w:val="20"/>
                <w:szCs w:val="20"/>
                <w:lang w:val="es-CO"/>
              </w:rPr>
              <w:t xml:space="preserve"> </w:t>
            </w:r>
            <w:r w:rsidRPr="002E0382">
              <w:rPr>
                <w:b w:val="0"/>
                <w:bCs w:val="0"/>
                <w:sz w:val="20"/>
                <w:szCs w:val="20"/>
                <w:lang w:val="es-CO"/>
              </w:rPr>
              <w:t>¿Cuántos niños con desnutrición aguda moderada y severa atendidos cumplieron los criterios para su recuperación, debido al Lineamiento?</w:t>
            </w:r>
          </w:p>
          <w:p w14:paraId="320A707D" w14:textId="77777777" w:rsidR="002D3199" w:rsidRPr="002E0382" w:rsidRDefault="002D3199" w:rsidP="00F16AAB">
            <w:pPr>
              <w:rPr>
                <w:b w:val="0"/>
                <w:bCs w:val="0"/>
                <w:sz w:val="20"/>
                <w:szCs w:val="20"/>
                <w:lang w:val="es-CO"/>
              </w:rPr>
            </w:pPr>
          </w:p>
          <w:p w14:paraId="558A3E21" w14:textId="77777777" w:rsidR="002D3199" w:rsidRPr="002E0382" w:rsidRDefault="002D3199" w:rsidP="00F16AAB">
            <w:pPr>
              <w:rPr>
                <w:bCs w:val="0"/>
                <w:sz w:val="20"/>
                <w:szCs w:val="20"/>
                <w:lang w:val="es-CO"/>
              </w:rPr>
            </w:pPr>
            <w:r>
              <w:rPr>
                <w:bCs w:val="0"/>
                <w:sz w:val="20"/>
                <w:szCs w:val="20"/>
                <w:lang w:val="es-CO"/>
              </w:rPr>
              <w:t>8</w:t>
            </w:r>
            <w:r w:rsidRPr="002E0382">
              <w:rPr>
                <w:bCs w:val="0"/>
                <w:sz w:val="20"/>
                <w:szCs w:val="20"/>
                <w:lang w:val="es-CO"/>
              </w:rPr>
              <w:t>.</w:t>
            </w:r>
            <w:r>
              <w:rPr>
                <w:b w:val="0"/>
                <w:bCs w:val="0"/>
                <w:sz w:val="20"/>
                <w:szCs w:val="20"/>
                <w:lang w:val="es-CO"/>
              </w:rPr>
              <w:t xml:space="preserve"> </w:t>
            </w:r>
            <w:r w:rsidRPr="002E0382">
              <w:rPr>
                <w:b w:val="0"/>
                <w:bCs w:val="0"/>
                <w:sz w:val="20"/>
                <w:szCs w:val="20"/>
                <w:lang w:val="es-CO"/>
              </w:rPr>
              <w:t>¿Cuántos niños con desnutrición aguda moderada y severa atendidos presentaron alguna mejora en el puntaje Z del indicador peso para la talla (P/T)?</w:t>
            </w:r>
          </w:p>
        </w:tc>
      </w:tr>
    </w:tbl>
    <w:p w14:paraId="3420FCA6" w14:textId="77777777" w:rsidR="002D3199" w:rsidRDefault="002D3199" w:rsidP="006E5A32">
      <w:pPr>
        <w:jc w:val="both"/>
        <w:rPr>
          <w:rFonts w:cs="Times New Roman"/>
          <w:bCs/>
          <w:lang w:val="es-CO"/>
        </w:rPr>
      </w:pPr>
    </w:p>
    <w:p w14:paraId="2176FA46" w14:textId="76642C6A" w:rsidR="00662F1B" w:rsidRDefault="006E5A32" w:rsidP="006E5A32">
      <w:pPr>
        <w:jc w:val="both"/>
        <w:rPr>
          <w:rFonts w:cs="Times New Roman"/>
          <w:bCs/>
          <w:lang w:val="es-CO"/>
        </w:rPr>
      </w:pPr>
      <w:r w:rsidRPr="00606E51">
        <w:rPr>
          <w:rFonts w:cs="Times New Roman"/>
          <w:bCs/>
          <w:lang w:val="es-CO"/>
        </w:rPr>
        <w:t xml:space="preserve">El Análisis de Costo Efectividad </w:t>
      </w:r>
      <w:r w:rsidR="00590F67" w:rsidRPr="00606E51">
        <w:rPr>
          <w:rFonts w:cs="Times New Roman"/>
          <w:bCs/>
          <w:lang w:val="es-CO"/>
        </w:rPr>
        <w:t>(</w:t>
      </w:r>
      <w:r w:rsidRPr="00606E51">
        <w:rPr>
          <w:rFonts w:cs="Times New Roman"/>
          <w:bCs/>
          <w:lang w:val="es-CO"/>
        </w:rPr>
        <w:t>ACE</w:t>
      </w:r>
      <w:r w:rsidR="00590F67" w:rsidRPr="00606E51">
        <w:rPr>
          <w:rFonts w:cs="Times New Roman"/>
          <w:b/>
          <w:bCs/>
          <w:lang w:val="es-CO"/>
        </w:rPr>
        <w:t>)</w:t>
      </w:r>
      <w:r w:rsidR="0048098C" w:rsidRPr="00606E51">
        <w:rPr>
          <w:rFonts w:cs="Times New Roman"/>
          <w:bCs/>
          <w:lang w:val="es-CO"/>
        </w:rPr>
        <w:t xml:space="preserve"> de la implementación del L</w:t>
      </w:r>
      <w:r w:rsidRPr="00606E51">
        <w:rPr>
          <w:rFonts w:cs="Times New Roman"/>
          <w:bCs/>
          <w:lang w:val="es-CO"/>
        </w:rPr>
        <w:t xml:space="preserve">ineamiento en los municipios de </w:t>
      </w:r>
      <w:r w:rsidR="000E30E9" w:rsidRPr="00606E51">
        <w:rPr>
          <w:rFonts w:cs="Times New Roman"/>
          <w:bCs/>
          <w:lang w:val="es-CO"/>
        </w:rPr>
        <w:t xml:space="preserve">Maicao, </w:t>
      </w:r>
      <w:r w:rsidRPr="00606E51">
        <w:rPr>
          <w:rFonts w:cs="Times New Roman"/>
          <w:bCs/>
          <w:lang w:val="es-CO"/>
        </w:rPr>
        <w:t xml:space="preserve">Manaure, </w:t>
      </w:r>
      <w:r w:rsidR="000E30E9" w:rsidRPr="00606E51">
        <w:rPr>
          <w:rFonts w:cs="Times New Roman"/>
          <w:bCs/>
          <w:lang w:val="es-CO"/>
        </w:rPr>
        <w:t xml:space="preserve">Riohacha y </w:t>
      </w:r>
      <w:r w:rsidRPr="00606E51">
        <w:rPr>
          <w:rFonts w:cs="Times New Roman"/>
          <w:bCs/>
          <w:lang w:val="es-CO"/>
        </w:rPr>
        <w:t>Uribia del departamento de La Guajira</w:t>
      </w:r>
      <w:r w:rsidR="000E30E9" w:rsidRPr="00606E51">
        <w:rPr>
          <w:rFonts w:cs="Times New Roman"/>
          <w:bCs/>
          <w:lang w:val="es-CO"/>
        </w:rPr>
        <w:t xml:space="preserve"> estima </w:t>
      </w:r>
      <w:r w:rsidRPr="00606E51">
        <w:rPr>
          <w:rFonts w:cs="Times New Roman"/>
          <w:bCs/>
          <w:lang w:val="es-CO"/>
        </w:rPr>
        <w:t>el costo increm</w:t>
      </w:r>
      <w:r w:rsidR="0048098C" w:rsidRPr="00606E51">
        <w:rPr>
          <w:rFonts w:cs="Times New Roman"/>
          <w:bCs/>
          <w:lang w:val="es-CO"/>
        </w:rPr>
        <w:t xml:space="preserve">ental de </w:t>
      </w:r>
      <w:r w:rsidR="00261A91" w:rsidRPr="00606E51">
        <w:rPr>
          <w:rFonts w:cs="Times New Roman"/>
          <w:bCs/>
          <w:lang w:val="es-CO"/>
        </w:rPr>
        <w:t>su</w:t>
      </w:r>
      <w:r w:rsidR="0048098C" w:rsidRPr="00606E51">
        <w:rPr>
          <w:rFonts w:cs="Times New Roman"/>
          <w:bCs/>
          <w:lang w:val="es-CO"/>
        </w:rPr>
        <w:t xml:space="preserve"> implementación </w:t>
      </w:r>
      <w:r w:rsidRPr="00606E51">
        <w:rPr>
          <w:rFonts w:cs="Times New Roman"/>
          <w:bCs/>
          <w:lang w:val="es-CO"/>
        </w:rPr>
        <w:t xml:space="preserve">y </w:t>
      </w:r>
      <w:r w:rsidR="00662F1B" w:rsidRPr="00606E51">
        <w:rPr>
          <w:rFonts w:cs="Times New Roman"/>
          <w:bCs/>
          <w:lang w:val="es-CO"/>
        </w:rPr>
        <w:t xml:space="preserve">el cambio </w:t>
      </w:r>
      <w:r w:rsidRPr="00606E51">
        <w:rPr>
          <w:rFonts w:cs="Times New Roman"/>
          <w:bCs/>
          <w:lang w:val="es-CO"/>
        </w:rPr>
        <w:t>asociad</w:t>
      </w:r>
      <w:r w:rsidR="00662F1B" w:rsidRPr="00606E51">
        <w:rPr>
          <w:rFonts w:cs="Times New Roman"/>
          <w:bCs/>
          <w:lang w:val="es-CO"/>
        </w:rPr>
        <w:t>o</w:t>
      </w:r>
      <w:r w:rsidRPr="00606E51">
        <w:rPr>
          <w:rFonts w:cs="Times New Roman"/>
          <w:bCs/>
          <w:lang w:val="es-CO"/>
        </w:rPr>
        <w:t xml:space="preserve"> en </w:t>
      </w:r>
      <w:r w:rsidR="00662F1B" w:rsidRPr="00606E51">
        <w:rPr>
          <w:rFonts w:cs="Times New Roman"/>
          <w:bCs/>
          <w:lang w:val="es-CO"/>
        </w:rPr>
        <w:t xml:space="preserve">unos </w:t>
      </w:r>
      <w:r w:rsidRPr="00606E51">
        <w:rPr>
          <w:rFonts w:cs="Times New Roman"/>
          <w:bCs/>
          <w:lang w:val="es-CO"/>
        </w:rPr>
        <w:t xml:space="preserve">indicadores </w:t>
      </w:r>
      <w:r w:rsidR="00662F1B" w:rsidRPr="00606E51">
        <w:rPr>
          <w:rFonts w:cs="Times New Roman"/>
          <w:bCs/>
          <w:lang w:val="es-CO"/>
        </w:rPr>
        <w:t xml:space="preserve">seleccionados </w:t>
      </w:r>
      <w:r w:rsidRPr="00606E51">
        <w:rPr>
          <w:rFonts w:cs="Times New Roman"/>
          <w:bCs/>
          <w:lang w:val="es-CO"/>
        </w:rPr>
        <w:t>de efectividad</w:t>
      </w:r>
      <w:r w:rsidR="000E30E9" w:rsidRPr="00606E51">
        <w:rPr>
          <w:rFonts w:cs="Times New Roman"/>
          <w:bCs/>
          <w:lang w:val="es-CO"/>
        </w:rPr>
        <w:t xml:space="preserve">, </w:t>
      </w:r>
      <w:r w:rsidR="00EE4BAF" w:rsidRPr="00606E51">
        <w:rPr>
          <w:rFonts w:cs="Times New Roman"/>
          <w:bCs/>
          <w:lang w:val="es-CO"/>
        </w:rPr>
        <w:t>considerando el manejo en el hogar en el marco de la atención extramural de las IPS de baja complejidad y la atención intrahospitalaria en IPS de mediana/alta complejidad</w:t>
      </w:r>
      <w:r w:rsidRPr="00606E51">
        <w:rPr>
          <w:rFonts w:cs="Times New Roman"/>
          <w:bCs/>
          <w:lang w:val="es-CO"/>
        </w:rPr>
        <w:t xml:space="preserve">. </w:t>
      </w:r>
    </w:p>
    <w:p w14:paraId="18E89AB3" w14:textId="3319EA8A" w:rsidR="002D3199" w:rsidRDefault="002D3199" w:rsidP="006E5A32">
      <w:pPr>
        <w:jc w:val="both"/>
        <w:rPr>
          <w:rFonts w:cs="Times New Roman"/>
          <w:bCs/>
          <w:lang w:val="es-CO"/>
        </w:rPr>
      </w:pPr>
    </w:p>
    <w:p w14:paraId="45FB92D8" w14:textId="77777777" w:rsidR="008634BA" w:rsidRPr="00606E51" w:rsidRDefault="008634BA" w:rsidP="008634BA">
      <w:pPr>
        <w:jc w:val="both"/>
        <w:rPr>
          <w:rFonts w:cs="Times New Roman"/>
          <w:bCs/>
          <w:lang w:val="es-CO"/>
        </w:rPr>
      </w:pPr>
    </w:p>
    <w:p w14:paraId="5F3D442E" w14:textId="77777777" w:rsidR="008634BA" w:rsidRDefault="008634BA" w:rsidP="008634BA">
      <w:pPr>
        <w:pStyle w:val="Heading2"/>
        <w:rPr>
          <w:lang w:val="es-CO"/>
        </w:rPr>
      </w:pPr>
      <w:bookmarkStart w:id="26" w:name="_Toc505090941"/>
      <w:r>
        <w:rPr>
          <w:lang w:val="es-CO"/>
        </w:rPr>
        <w:t>Normas y principios de la evaluación</w:t>
      </w:r>
      <w:bookmarkEnd w:id="26"/>
    </w:p>
    <w:p w14:paraId="4C6D8A9A" w14:textId="77777777" w:rsidR="008634BA" w:rsidRDefault="008634BA" w:rsidP="008634BA">
      <w:pPr>
        <w:jc w:val="both"/>
        <w:rPr>
          <w:lang w:val="es-CO"/>
        </w:rPr>
      </w:pPr>
    </w:p>
    <w:p w14:paraId="216B1362" w14:textId="77777777" w:rsidR="008634BA" w:rsidRDefault="008634BA" w:rsidP="008634BA">
      <w:pPr>
        <w:jc w:val="both"/>
        <w:rPr>
          <w:lang w:val="es-CO"/>
        </w:rPr>
      </w:pPr>
      <w:r w:rsidRPr="00606E51">
        <w:rPr>
          <w:lang w:val="es-CO"/>
        </w:rPr>
        <w:t>Para la presente evaluación, las partes interesadas han seguido muy de cerca las normas referidas a utilidad, credibilidad, independencia, ética, imparcialidad, profesionalidad y transparencia</w:t>
      </w:r>
      <w:r>
        <w:rPr>
          <w:lang w:val="es-CO"/>
        </w:rPr>
        <w:t xml:space="preserve"> establecidas en las</w:t>
      </w:r>
      <w:r w:rsidRPr="00606E51">
        <w:rPr>
          <w:lang w:val="es-CO"/>
        </w:rPr>
        <w:t xml:space="preserve"> normas y estándares de evaluación del Grupo de Evaluación de Naciones Unidas (UNEG por sus siglas en inglés)</w:t>
      </w:r>
      <w:r w:rsidRPr="00606E51">
        <w:rPr>
          <w:rStyle w:val="FootnoteReference"/>
          <w:lang w:val="es-CO"/>
        </w:rPr>
        <w:footnoteReference w:id="30"/>
      </w:r>
      <w:r>
        <w:rPr>
          <w:lang w:val="es-CO"/>
        </w:rPr>
        <w:t>.  H</w:t>
      </w:r>
      <w:r w:rsidRPr="00606E51">
        <w:rPr>
          <w:lang w:val="es-CO"/>
        </w:rPr>
        <w:t xml:space="preserve">an desarrollado su trabajo </w:t>
      </w:r>
      <w:r>
        <w:rPr>
          <w:lang w:val="es-CO"/>
        </w:rPr>
        <w:t xml:space="preserve">con el cuidado de incluir de la forma más equilibrada y participativa a todas </w:t>
      </w:r>
      <w:r w:rsidRPr="00235D4D">
        <w:rPr>
          <w:lang w:val="es-CO"/>
        </w:rPr>
        <w:t>las partes interesadas</w:t>
      </w:r>
      <w:r>
        <w:rPr>
          <w:lang w:val="es-CO"/>
        </w:rPr>
        <w:t xml:space="preserve"> en la implementación del Lineamiento, tanto en el nivel nacional como en el ámbito local, en el departamento de La Guajira.  Esto ha implicado un trabajo estrecho con el Ministerio de Salud y Protección Social, así como con las secretarías de salud territoriales y demás agentes del sistema de salud en el nivel local.  </w:t>
      </w:r>
    </w:p>
    <w:p w14:paraId="23D35D7C" w14:textId="77777777" w:rsidR="008634BA" w:rsidRDefault="008634BA" w:rsidP="008634BA">
      <w:pPr>
        <w:jc w:val="both"/>
        <w:rPr>
          <w:lang w:val="es-CO"/>
        </w:rPr>
      </w:pPr>
    </w:p>
    <w:p w14:paraId="7EB63170" w14:textId="77777777" w:rsidR="008634BA" w:rsidRDefault="008634BA" w:rsidP="008634BA">
      <w:pPr>
        <w:jc w:val="both"/>
        <w:rPr>
          <w:lang w:val="es-CO"/>
        </w:rPr>
      </w:pPr>
      <w:r w:rsidRPr="00235D4D">
        <w:rPr>
          <w:lang w:val="es-CO"/>
        </w:rPr>
        <w:t xml:space="preserve">Los resultados </w:t>
      </w:r>
      <w:r>
        <w:rPr>
          <w:lang w:val="es-CO"/>
        </w:rPr>
        <w:t xml:space="preserve">y </w:t>
      </w:r>
      <w:r w:rsidRPr="00235D4D">
        <w:rPr>
          <w:lang w:val="es-CO"/>
        </w:rPr>
        <w:t>las</w:t>
      </w:r>
      <w:r>
        <w:rPr>
          <w:lang w:val="es-CO"/>
        </w:rPr>
        <w:t xml:space="preserve"> </w:t>
      </w:r>
      <w:r w:rsidRPr="00235D4D">
        <w:rPr>
          <w:lang w:val="es-CO"/>
        </w:rPr>
        <w:t xml:space="preserve">recomendaciones de </w:t>
      </w:r>
      <w:r>
        <w:rPr>
          <w:lang w:val="es-CO"/>
        </w:rPr>
        <w:t xml:space="preserve">la evaluación </w:t>
      </w:r>
      <w:r w:rsidRPr="00235D4D">
        <w:rPr>
          <w:lang w:val="es-CO"/>
        </w:rPr>
        <w:t xml:space="preserve">se </w:t>
      </w:r>
      <w:r>
        <w:rPr>
          <w:lang w:val="es-CO"/>
        </w:rPr>
        <w:t xml:space="preserve">han generado a partir de un </w:t>
      </w:r>
      <w:r w:rsidRPr="00235D4D">
        <w:rPr>
          <w:lang w:val="es-CO"/>
        </w:rPr>
        <w:t>uso atento, explícito</w:t>
      </w:r>
      <w:r>
        <w:rPr>
          <w:lang w:val="es-CO"/>
        </w:rPr>
        <w:t xml:space="preserve"> y sensato de los mejores datos </w:t>
      </w:r>
      <w:r w:rsidRPr="00235D4D">
        <w:rPr>
          <w:lang w:val="es-CO"/>
        </w:rPr>
        <w:t>disponibles, así c</w:t>
      </w:r>
      <w:r>
        <w:rPr>
          <w:lang w:val="es-CO"/>
        </w:rPr>
        <w:t xml:space="preserve">omo de un análisis cuantitativo </w:t>
      </w:r>
      <w:r w:rsidRPr="00235D4D">
        <w:rPr>
          <w:lang w:val="es-CO"/>
        </w:rPr>
        <w:t xml:space="preserve">y cualitativo preciso de </w:t>
      </w:r>
      <w:r>
        <w:rPr>
          <w:lang w:val="es-CO"/>
        </w:rPr>
        <w:t xml:space="preserve">las evidencias disponibles en la documentación y en el trabajo en terreno. </w:t>
      </w:r>
    </w:p>
    <w:p w14:paraId="2E939C43" w14:textId="77777777" w:rsidR="008634BA" w:rsidRDefault="008634BA" w:rsidP="008634BA">
      <w:pPr>
        <w:jc w:val="both"/>
        <w:rPr>
          <w:lang w:val="es-CO"/>
        </w:rPr>
      </w:pPr>
    </w:p>
    <w:p w14:paraId="6FDE7281" w14:textId="09623D1D" w:rsidR="008634BA" w:rsidRPr="00606E51" w:rsidRDefault="008634BA" w:rsidP="008634BA">
      <w:pPr>
        <w:jc w:val="both"/>
        <w:rPr>
          <w:lang w:val="es-CO"/>
        </w:rPr>
      </w:pPr>
      <w:r w:rsidRPr="00606E51">
        <w:rPr>
          <w:lang w:val="es-CO"/>
        </w:rPr>
        <w:t>Estas normas y estándares fueron importantes para la evaluación porque definieron un marco de referencia para las competencias del equipo de trabajo, ofrecieron indicaciones concretas para cada componente de la evaluación y unas normas claras para que el trabajo tenga los mayores estándares para este tipo de documentos.</w:t>
      </w:r>
    </w:p>
    <w:p w14:paraId="2C072774" w14:textId="2390E9B3" w:rsidR="008634BA" w:rsidRPr="0022109F" w:rsidRDefault="008634BA" w:rsidP="00DD1798">
      <w:pPr>
        <w:jc w:val="both"/>
        <w:rPr>
          <w:lang w:val="es-CO"/>
        </w:rPr>
      </w:pPr>
    </w:p>
    <w:p w14:paraId="01C4BBDD" w14:textId="72ADCEF6" w:rsidR="008634BA" w:rsidRPr="00606E51" w:rsidRDefault="008634BA" w:rsidP="00720146">
      <w:pPr>
        <w:rPr>
          <w:lang w:val="es-CO"/>
        </w:rPr>
      </w:pPr>
      <w:bookmarkStart w:id="27" w:name="_Toc481101225"/>
    </w:p>
    <w:p w14:paraId="7367BB37" w14:textId="77777777" w:rsidR="008634BA" w:rsidRPr="002E0382" w:rsidRDefault="008634BA" w:rsidP="00720146">
      <w:pPr>
        <w:rPr>
          <w:lang w:val="es-CO"/>
        </w:rPr>
      </w:pPr>
    </w:p>
    <w:p w14:paraId="5E2FA3E7" w14:textId="7DFAFECB" w:rsidR="008634BA" w:rsidRPr="0022109F" w:rsidRDefault="008634BA" w:rsidP="00720146">
      <w:pPr>
        <w:rPr>
          <w:lang w:val="es-CO"/>
        </w:rPr>
      </w:pPr>
    </w:p>
    <w:p w14:paraId="0483DF4B" w14:textId="77777777" w:rsidR="00E27869" w:rsidRPr="00606E51" w:rsidRDefault="00206DA9" w:rsidP="00720146">
      <w:pPr>
        <w:pStyle w:val="Heading1"/>
        <w:rPr>
          <w:lang w:val="es-CO"/>
        </w:rPr>
      </w:pPr>
      <w:r w:rsidRPr="00720146">
        <w:rPr>
          <w:lang w:val="es-CO"/>
        </w:rPr>
        <w:br w:type="page"/>
      </w:r>
      <w:bookmarkStart w:id="28" w:name="_Toc505090942"/>
      <w:r w:rsidR="00CA2EB7" w:rsidRPr="00606E51">
        <w:rPr>
          <w:lang w:val="es-CO"/>
        </w:rPr>
        <w:lastRenderedPageBreak/>
        <w:t>Descripción de la metodología</w:t>
      </w:r>
      <w:bookmarkEnd w:id="27"/>
      <w:r w:rsidR="005C64BB" w:rsidRPr="00606E51">
        <w:rPr>
          <w:lang w:val="es-CO"/>
        </w:rPr>
        <w:t xml:space="preserve"> para la </w:t>
      </w:r>
      <w:r w:rsidR="007A7502" w:rsidRPr="00606E51">
        <w:rPr>
          <w:lang w:val="es-CO"/>
        </w:rPr>
        <w:t>evaluación del Lineamiento</w:t>
      </w:r>
      <w:bookmarkEnd w:id="28"/>
    </w:p>
    <w:p w14:paraId="3127A0E2" w14:textId="77777777" w:rsidR="00684143" w:rsidRDefault="00684143" w:rsidP="00FB078E">
      <w:pPr>
        <w:jc w:val="both"/>
        <w:rPr>
          <w:lang w:val="es-CO"/>
        </w:rPr>
      </w:pPr>
    </w:p>
    <w:p w14:paraId="5853C32F" w14:textId="77777777" w:rsidR="00195345" w:rsidRPr="00606E51" w:rsidRDefault="007F0235" w:rsidP="00FB078E">
      <w:pPr>
        <w:jc w:val="both"/>
        <w:rPr>
          <w:lang w:val="es-CO"/>
        </w:rPr>
      </w:pPr>
      <w:r w:rsidRPr="00606E51">
        <w:rPr>
          <w:lang w:val="es-CO"/>
        </w:rPr>
        <w:t xml:space="preserve">La evaluación del Lineamiento se </w:t>
      </w:r>
      <w:r w:rsidR="009E49AE" w:rsidRPr="00606E51">
        <w:rPr>
          <w:lang w:val="es-CO"/>
        </w:rPr>
        <w:t xml:space="preserve">hizo </w:t>
      </w:r>
      <w:r w:rsidRPr="00606E51">
        <w:rPr>
          <w:lang w:val="es-CO"/>
        </w:rPr>
        <w:t xml:space="preserve">de acuerdo </w:t>
      </w:r>
      <w:r w:rsidR="009E49AE" w:rsidRPr="00606E51">
        <w:rPr>
          <w:lang w:val="es-CO"/>
        </w:rPr>
        <w:t xml:space="preserve">con </w:t>
      </w:r>
      <w:r w:rsidRPr="00606E51">
        <w:rPr>
          <w:lang w:val="es-CO"/>
        </w:rPr>
        <w:t xml:space="preserve">los criterios de adherencia y de costo efectividad. </w:t>
      </w:r>
      <w:r w:rsidR="00D71875" w:rsidRPr="00606E51">
        <w:rPr>
          <w:lang w:val="es-CO"/>
        </w:rPr>
        <w:t>Estos</w:t>
      </w:r>
      <w:r w:rsidRPr="00606E51">
        <w:rPr>
          <w:lang w:val="es-CO"/>
        </w:rPr>
        <w:t xml:space="preserve"> criterio</w:t>
      </w:r>
      <w:r w:rsidR="00D71875" w:rsidRPr="00606E51">
        <w:rPr>
          <w:lang w:val="es-CO"/>
        </w:rPr>
        <w:t>s</w:t>
      </w:r>
      <w:r w:rsidRPr="00606E51">
        <w:rPr>
          <w:lang w:val="es-CO"/>
        </w:rPr>
        <w:t xml:space="preserve"> de evaluació</w:t>
      </w:r>
      <w:r w:rsidR="0050273A" w:rsidRPr="00606E51">
        <w:rPr>
          <w:lang w:val="es-CO"/>
        </w:rPr>
        <w:t>n se eligi</w:t>
      </w:r>
      <w:r w:rsidR="00D71875" w:rsidRPr="00606E51">
        <w:rPr>
          <w:lang w:val="es-CO"/>
        </w:rPr>
        <w:t>eron</w:t>
      </w:r>
      <w:r w:rsidR="0050273A" w:rsidRPr="00606E51">
        <w:rPr>
          <w:lang w:val="es-CO"/>
        </w:rPr>
        <w:t xml:space="preserve"> </w:t>
      </w:r>
      <w:r w:rsidR="00D71875" w:rsidRPr="00606E51">
        <w:rPr>
          <w:lang w:val="es-CO"/>
        </w:rPr>
        <w:t>porque el Lineamiento</w:t>
      </w:r>
      <w:r w:rsidR="00FA1B77" w:rsidRPr="00606E51">
        <w:rPr>
          <w:lang w:val="es-CO"/>
        </w:rPr>
        <w:t>,</w:t>
      </w:r>
      <w:r w:rsidR="00D71875" w:rsidRPr="00606E51">
        <w:rPr>
          <w:lang w:val="es-CO"/>
        </w:rPr>
        <w:t xml:space="preserve"> </w:t>
      </w:r>
      <w:r w:rsidR="00FA1B77" w:rsidRPr="00606E51">
        <w:rPr>
          <w:lang w:val="es-CO"/>
        </w:rPr>
        <w:t>contenido en la</w:t>
      </w:r>
      <w:r w:rsidR="00D71875" w:rsidRPr="00606E51">
        <w:rPr>
          <w:lang w:val="es-CO"/>
        </w:rPr>
        <w:t xml:space="preserve"> Resolución</w:t>
      </w:r>
      <w:r w:rsidR="00FA1B77" w:rsidRPr="00606E51">
        <w:rPr>
          <w:lang w:val="es-CO"/>
        </w:rPr>
        <w:t>,</w:t>
      </w:r>
      <w:r w:rsidR="00D71875" w:rsidRPr="00606E51">
        <w:rPr>
          <w:lang w:val="es-CO"/>
        </w:rPr>
        <w:t xml:space="preserve"> </w:t>
      </w:r>
      <w:r w:rsidR="00FA1B77" w:rsidRPr="00606E51">
        <w:rPr>
          <w:lang w:val="es-CO"/>
        </w:rPr>
        <w:t>responde</w:t>
      </w:r>
      <w:r w:rsidR="00AD6226" w:rsidRPr="00606E51">
        <w:rPr>
          <w:lang w:val="es-CO"/>
        </w:rPr>
        <w:t xml:space="preserve"> a un </w:t>
      </w:r>
      <w:r w:rsidR="00A37B48" w:rsidRPr="00606E51">
        <w:rPr>
          <w:lang w:val="es-CO"/>
        </w:rPr>
        <w:t xml:space="preserve">nuevo </w:t>
      </w:r>
      <w:r w:rsidR="00AD6226" w:rsidRPr="00606E51">
        <w:rPr>
          <w:lang w:val="es-CO"/>
        </w:rPr>
        <w:t xml:space="preserve">enfoque para el tratamiento de esta enfermedad </w:t>
      </w:r>
      <w:r w:rsidR="00B34F68" w:rsidRPr="00606E51">
        <w:rPr>
          <w:lang w:val="es-CO"/>
        </w:rPr>
        <w:t>que no hab</w:t>
      </w:r>
      <w:r w:rsidR="00FA1B77" w:rsidRPr="00606E51">
        <w:rPr>
          <w:lang w:val="es-CO"/>
        </w:rPr>
        <w:t>í</w:t>
      </w:r>
      <w:r w:rsidR="00195345" w:rsidRPr="00606E51">
        <w:rPr>
          <w:lang w:val="es-CO"/>
        </w:rPr>
        <w:t>a sido implementado en las zonas rurales dispersas del país.</w:t>
      </w:r>
      <w:r w:rsidR="00206DA9">
        <w:rPr>
          <w:lang w:val="es-CO"/>
        </w:rPr>
        <w:t xml:space="preserve">  Se hace necesario, entonces, establecer, desde ya, qué aspectos están facilitando o impidiendo la adecuada implementación del Lineamiento, así como se éste está logrando lo que se propone.</w:t>
      </w:r>
      <w:r w:rsidR="00195345" w:rsidRPr="00606E51">
        <w:rPr>
          <w:lang w:val="es-CO"/>
        </w:rPr>
        <w:t xml:space="preserve"> </w:t>
      </w:r>
      <w:r w:rsidR="00FA1B77" w:rsidRPr="00606E51">
        <w:rPr>
          <w:lang w:val="es-CO"/>
        </w:rPr>
        <w:t xml:space="preserve"> </w:t>
      </w:r>
    </w:p>
    <w:p w14:paraId="2073CE0C" w14:textId="77777777" w:rsidR="00195345" w:rsidRPr="00606E51" w:rsidRDefault="00195345" w:rsidP="00FB078E">
      <w:pPr>
        <w:jc w:val="both"/>
        <w:rPr>
          <w:lang w:val="es-CO"/>
        </w:rPr>
      </w:pPr>
    </w:p>
    <w:p w14:paraId="15B47263" w14:textId="77777777" w:rsidR="0092227C" w:rsidRPr="00606E51" w:rsidRDefault="00717D57" w:rsidP="00FB078E">
      <w:pPr>
        <w:jc w:val="both"/>
        <w:rPr>
          <w:lang w:val="es-CO"/>
        </w:rPr>
      </w:pPr>
      <w:r w:rsidRPr="00606E51">
        <w:rPr>
          <w:lang w:val="es-CO"/>
        </w:rPr>
        <w:t xml:space="preserve">Con las </w:t>
      </w:r>
      <w:r w:rsidR="00B34F68" w:rsidRPr="00606E51">
        <w:rPr>
          <w:lang w:val="es-CO"/>
        </w:rPr>
        <w:t>lecciones aprendidas,</w:t>
      </w:r>
      <w:r w:rsidRPr="00606E51">
        <w:rPr>
          <w:lang w:val="es-CO"/>
        </w:rPr>
        <w:t xml:space="preserve"> la valoración de</w:t>
      </w:r>
      <w:r w:rsidR="00B34F68" w:rsidRPr="00606E51">
        <w:rPr>
          <w:lang w:val="es-CO"/>
        </w:rPr>
        <w:t xml:space="preserve"> los costos y </w:t>
      </w:r>
      <w:r w:rsidR="00AC7034" w:rsidRPr="00606E51">
        <w:rPr>
          <w:lang w:val="es-CO"/>
        </w:rPr>
        <w:t xml:space="preserve">de </w:t>
      </w:r>
      <w:r w:rsidR="00B34F68" w:rsidRPr="00606E51">
        <w:rPr>
          <w:lang w:val="es-CO"/>
        </w:rPr>
        <w:t xml:space="preserve">la efectividad </w:t>
      </w:r>
      <w:r w:rsidR="00FB078E" w:rsidRPr="00606E51">
        <w:rPr>
          <w:lang w:val="es-CO"/>
        </w:rPr>
        <w:t xml:space="preserve">de </w:t>
      </w:r>
      <w:r w:rsidR="00B34F68" w:rsidRPr="00606E51">
        <w:rPr>
          <w:lang w:val="es-CO"/>
        </w:rPr>
        <w:t>este protocolo</w:t>
      </w:r>
      <w:r w:rsidR="00195345" w:rsidRPr="00606E51">
        <w:rPr>
          <w:lang w:val="es-CO"/>
        </w:rPr>
        <w:t>,</w:t>
      </w:r>
      <w:r w:rsidR="00B34F68" w:rsidRPr="00606E51">
        <w:rPr>
          <w:lang w:val="es-CO"/>
        </w:rPr>
        <w:t xml:space="preserve"> para </w:t>
      </w:r>
      <w:r w:rsidR="00195345" w:rsidRPr="00606E51">
        <w:rPr>
          <w:lang w:val="es-CO"/>
        </w:rPr>
        <w:t>territorios</w:t>
      </w:r>
      <w:r w:rsidR="00206DA9">
        <w:rPr>
          <w:lang w:val="es-CO"/>
        </w:rPr>
        <w:t xml:space="preserve"> como los de La Guajira (rurales dispersos con una densidad poblacional muy baja)</w:t>
      </w:r>
      <w:r w:rsidR="0054416F" w:rsidRPr="00606E51">
        <w:rPr>
          <w:lang w:val="es-CO"/>
        </w:rPr>
        <w:t>,</w:t>
      </w:r>
      <w:r w:rsidR="009F4D2C" w:rsidRPr="00606E51">
        <w:rPr>
          <w:lang w:val="es-CO"/>
        </w:rPr>
        <w:t xml:space="preserve"> ofrecen información para que e</w:t>
      </w:r>
      <w:r w:rsidR="00B34F68" w:rsidRPr="00606E51">
        <w:rPr>
          <w:lang w:val="es-CO"/>
        </w:rPr>
        <w:t xml:space="preserve">l </w:t>
      </w:r>
      <w:r w:rsidR="00343DA5" w:rsidRPr="00606E51">
        <w:rPr>
          <w:lang w:val="es-CO"/>
        </w:rPr>
        <w:t xml:space="preserve">MSPS, UNICEF, los prestadores, los </w:t>
      </w:r>
      <w:r w:rsidR="00B34F68" w:rsidRPr="00606E51">
        <w:rPr>
          <w:lang w:val="es-CO"/>
        </w:rPr>
        <w:t xml:space="preserve">aseguradores y las autoridades </w:t>
      </w:r>
      <w:r w:rsidR="00343DA5" w:rsidRPr="00606E51">
        <w:rPr>
          <w:lang w:val="es-CO"/>
        </w:rPr>
        <w:t>locales de salud</w:t>
      </w:r>
      <w:r w:rsidR="009F4D2C" w:rsidRPr="00606E51">
        <w:rPr>
          <w:lang w:val="es-CO"/>
        </w:rPr>
        <w:t xml:space="preserve"> avancen en la implementación</w:t>
      </w:r>
      <w:r w:rsidR="00B34F68" w:rsidRPr="00606E51">
        <w:rPr>
          <w:lang w:val="es-CO"/>
        </w:rPr>
        <w:t xml:space="preserve"> tanto en los municipios de La Guajira, como en el resto de departamentos priorizados en la Resolución</w:t>
      </w:r>
      <w:r w:rsidR="008340B2" w:rsidRPr="00606E51">
        <w:rPr>
          <w:lang w:val="es-CO"/>
        </w:rPr>
        <w:t>. A continuación, se describe</w:t>
      </w:r>
      <w:r w:rsidR="00FB078E" w:rsidRPr="00606E51">
        <w:rPr>
          <w:lang w:val="es-CO"/>
        </w:rPr>
        <w:t xml:space="preserve"> la metodología usada para cada criterio de evaluación. </w:t>
      </w:r>
      <w:r w:rsidR="00B34F68" w:rsidRPr="00606E51">
        <w:rPr>
          <w:lang w:val="es-CO"/>
        </w:rPr>
        <w:t xml:space="preserve"> </w:t>
      </w:r>
    </w:p>
    <w:p w14:paraId="4694F324" w14:textId="77777777" w:rsidR="00343DA5" w:rsidRPr="00606E51" w:rsidRDefault="00343DA5" w:rsidP="00FB078E">
      <w:pPr>
        <w:jc w:val="both"/>
        <w:rPr>
          <w:lang w:val="es-CO"/>
        </w:rPr>
      </w:pPr>
    </w:p>
    <w:p w14:paraId="5B40883D" w14:textId="77777777" w:rsidR="00474C7F" w:rsidRPr="00606E51" w:rsidRDefault="00F6735D" w:rsidP="008A61FD">
      <w:pPr>
        <w:pStyle w:val="Heading2"/>
        <w:rPr>
          <w:lang w:val="es-CO"/>
        </w:rPr>
      </w:pPr>
      <w:bookmarkStart w:id="29" w:name="_Toc505090943"/>
      <w:r w:rsidRPr="00606E51">
        <w:rPr>
          <w:lang w:val="es-CO"/>
        </w:rPr>
        <w:t>Metodología para</w:t>
      </w:r>
      <w:r w:rsidR="00FB078E" w:rsidRPr="00606E51">
        <w:rPr>
          <w:lang w:val="es-CO"/>
        </w:rPr>
        <w:t xml:space="preserve"> el criterio de</w:t>
      </w:r>
      <w:r w:rsidRPr="00606E51">
        <w:rPr>
          <w:lang w:val="es-CO"/>
        </w:rPr>
        <w:t xml:space="preserve"> adherencia</w:t>
      </w:r>
      <w:bookmarkEnd w:id="29"/>
    </w:p>
    <w:p w14:paraId="55B77608" w14:textId="77777777" w:rsidR="00F6735D" w:rsidRPr="00606E51" w:rsidRDefault="00F6735D" w:rsidP="00F6735D">
      <w:pPr>
        <w:rPr>
          <w:lang w:val="es-CO"/>
        </w:rPr>
      </w:pPr>
    </w:p>
    <w:p w14:paraId="7A3803FE" w14:textId="77777777" w:rsidR="000C26A8" w:rsidRPr="00720146" w:rsidRDefault="00F6735D" w:rsidP="00F6735D">
      <w:pPr>
        <w:jc w:val="both"/>
        <w:rPr>
          <w:lang w:val="es-CO"/>
        </w:rPr>
      </w:pPr>
      <w:r w:rsidRPr="00606E51">
        <w:rPr>
          <w:lang w:val="es-CO"/>
        </w:rPr>
        <w:t xml:space="preserve">Como </w:t>
      </w:r>
      <w:r w:rsidR="00F26115">
        <w:rPr>
          <w:lang w:val="es-CO"/>
        </w:rPr>
        <w:t xml:space="preserve">se indica en </w:t>
      </w:r>
      <w:r w:rsidRPr="00606E51">
        <w:rPr>
          <w:lang w:val="es-CO"/>
        </w:rPr>
        <w:t>el capítulo segundo de este informe, la expedición de la Resolución está enmarcada en una reforma importante al modelo de atención en salud, con especial atención a las zonas rurales dispersas del país. En efecto, el</w:t>
      </w:r>
      <w:r w:rsidR="006E0D2D" w:rsidRPr="00606E51">
        <w:rPr>
          <w:lang w:val="es-CO"/>
        </w:rPr>
        <w:t xml:space="preserve"> actual</w:t>
      </w:r>
      <w:r w:rsidRPr="00606E51">
        <w:rPr>
          <w:lang w:val="es-CO"/>
        </w:rPr>
        <w:t xml:space="preserve"> Plan Nacional de Desarrollo (PND) plantea “…Mejorar las condiciones de salud de la población colombiana y propiciar el goce efectivo del derecho a la salud, en condiciones de calidad, eficiencia, equidad y sostenibilidad.”</w:t>
      </w:r>
      <w:r w:rsidRPr="00606E51">
        <w:rPr>
          <w:rStyle w:val="FootnoteReference"/>
          <w:lang w:val="es-CO"/>
        </w:rPr>
        <w:footnoteReference w:id="31"/>
      </w:r>
      <w:r w:rsidR="003223C4" w:rsidRPr="00606E51">
        <w:rPr>
          <w:lang w:val="es-CO"/>
        </w:rPr>
        <w:t>, a partir de una política integral de atención en salud</w:t>
      </w:r>
      <w:r w:rsidR="00FA6CB9" w:rsidRPr="00606E51">
        <w:rPr>
          <w:lang w:val="es-CO"/>
        </w:rPr>
        <w:t xml:space="preserve"> (PAIS</w:t>
      </w:r>
      <w:r w:rsidR="00FA6CB9" w:rsidRPr="0022109F">
        <w:rPr>
          <w:lang w:val="es-CO"/>
        </w:rPr>
        <w:t>)</w:t>
      </w:r>
      <w:r w:rsidR="0014774F" w:rsidRPr="0022109F">
        <w:rPr>
          <w:rStyle w:val="FootnoteReference"/>
          <w:lang w:val="es-CO"/>
        </w:rPr>
        <w:footnoteReference w:id="32"/>
      </w:r>
      <w:r w:rsidR="00FA6CB9" w:rsidRPr="0022109F">
        <w:rPr>
          <w:lang w:val="es-CO"/>
        </w:rPr>
        <w:t xml:space="preserve">. </w:t>
      </w:r>
    </w:p>
    <w:p w14:paraId="51FE277A" w14:textId="77777777" w:rsidR="000C26A8" w:rsidRPr="00720146" w:rsidRDefault="000C26A8" w:rsidP="00F6735D">
      <w:pPr>
        <w:jc w:val="both"/>
        <w:rPr>
          <w:lang w:val="es-CO"/>
        </w:rPr>
      </w:pPr>
    </w:p>
    <w:p w14:paraId="1E3D4512" w14:textId="77777777" w:rsidR="00C054E1" w:rsidRPr="00606E51" w:rsidRDefault="00A34F9A" w:rsidP="00F6735D">
      <w:pPr>
        <w:jc w:val="both"/>
        <w:rPr>
          <w:lang w:val="es-CO"/>
        </w:rPr>
      </w:pPr>
      <w:r w:rsidRPr="00720146">
        <w:rPr>
          <w:lang w:val="es-CO"/>
        </w:rPr>
        <w:t xml:space="preserve">Para evaluar la adherencia </w:t>
      </w:r>
      <w:r w:rsidR="00100438" w:rsidRPr="00720146">
        <w:rPr>
          <w:lang w:val="es-CO"/>
        </w:rPr>
        <w:t>del Lineamiento</w:t>
      </w:r>
      <w:r w:rsidR="00DA1292" w:rsidRPr="00720146">
        <w:rPr>
          <w:lang w:val="es-CO"/>
        </w:rPr>
        <w:t xml:space="preserve"> </w:t>
      </w:r>
      <w:r w:rsidR="001B29FF" w:rsidRPr="00720146">
        <w:rPr>
          <w:lang w:val="es-CO"/>
        </w:rPr>
        <w:t>contenido en la Resolución es indispensable hacer uso de</w:t>
      </w:r>
      <w:r w:rsidR="00DA1292" w:rsidRPr="00720146">
        <w:rPr>
          <w:lang w:val="es-CO"/>
        </w:rPr>
        <w:t xml:space="preserve"> </w:t>
      </w:r>
      <w:r w:rsidR="001B29FF" w:rsidRPr="00720146">
        <w:rPr>
          <w:lang w:val="es-CO"/>
        </w:rPr>
        <w:t xml:space="preserve">la </w:t>
      </w:r>
      <w:r w:rsidR="00DA1292" w:rsidRPr="00720146">
        <w:rPr>
          <w:lang w:val="es-CO"/>
        </w:rPr>
        <w:t>política PAIS y del modelo MIAS</w:t>
      </w:r>
      <w:r w:rsidR="00DA1292" w:rsidRPr="0022109F">
        <w:rPr>
          <w:lang w:val="es-CO"/>
        </w:rPr>
        <w:t xml:space="preserve"> </w:t>
      </w:r>
      <w:r w:rsidR="001B29FF" w:rsidRPr="00720146">
        <w:rPr>
          <w:lang w:val="es-CO"/>
        </w:rPr>
        <w:t>porque estos actos administrativos informan la nueva forma de operación tanto del aseguramiento como de</w:t>
      </w:r>
      <w:r w:rsidR="00CC60B1" w:rsidRPr="00720146">
        <w:rPr>
          <w:lang w:val="es-CO"/>
        </w:rPr>
        <w:t xml:space="preserve"> la atención a la </w:t>
      </w:r>
      <w:r w:rsidR="001B29FF" w:rsidRPr="00720146">
        <w:rPr>
          <w:lang w:val="es-CO"/>
        </w:rPr>
        <w:t xml:space="preserve">población rural dispersa del país. </w:t>
      </w:r>
      <w:r w:rsidR="009C4453" w:rsidRPr="00720146">
        <w:rPr>
          <w:lang w:val="es-CO"/>
        </w:rPr>
        <w:t>De esta manera</w:t>
      </w:r>
      <w:r w:rsidR="00A0502F" w:rsidRPr="00720146">
        <w:rPr>
          <w:lang w:val="es-CO"/>
        </w:rPr>
        <w:t>,</w:t>
      </w:r>
      <w:r w:rsidR="009C4453" w:rsidRPr="00720146">
        <w:rPr>
          <w:lang w:val="es-CO"/>
        </w:rPr>
        <w:t xml:space="preserve"> </w:t>
      </w:r>
      <w:r w:rsidR="00A0502F" w:rsidRPr="00720146">
        <w:rPr>
          <w:lang w:val="es-CO"/>
        </w:rPr>
        <w:t xml:space="preserve">el tratamiento de </w:t>
      </w:r>
      <w:r w:rsidR="001B29FF" w:rsidRPr="00720146">
        <w:rPr>
          <w:lang w:val="es-CO"/>
        </w:rPr>
        <w:t>patologías</w:t>
      </w:r>
      <w:r w:rsidR="00A0502F" w:rsidRPr="00720146">
        <w:rPr>
          <w:lang w:val="es-CO"/>
        </w:rPr>
        <w:t xml:space="preserve"> como la</w:t>
      </w:r>
      <w:r w:rsidR="001B29FF" w:rsidRPr="00720146">
        <w:rPr>
          <w:lang w:val="es-CO"/>
        </w:rPr>
        <w:t xml:space="preserve"> </w:t>
      </w:r>
      <w:r w:rsidR="00CC60B1" w:rsidRPr="00720146">
        <w:rPr>
          <w:lang w:val="es-CO"/>
        </w:rPr>
        <w:t xml:space="preserve">desnutrición </w:t>
      </w:r>
      <w:r w:rsidR="009E49AE" w:rsidRPr="00720146">
        <w:rPr>
          <w:lang w:val="es-CO"/>
        </w:rPr>
        <w:t xml:space="preserve">aguda </w:t>
      </w:r>
      <w:r w:rsidR="00A0502F" w:rsidRPr="00720146">
        <w:rPr>
          <w:lang w:val="es-CO"/>
        </w:rPr>
        <w:t xml:space="preserve">en los municipios objeto de esta evaluación requiere una nueva aproximación de los roles de </w:t>
      </w:r>
      <w:r w:rsidR="00CC60B1" w:rsidRPr="00720146">
        <w:rPr>
          <w:lang w:val="es-CO"/>
        </w:rPr>
        <w:t>cada uno los actores</w:t>
      </w:r>
      <w:r w:rsidR="009E49AE" w:rsidRPr="00720146">
        <w:rPr>
          <w:lang w:val="es-CO"/>
        </w:rPr>
        <w:t xml:space="preserve"> </w:t>
      </w:r>
      <w:r w:rsidR="00CC60B1" w:rsidRPr="00720146">
        <w:rPr>
          <w:lang w:val="es-CO"/>
        </w:rPr>
        <w:t>del sistema de salud</w:t>
      </w:r>
      <w:r w:rsidR="00A0502F" w:rsidRPr="0022109F">
        <w:rPr>
          <w:rStyle w:val="FootnoteReference"/>
          <w:lang w:val="es-CO"/>
        </w:rPr>
        <w:footnoteReference w:id="33"/>
      </w:r>
      <w:r w:rsidR="00A0502F" w:rsidRPr="0022109F">
        <w:rPr>
          <w:lang w:val="es-CO"/>
        </w:rPr>
        <w:t>.</w:t>
      </w:r>
    </w:p>
    <w:p w14:paraId="2F8F7D89" w14:textId="77777777" w:rsidR="005C1061" w:rsidRPr="00606E51" w:rsidRDefault="005C1061" w:rsidP="00F6735D">
      <w:pPr>
        <w:jc w:val="both"/>
        <w:rPr>
          <w:lang w:val="es-CO"/>
        </w:rPr>
      </w:pPr>
    </w:p>
    <w:p w14:paraId="2ECFBAE0" w14:textId="77777777" w:rsidR="005C1061" w:rsidRPr="00606E51" w:rsidRDefault="006F7650" w:rsidP="002E5879">
      <w:pPr>
        <w:jc w:val="both"/>
        <w:rPr>
          <w:lang w:val="es-CO"/>
        </w:rPr>
      </w:pPr>
      <w:r w:rsidRPr="00606E51">
        <w:rPr>
          <w:lang w:val="es-CO"/>
        </w:rPr>
        <w:t xml:space="preserve">En </w:t>
      </w:r>
      <w:r w:rsidR="00CC60B1" w:rsidRPr="00606E51">
        <w:rPr>
          <w:lang w:val="es-CO"/>
        </w:rPr>
        <w:t xml:space="preserve">este marco, se </w:t>
      </w:r>
      <w:r w:rsidRPr="00606E51">
        <w:rPr>
          <w:lang w:val="es-CO"/>
        </w:rPr>
        <w:t xml:space="preserve">priorizó el diseño y aplicación de </w:t>
      </w:r>
      <w:r w:rsidR="00CC60B1" w:rsidRPr="00606E51">
        <w:rPr>
          <w:lang w:val="es-CO"/>
        </w:rPr>
        <w:t>instrumentos cualitativos de recolección de información para indagar la forma e</w:t>
      </w:r>
      <w:r w:rsidR="00A0502F" w:rsidRPr="00606E51">
        <w:rPr>
          <w:lang w:val="es-CO"/>
        </w:rPr>
        <w:t>n la cual las</w:t>
      </w:r>
      <w:r w:rsidR="006941B5" w:rsidRPr="00606E51">
        <w:rPr>
          <w:lang w:val="es-CO"/>
        </w:rPr>
        <w:t xml:space="preserve"> instrucciones</w:t>
      </w:r>
      <w:r w:rsidR="00A0502F" w:rsidRPr="00606E51">
        <w:rPr>
          <w:lang w:val="es-CO"/>
        </w:rPr>
        <w:t xml:space="preserve"> contenidas en la Resolució</w:t>
      </w:r>
      <w:r w:rsidR="001606BA" w:rsidRPr="00606E51">
        <w:rPr>
          <w:lang w:val="es-CO"/>
        </w:rPr>
        <w:t>n, de la cual el</w:t>
      </w:r>
      <w:r w:rsidR="00A0502F" w:rsidRPr="00606E51">
        <w:rPr>
          <w:lang w:val="es-CO"/>
        </w:rPr>
        <w:t xml:space="preserve"> Lineamiento es parte integral,</w:t>
      </w:r>
      <w:r w:rsidR="006941B5" w:rsidRPr="00606E51">
        <w:rPr>
          <w:lang w:val="es-CO"/>
        </w:rPr>
        <w:t xml:space="preserve"> son</w:t>
      </w:r>
      <w:r w:rsidR="00CC60B1" w:rsidRPr="00606E51">
        <w:rPr>
          <w:lang w:val="es-CO"/>
        </w:rPr>
        <w:t xml:space="preserve"> </w:t>
      </w:r>
      <w:r w:rsidR="009E49AE" w:rsidRPr="00606E51">
        <w:rPr>
          <w:lang w:val="es-CO"/>
        </w:rPr>
        <w:t xml:space="preserve">aplicadas </w:t>
      </w:r>
      <w:r w:rsidR="00CC60B1" w:rsidRPr="00606E51">
        <w:rPr>
          <w:lang w:val="es-CO"/>
        </w:rPr>
        <w:t xml:space="preserve">en los municipios objeto de esta evaluación. </w:t>
      </w:r>
      <w:r w:rsidR="00051AA7" w:rsidRPr="00606E51">
        <w:rPr>
          <w:lang w:val="es-CO"/>
        </w:rPr>
        <w:t>De esta manera, e</w:t>
      </w:r>
      <w:r w:rsidR="00CC60B1" w:rsidRPr="00606E51">
        <w:rPr>
          <w:lang w:val="es-CO"/>
        </w:rPr>
        <w:t xml:space="preserve">stos instrumentos de recolección de información </w:t>
      </w:r>
      <w:r w:rsidR="001606BA" w:rsidRPr="00606E51">
        <w:rPr>
          <w:lang w:val="es-CO"/>
        </w:rPr>
        <w:t>permiten</w:t>
      </w:r>
      <w:r w:rsidRPr="00606E51">
        <w:rPr>
          <w:lang w:val="es-CO"/>
        </w:rPr>
        <w:t xml:space="preserve"> caracterizar </w:t>
      </w:r>
      <w:r w:rsidR="00CC60B1" w:rsidRPr="00606E51">
        <w:rPr>
          <w:lang w:val="es-CO"/>
        </w:rPr>
        <w:t xml:space="preserve">las </w:t>
      </w:r>
      <w:r w:rsidR="00A0502F" w:rsidRPr="00606E51">
        <w:rPr>
          <w:lang w:val="es-CO"/>
        </w:rPr>
        <w:t>brechas</w:t>
      </w:r>
      <w:r w:rsidRPr="00606E51">
        <w:rPr>
          <w:lang w:val="es-CO"/>
        </w:rPr>
        <w:t xml:space="preserve"> en la </w:t>
      </w:r>
      <w:r w:rsidR="00CC60B1" w:rsidRPr="00606E51">
        <w:rPr>
          <w:lang w:val="es-CO"/>
        </w:rPr>
        <w:t>implementación de la Resolución</w:t>
      </w:r>
      <w:r w:rsidR="00051AA7" w:rsidRPr="00606E51">
        <w:rPr>
          <w:lang w:val="es-CO"/>
        </w:rPr>
        <w:t xml:space="preserve"> y conocer </w:t>
      </w:r>
      <w:r w:rsidR="00CC60B1" w:rsidRPr="00606E51">
        <w:rPr>
          <w:lang w:val="es-CO"/>
        </w:rPr>
        <w:t>los logros, los retos y la</w:t>
      </w:r>
      <w:r w:rsidR="001606BA" w:rsidRPr="00606E51">
        <w:rPr>
          <w:lang w:val="es-CO"/>
        </w:rPr>
        <w:t xml:space="preserve">s lecciones aprendidas de los </w:t>
      </w:r>
      <w:r w:rsidR="00CC60B1" w:rsidRPr="00606E51">
        <w:rPr>
          <w:lang w:val="es-CO"/>
        </w:rPr>
        <w:t>actores</w:t>
      </w:r>
      <w:r w:rsidR="001606BA" w:rsidRPr="00606E51">
        <w:rPr>
          <w:lang w:val="es-CO"/>
        </w:rPr>
        <w:t xml:space="preserve"> </w:t>
      </w:r>
      <w:r w:rsidR="00CC60B1" w:rsidRPr="00606E51">
        <w:rPr>
          <w:lang w:val="es-CO"/>
        </w:rPr>
        <w:t xml:space="preserve">del sistema de salud en los municipios evaluados. </w:t>
      </w:r>
    </w:p>
    <w:p w14:paraId="7240EF80" w14:textId="77777777" w:rsidR="005C1061" w:rsidRPr="00606E51" w:rsidRDefault="005C1061" w:rsidP="002E5879">
      <w:pPr>
        <w:jc w:val="both"/>
        <w:rPr>
          <w:lang w:val="es-CO"/>
        </w:rPr>
      </w:pPr>
    </w:p>
    <w:p w14:paraId="4030F052" w14:textId="77777777" w:rsidR="002E5879" w:rsidRPr="00606E51" w:rsidRDefault="0044146B" w:rsidP="002E5879">
      <w:pPr>
        <w:jc w:val="both"/>
        <w:rPr>
          <w:lang w:val="es-CO"/>
        </w:rPr>
      </w:pPr>
      <w:r w:rsidRPr="00606E51">
        <w:rPr>
          <w:lang w:val="es-CO"/>
        </w:rPr>
        <w:t>Adicionalmente, l</w:t>
      </w:r>
      <w:r w:rsidR="00C054E1" w:rsidRPr="00606E51">
        <w:rPr>
          <w:lang w:val="es-CO"/>
        </w:rPr>
        <w:t>a a</w:t>
      </w:r>
      <w:r w:rsidRPr="00606E51">
        <w:rPr>
          <w:lang w:val="es-CO"/>
        </w:rPr>
        <w:t>dherencia</w:t>
      </w:r>
      <w:r w:rsidR="00C054E1" w:rsidRPr="00606E51">
        <w:rPr>
          <w:lang w:val="es-CO"/>
        </w:rPr>
        <w:t xml:space="preserve"> del Lineamiento</w:t>
      </w:r>
      <w:r w:rsidRPr="00606E51">
        <w:rPr>
          <w:lang w:val="es-CO"/>
        </w:rPr>
        <w:t xml:space="preserve">, en términos del alcance descrito en la sección </w:t>
      </w:r>
      <w:r w:rsidRPr="00606E51">
        <w:rPr>
          <w:lang w:val="es-CO"/>
        </w:rPr>
        <w:fldChar w:fldCharType="begin"/>
      </w:r>
      <w:r w:rsidRPr="00606E51">
        <w:rPr>
          <w:lang w:val="es-CO"/>
        </w:rPr>
        <w:instrText xml:space="preserve"> REF _Ref486283134 \r \h </w:instrText>
      </w:r>
      <w:r w:rsidRPr="00606E51">
        <w:rPr>
          <w:lang w:val="es-CO"/>
        </w:rPr>
      </w:r>
      <w:r w:rsidRPr="00606E51">
        <w:rPr>
          <w:lang w:val="es-CO"/>
        </w:rPr>
        <w:fldChar w:fldCharType="separate"/>
      </w:r>
      <w:r w:rsidRPr="00606E51">
        <w:rPr>
          <w:lang w:val="es-CO"/>
        </w:rPr>
        <w:t>2.2.1</w:t>
      </w:r>
      <w:r w:rsidRPr="00606E51">
        <w:rPr>
          <w:lang w:val="es-CO"/>
        </w:rPr>
        <w:fldChar w:fldCharType="end"/>
      </w:r>
      <w:r w:rsidRPr="00606E51">
        <w:rPr>
          <w:lang w:val="es-CO"/>
        </w:rPr>
        <w:t>, usa</w:t>
      </w:r>
      <w:r w:rsidR="00C054E1" w:rsidRPr="00606E51">
        <w:rPr>
          <w:lang w:val="es-CO"/>
        </w:rPr>
        <w:t xml:space="preserve"> los resultados</w:t>
      </w:r>
      <w:r w:rsidR="00A759AA" w:rsidRPr="00606E51">
        <w:rPr>
          <w:lang w:val="es-CO"/>
        </w:rPr>
        <w:t xml:space="preserve"> cuantitativos</w:t>
      </w:r>
      <w:r w:rsidR="00C054E1" w:rsidRPr="00606E51">
        <w:rPr>
          <w:lang w:val="es-CO"/>
        </w:rPr>
        <w:t xml:space="preserve"> de efectividad</w:t>
      </w:r>
      <w:r w:rsidRPr="00606E51">
        <w:rPr>
          <w:lang w:val="es-CO"/>
        </w:rPr>
        <w:t>,</w:t>
      </w:r>
      <w:r w:rsidR="00C054E1" w:rsidRPr="00606E51">
        <w:rPr>
          <w:lang w:val="es-CO"/>
        </w:rPr>
        <w:t xml:space="preserve"> cuya metodología se describe</w:t>
      </w:r>
      <w:r w:rsidRPr="00606E51">
        <w:rPr>
          <w:lang w:val="es-CO"/>
        </w:rPr>
        <w:t xml:space="preserve"> en la </w:t>
      </w:r>
      <w:r w:rsidRPr="00606E51">
        <w:rPr>
          <w:lang w:val="es-CO"/>
        </w:rPr>
        <w:fldChar w:fldCharType="begin"/>
      </w:r>
      <w:r w:rsidRPr="00606E51">
        <w:rPr>
          <w:lang w:val="es-CO"/>
        </w:rPr>
        <w:instrText xml:space="preserve"> REF _Ref479152329 \r \h </w:instrText>
      </w:r>
      <w:r w:rsidRPr="00606E51">
        <w:rPr>
          <w:lang w:val="es-CO"/>
        </w:rPr>
      </w:r>
      <w:r w:rsidRPr="00606E51">
        <w:rPr>
          <w:lang w:val="es-CO"/>
        </w:rPr>
        <w:fldChar w:fldCharType="separate"/>
      </w:r>
      <w:r w:rsidRPr="00606E51">
        <w:rPr>
          <w:lang w:val="es-CO"/>
        </w:rPr>
        <w:t>4.3</w:t>
      </w:r>
      <w:r w:rsidRPr="00606E51">
        <w:rPr>
          <w:lang w:val="es-CO"/>
        </w:rPr>
        <w:fldChar w:fldCharType="end"/>
      </w:r>
      <w:r w:rsidR="005C1061" w:rsidRPr="00606E51">
        <w:rPr>
          <w:lang w:val="es-CO"/>
        </w:rPr>
        <w:t xml:space="preserve">. </w:t>
      </w:r>
      <w:r w:rsidR="00C054E1" w:rsidRPr="00606E51">
        <w:rPr>
          <w:lang w:val="es-CO"/>
        </w:rPr>
        <w:t xml:space="preserve">En resumen, </w:t>
      </w:r>
      <w:r w:rsidR="00C054E1" w:rsidRPr="00606E51">
        <w:rPr>
          <w:lang w:val="es-CO"/>
        </w:rPr>
        <w:lastRenderedPageBreak/>
        <w:t>el criterio de</w:t>
      </w:r>
      <w:r w:rsidR="00510672" w:rsidRPr="00606E51">
        <w:rPr>
          <w:lang w:val="es-CO"/>
        </w:rPr>
        <w:t xml:space="preserve"> evaluación de</w:t>
      </w:r>
      <w:r w:rsidR="00C054E1" w:rsidRPr="00606E51">
        <w:rPr>
          <w:lang w:val="es-CO"/>
        </w:rPr>
        <w:t xml:space="preserve"> adherencia usa una metodología mixta que integra una revisión documental</w:t>
      </w:r>
      <w:r w:rsidR="005C1061" w:rsidRPr="00606E51">
        <w:rPr>
          <w:lang w:val="es-CO"/>
        </w:rPr>
        <w:t xml:space="preserve"> de la reforma al sistema de salud</w:t>
      </w:r>
      <w:r w:rsidR="00C054E1" w:rsidRPr="00606E51">
        <w:rPr>
          <w:lang w:val="es-CO"/>
        </w:rPr>
        <w:t xml:space="preserve">, unos instrumentos cualitativos </w:t>
      </w:r>
      <w:r w:rsidR="00A90B38" w:rsidRPr="00606E51">
        <w:rPr>
          <w:lang w:val="es-CO"/>
        </w:rPr>
        <w:t xml:space="preserve">y los datos </w:t>
      </w:r>
      <w:r w:rsidR="006F7650" w:rsidRPr="00606E51">
        <w:rPr>
          <w:lang w:val="es-CO"/>
        </w:rPr>
        <w:t xml:space="preserve">cuantitativos </w:t>
      </w:r>
      <w:r w:rsidR="00A90B38" w:rsidRPr="00606E51">
        <w:rPr>
          <w:lang w:val="es-CO"/>
        </w:rPr>
        <w:t>de efectividad</w:t>
      </w:r>
      <w:r w:rsidR="00F26115">
        <w:rPr>
          <w:lang w:val="es-CO"/>
        </w:rPr>
        <w:t xml:space="preserve"> (a mayor efectividad es razonable suponer una mejor adherencia terapéutica.)</w:t>
      </w:r>
    </w:p>
    <w:p w14:paraId="30804624" w14:textId="77777777" w:rsidR="00806C94" w:rsidRPr="00606E51" w:rsidRDefault="00806C94" w:rsidP="007E5E78">
      <w:pPr>
        <w:jc w:val="both"/>
        <w:rPr>
          <w:rFonts w:cs="Times New Roman"/>
          <w:lang w:val="es-CO"/>
        </w:rPr>
      </w:pPr>
    </w:p>
    <w:p w14:paraId="440FB070" w14:textId="77777777" w:rsidR="009F791B" w:rsidRPr="00606E51" w:rsidRDefault="00AA3040" w:rsidP="00997568">
      <w:pPr>
        <w:pStyle w:val="Heading3"/>
        <w:rPr>
          <w:lang w:val="es-CO"/>
        </w:rPr>
      </w:pPr>
      <w:bookmarkStart w:id="30" w:name="_Toc505090944"/>
      <w:r w:rsidRPr="00606E51">
        <w:rPr>
          <w:lang w:val="es-CO"/>
        </w:rPr>
        <w:t xml:space="preserve">Instrumentos </w:t>
      </w:r>
      <w:r w:rsidR="000D1F1E" w:rsidRPr="00606E51">
        <w:rPr>
          <w:lang w:val="es-CO"/>
        </w:rPr>
        <w:t>cualitativos para la recolección de informació</w:t>
      </w:r>
      <w:r w:rsidR="009F791B" w:rsidRPr="00606E51">
        <w:rPr>
          <w:lang w:val="es-CO"/>
        </w:rPr>
        <w:t>n</w:t>
      </w:r>
      <w:bookmarkEnd w:id="30"/>
    </w:p>
    <w:p w14:paraId="28F09EF7" w14:textId="77777777" w:rsidR="009E3DFB" w:rsidRPr="00606E51" w:rsidRDefault="009E3DFB" w:rsidP="00F20D82">
      <w:pPr>
        <w:jc w:val="both"/>
        <w:rPr>
          <w:lang w:val="es-CO"/>
        </w:rPr>
      </w:pPr>
    </w:p>
    <w:p w14:paraId="320F413F" w14:textId="77777777" w:rsidR="00806C94" w:rsidRPr="00606E51" w:rsidRDefault="00806C94" w:rsidP="00E90205">
      <w:pPr>
        <w:jc w:val="both"/>
        <w:rPr>
          <w:rFonts w:cs="Times New Roman"/>
          <w:bCs/>
          <w:lang w:val="es-CO"/>
        </w:rPr>
      </w:pPr>
      <w:r w:rsidRPr="00606E51">
        <w:rPr>
          <w:lang w:val="es-CO"/>
        </w:rPr>
        <w:t xml:space="preserve">Los resultados de </w:t>
      </w:r>
      <w:r w:rsidRPr="00606E51">
        <w:rPr>
          <w:rFonts w:cs="Times New Roman"/>
          <w:bCs/>
          <w:lang w:val="es-CO"/>
        </w:rPr>
        <w:t>adherencia se logran a partir de la observación, los resultados de efectividad del tratamiento y la información cualitativa recolectada en las salidas de campo en los cuatro municipios de La Guajira objeto de la evaluación.</w:t>
      </w:r>
      <w:r w:rsidR="00130F99">
        <w:rPr>
          <w:rStyle w:val="FootnoteReference"/>
          <w:rFonts w:cs="Times New Roman"/>
          <w:bCs/>
          <w:lang w:val="es-CO"/>
        </w:rPr>
        <w:footnoteReference w:id="34"/>
      </w:r>
      <w:r w:rsidRPr="00606E51">
        <w:rPr>
          <w:rFonts w:cs="Times New Roman"/>
          <w:bCs/>
          <w:lang w:val="es-CO"/>
        </w:rPr>
        <w:t xml:space="preserve"> </w:t>
      </w:r>
      <w:r w:rsidR="0023035D">
        <w:rPr>
          <w:rFonts w:cs="Times New Roman"/>
          <w:bCs/>
          <w:lang w:val="es-CO"/>
        </w:rPr>
        <w:t xml:space="preserve"> </w:t>
      </w:r>
      <w:r w:rsidRPr="00606E51">
        <w:rPr>
          <w:rFonts w:cs="Times New Roman"/>
          <w:bCs/>
          <w:lang w:val="es-CO"/>
        </w:rPr>
        <w:t xml:space="preserve">Se realizaron </w:t>
      </w:r>
      <w:r w:rsidRPr="00720146">
        <w:rPr>
          <w:rFonts w:cs="Times New Roman"/>
          <w:bCs/>
          <w:lang w:val="es-CO"/>
        </w:rPr>
        <w:t>entrevistas semi-estructuradas y grupos de discusión dirigida con el MSPS</w:t>
      </w:r>
      <w:r w:rsidRPr="0022109F">
        <w:rPr>
          <w:rFonts w:cs="Times New Roman"/>
          <w:bCs/>
          <w:lang w:val="es-CO"/>
        </w:rPr>
        <w:t>,</w:t>
      </w:r>
      <w:r w:rsidRPr="00606E51">
        <w:rPr>
          <w:rFonts w:cs="Times New Roman"/>
          <w:bCs/>
          <w:lang w:val="es-CO"/>
        </w:rPr>
        <w:t xml:space="preserve"> las secretarias de salud departamental y municipal, los prestadores, los aseguradores y los promotores en salud.</w:t>
      </w:r>
    </w:p>
    <w:p w14:paraId="0E46EDB9" w14:textId="77777777" w:rsidR="00806C94" w:rsidRPr="00606E51" w:rsidRDefault="00806C94" w:rsidP="00E90205">
      <w:pPr>
        <w:jc w:val="both"/>
        <w:rPr>
          <w:rFonts w:cs="Times New Roman"/>
          <w:bCs/>
          <w:lang w:val="es-CO"/>
        </w:rPr>
      </w:pPr>
    </w:p>
    <w:p w14:paraId="521A91E5" w14:textId="77777777" w:rsidR="00F46F01" w:rsidRPr="00606E51" w:rsidRDefault="002E7684" w:rsidP="00E90205">
      <w:pPr>
        <w:jc w:val="both"/>
        <w:rPr>
          <w:lang w:val="es-CO"/>
        </w:rPr>
      </w:pPr>
      <w:r w:rsidRPr="00606E51">
        <w:rPr>
          <w:lang w:val="es-CO"/>
        </w:rPr>
        <w:t xml:space="preserve">Para recolectar la información se utilizó una </w:t>
      </w:r>
      <w:r w:rsidR="009313AB" w:rsidRPr="00720146">
        <w:rPr>
          <w:lang w:val="es-CO"/>
        </w:rPr>
        <w:t xml:space="preserve">muestra </w:t>
      </w:r>
      <w:r w:rsidR="00130F99" w:rsidRPr="00720146">
        <w:rPr>
          <w:lang w:val="es-CO"/>
        </w:rPr>
        <w:t>indicativa (</w:t>
      </w:r>
      <w:r w:rsidR="009313AB" w:rsidRPr="00720146">
        <w:rPr>
          <w:lang w:val="es-CO"/>
        </w:rPr>
        <w:t>no probabilística</w:t>
      </w:r>
      <w:r w:rsidR="00130F99" w:rsidRPr="0022109F">
        <w:rPr>
          <w:lang w:val="es-CO"/>
        </w:rPr>
        <w:t>)</w:t>
      </w:r>
      <w:r w:rsidR="009313AB" w:rsidRPr="00720146">
        <w:rPr>
          <w:lang w:val="es-CO"/>
        </w:rPr>
        <w:t xml:space="preserve">, </w:t>
      </w:r>
      <w:r w:rsidR="009313AB" w:rsidRPr="00606E51">
        <w:rPr>
          <w:lang w:val="es-CO"/>
        </w:rPr>
        <w:t xml:space="preserve">dado que </w:t>
      </w:r>
      <w:r w:rsidRPr="00606E51">
        <w:rPr>
          <w:lang w:val="es-CO"/>
        </w:rPr>
        <w:t>la escogencia de lo</w:t>
      </w:r>
      <w:r w:rsidR="00806C94" w:rsidRPr="00606E51">
        <w:rPr>
          <w:lang w:val="es-CO"/>
        </w:rPr>
        <w:t>s actores</w:t>
      </w:r>
      <w:r w:rsidRPr="00606E51">
        <w:rPr>
          <w:lang w:val="es-CO"/>
        </w:rPr>
        <w:t xml:space="preserve"> entrevistados se realizó </w:t>
      </w:r>
      <w:r w:rsidR="00F46F01" w:rsidRPr="00606E51">
        <w:rPr>
          <w:lang w:val="es-CO"/>
        </w:rPr>
        <w:t>a partir de la estructura de la Resolución</w:t>
      </w:r>
      <w:r w:rsidR="00702BB0" w:rsidRPr="00606E51">
        <w:rPr>
          <w:lang w:val="es-CO"/>
        </w:rPr>
        <w:t xml:space="preserve"> </w:t>
      </w:r>
      <w:r w:rsidR="00666CC9" w:rsidRPr="00606E51">
        <w:rPr>
          <w:lang w:val="es-CO"/>
        </w:rPr>
        <w:t>y</w:t>
      </w:r>
      <w:r w:rsidR="00F46F01" w:rsidRPr="00606E51">
        <w:rPr>
          <w:lang w:val="es-CO"/>
        </w:rPr>
        <w:t xml:space="preserve"> </w:t>
      </w:r>
      <w:r w:rsidRPr="00606E51">
        <w:rPr>
          <w:lang w:val="es-CO"/>
        </w:rPr>
        <w:t>de acuerdo a la disponibilidad de cada uno de los</w:t>
      </w:r>
      <w:r w:rsidR="009313AB" w:rsidRPr="00606E51">
        <w:rPr>
          <w:lang w:val="es-CO"/>
        </w:rPr>
        <w:t xml:space="preserve"> participantes.</w:t>
      </w:r>
      <w:r w:rsidRPr="00606E51">
        <w:rPr>
          <w:lang w:val="es-CO"/>
        </w:rPr>
        <w:t xml:space="preserve"> Se utilizaron </w:t>
      </w:r>
      <w:r w:rsidRPr="00720146">
        <w:rPr>
          <w:lang w:val="es-CO"/>
        </w:rPr>
        <w:t>entrevistas semi-estructuradas</w:t>
      </w:r>
      <w:r w:rsidR="00E90205" w:rsidRPr="0022109F">
        <w:rPr>
          <w:lang w:val="es-CO"/>
        </w:rPr>
        <w:t xml:space="preserve"> (ver </w:t>
      </w:r>
      <w:r w:rsidR="00E90205" w:rsidRPr="00720146">
        <w:rPr>
          <w:lang w:val="es-CO"/>
        </w:rPr>
        <w:fldChar w:fldCharType="begin"/>
      </w:r>
      <w:r w:rsidR="00E90205" w:rsidRPr="00720146">
        <w:rPr>
          <w:lang w:val="es-CO"/>
        </w:rPr>
        <w:instrText xml:space="preserve"> REF _Ref483517111 \h </w:instrText>
      </w:r>
      <w:r w:rsidR="00E90205" w:rsidRPr="00720146">
        <w:rPr>
          <w:lang w:val="es-CO"/>
        </w:rPr>
      </w:r>
      <w:r w:rsidR="00E90205" w:rsidRPr="00720146">
        <w:rPr>
          <w:lang w:val="es-CO"/>
        </w:rPr>
        <w:fldChar w:fldCharType="separate"/>
      </w:r>
      <w:r w:rsidR="00E90205" w:rsidRPr="00720146">
        <w:rPr>
          <w:lang w:val="es-CO"/>
        </w:rPr>
        <w:t>Cuadro 4</w:t>
      </w:r>
      <w:r w:rsidR="00E90205" w:rsidRPr="00720146">
        <w:rPr>
          <w:lang w:val="es-CO"/>
        </w:rPr>
        <w:noBreakHyphen/>
        <w:t>1</w:t>
      </w:r>
      <w:r w:rsidR="00E90205" w:rsidRPr="00720146">
        <w:rPr>
          <w:lang w:val="es-CO"/>
        </w:rPr>
        <w:fldChar w:fldCharType="end"/>
      </w:r>
      <w:r w:rsidR="00E90205" w:rsidRPr="0022109F">
        <w:rPr>
          <w:lang w:val="es-CO"/>
        </w:rPr>
        <w:t>)</w:t>
      </w:r>
      <w:r w:rsidR="009E466E" w:rsidRPr="00720146">
        <w:rPr>
          <w:lang w:val="es-CO"/>
        </w:rPr>
        <w:t xml:space="preserve"> y </w:t>
      </w:r>
      <w:r w:rsidRPr="00720146">
        <w:rPr>
          <w:lang w:val="es-CO"/>
        </w:rPr>
        <w:t>grupos de discusión</w:t>
      </w:r>
      <w:r w:rsidRPr="0022109F">
        <w:rPr>
          <w:lang w:val="es-CO"/>
        </w:rPr>
        <w:t xml:space="preserve"> </w:t>
      </w:r>
      <w:r w:rsidRPr="00606E51">
        <w:rPr>
          <w:lang w:val="es-CO"/>
        </w:rPr>
        <w:t xml:space="preserve">dirigida </w:t>
      </w:r>
      <w:r w:rsidR="00790A20" w:rsidRPr="00606E51">
        <w:rPr>
          <w:lang w:val="es-CO"/>
        </w:rPr>
        <w:t xml:space="preserve">(ver </w:t>
      </w:r>
      <w:r w:rsidR="00790A20" w:rsidRPr="00606E51">
        <w:rPr>
          <w:lang w:val="es-CO"/>
        </w:rPr>
        <w:fldChar w:fldCharType="begin"/>
      </w:r>
      <w:r w:rsidR="00790A20" w:rsidRPr="00606E51">
        <w:rPr>
          <w:lang w:val="es-CO"/>
        </w:rPr>
        <w:instrText xml:space="preserve"> REF _Ref483517307 \h </w:instrText>
      </w:r>
      <w:r w:rsidR="00790A20" w:rsidRPr="00606E51">
        <w:rPr>
          <w:lang w:val="es-CO"/>
        </w:rPr>
      </w:r>
      <w:r w:rsidR="00790A20" w:rsidRPr="00606E51">
        <w:rPr>
          <w:lang w:val="es-CO"/>
        </w:rPr>
        <w:fldChar w:fldCharType="separate"/>
      </w:r>
      <w:r w:rsidR="00790A20" w:rsidRPr="00606E51">
        <w:rPr>
          <w:lang w:val="es-CO"/>
        </w:rPr>
        <w:t>Cuadro 4</w:t>
      </w:r>
      <w:r w:rsidR="00790A20" w:rsidRPr="00606E51">
        <w:rPr>
          <w:lang w:val="es-CO"/>
        </w:rPr>
        <w:noBreakHyphen/>
        <w:t>2</w:t>
      </w:r>
      <w:r w:rsidR="00790A20" w:rsidRPr="00606E51">
        <w:rPr>
          <w:lang w:val="es-CO"/>
        </w:rPr>
        <w:fldChar w:fldCharType="end"/>
      </w:r>
      <w:r w:rsidR="00790A20" w:rsidRPr="00606E51">
        <w:rPr>
          <w:lang w:val="es-CO"/>
        </w:rPr>
        <w:t xml:space="preserve">) </w:t>
      </w:r>
      <w:r w:rsidR="00806C94" w:rsidRPr="00606E51">
        <w:rPr>
          <w:lang w:val="es-CO"/>
        </w:rPr>
        <w:t xml:space="preserve">a todos los actores </w:t>
      </w:r>
      <w:r w:rsidR="009E466E" w:rsidRPr="00606E51">
        <w:rPr>
          <w:lang w:val="es-CO"/>
        </w:rPr>
        <w:t>del sistema de sal</w:t>
      </w:r>
      <w:r w:rsidR="00806C94" w:rsidRPr="00606E51">
        <w:rPr>
          <w:lang w:val="es-CO"/>
        </w:rPr>
        <w:t xml:space="preserve">ud de acuerdo a la Resolución. </w:t>
      </w:r>
      <w:r w:rsidR="009E466E" w:rsidRPr="00606E51">
        <w:rPr>
          <w:lang w:val="es-CO"/>
        </w:rPr>
        <w:t xml:space="preserve">Adicionalmente, se realizó una </w:t>
      </w:r>
      <w:r w:rsidRPr="00720146">
        <w:rPr>
          <w:lang w:val="es-CO"/>
        </w:rPr>
        <w:t>observación participante con conv</w:t>
      </w:r>
      <w:r w:rsidR="00A43884" w:rsidRPr="00720146">
        <w:rPr>
          <w:lang w:val="es-CO"/>
        </w:rPr>
        <w:t>ersaciones informale</w:t>
      </w:r>
      <w:r w:rsidR="00A43884" w:rsidRPr="0022109F">
        <w:rPr>
          <w:lang w:val="es-CO"/>
        </w:rPr>
        <w:t>s</w:t>
      </w:r>
      <w:r w:rsidR="009E466E" w:rsidRPr="00606E51">
        <w:rPr>
          <w:lang w:val="es-CO"/>
        </w:rPr>
        <w:t xml:space="preserve"> (ver anexo </w:t>
      </w:r>
      <w:r w:rsidR="005B2CA1" w:rsidRPr="00606E51">
        <w:rPr>
          <w:lang w:val="es-CO"/>
        </w:rPr>
        <w:fldChar w:fldCharType="begin"/>
      </w:r>
      <w:r w:rsidR="005B2CA1" w:rsidRPr="00606E51">
        <w:rPr>
          <w:lang w:val="es-CO"/>
        </w:rPr>
        <w:instrText xml:space="preserve"> REF _Ref485186125 \r \h </w:instrText>
      </w:r>
      <w:r w:rsidR="005B2CA1" w:rsidRPr="00606E51">
        <w:rPr>
          <w:lang w:val="es-CO"/>
        </w:rPr>
      </w:r>
      <w:r w:rsidR="005B2CA1" w:rsidRPr="00606E51">
        <w:rPr>
          <w:lang w:val="es-CO"/>
        </w:rPr>
        <w:fldChar w:fldCharType="separate"/>
      </w:r>
      <w:r w:rsidR="005B2CA1" w:rsidRPr="00606E51">
        <w:rPr>
          <w:lang w:val="es-CO"/>
        </w:rPr>
        <w:t>8.2</w:t>
      </w:r>
      <w:r w:rsidR="005B2CA1" w:rsidRPr="00606E51">
        <w:rPr>
          <w:lang w:val="es-CO"/>
        </w:rPr>
        <w:fldChar w:fldCharType="end"/>
      </w:r>
      <w:r w:rsidR="009E466E" w:rsidRPr="00606E51">
        <w:rPr>
          <w:lang w:val="es-CO"/>
        </w:rPr>
        <w:t xml:space="preserve"> para conocer los detalles de los instrumentos de recolección de información).</w:t>
      </w:r>
    </w:p>
    <w:p w14:paraId="605BE72A" w14:textId="77777777" w:rsidR="002541AB" w:rsidRPr="00606E51" w:rsidRDefault="002541AB" w:rsidP="00E90205">
      <w:pPr>
        <w:jc w:val="both"/>
        <w:rPr>
          <w:lang w:val="es-CO"/>
        </w:rPr>
      </w:pPr>
    </w:p>
    <w:p w14:paraId="40C02274" w14:textId="77777777" w:rsidR="0023035D" w:rsidRDefault="0037614F" w:rsidP="00E90205">
      <w:pPr>
        <w:jc w:val="both"/>
        <w:rPr>
          <w:lang w:val="es-CO"/>
        </w:rPr>
      </w:pPr>
      <w:r w:rsidRPr="00606E51">
        <w:rPr>
          <w:lang w:val="es-CO"/>
        </w:rPr>
        <w:t>Las preguntas de l</w:t>
      </w:r>
      <w:r w:rsidR="002541AB" w:rsidRPr="00606E51">
        <w:rPr>
          <w:lang w:val="es-CO"/>
        </w:rPr>
        <w:t>os instrumentos cualitativos</w:t>
      </w:r>
      <w:r w:rsidR="00C92E16" w:rsidRPr="00606E51">
        <w:rPr>
          <w:lang w:val="es-CO"/>
        </w:rPr>
        <w:t xml:space="preserve"> </w:t>
      </w:r>
      <w:r w:rsidR="00045C1A" w:rsidRPr="00606E51">
        <w:rPr>
          <w:lang w:val="es-CO"/>
        </w:rPr>
        <w:t>siguieron</w:t>
      </w:r>
      <w:r w:rsidR="00F03465" w:rsidRPr="00606E51">
        <w:rPr>
          <w:lang w:val="es-CO"/>
        </w:rPr>
        <w:t xml:space="preserve"> </w:t>
      </w:r>
      <w:r w:rsidRPr="00606E51">
        <w:rPr>
          <w:lang w:val="es-CO"/>
        </w:rPr>
        <w:t>esta</w:t>
      </w:r>
      <w:r w:rsidR="00F03465" w:rsidRPr="00606E51">
        <w:rPr>
          <w:lang w:val="es-CO"/>
        </w:rPr>
        <w:t xml:space="preserve"> </w:t>
      </w:r>
      <w:r w:rsidRPr="00606E51">
        <w:rPr>
          <w:lang w:val="es-CO"/>
        </w:rPr>
        <w:t>estructura:</w:t>
      </w:r>
      <w:r w:rsidR="00F03465" w:rsidRPr="00606E51">
        <w:rPr>
          <w:lang w:val="es-CO"/>
        </w:rPr>
        <w:t xml:space="preserve"> i) contexto, ii) gestión y recursos, iii) implementación y seguimiento y iv) </w:t>
      </w:r>
      <w:r w:rsidR="00C71E00" w:rsidRPr="00606E51">
        <w:rPr>
          <w:lang w:val="es-CO"/>
        </w:rPr>
        <w:t>lecciones aprendidas y recomendaciones</w:t>
      </w:r>
      <w:r w:rsidR="00E41BAE" w:rsidRPr="00606E51">
        <w:rPr>
          <w:lang w:val="es-CO"/>
        </w:rPr>
        <w:t xml:space="preserve">. </w:t>
      </w:r>
    </w:p>
    <w:p w14:paraId="25F6A112" w14:textId="77777777" w:rsidR="0023035D" w:rsidRDefault="0023035D" w:rsidP="00E90205">
      <w:pPr>
        <w:jc w:val="both"/>
        <w:rPr>
          <w:lang w:val="es-CO"/>
        </w:rPr>
      </w:pPr>
    </w:p>
    <w:p w14:paraId="018DFCB8" w14:textId="77777777" w:rsidR="00412A84" w:rsidRPr="00606E51" w:rsidRDefault="00E41BAE" w:rsidP="00E90205">
      <w:pPr>
        <w:jc w:val="both"/>
        <w:rPr>
          <w:lang w:val="es-CO"/>
        </w:rPr>
      </w:pPr>
      <w:r w:rsidRPr="00606E51">
        <w:rPr>
          <w:lang w:val="es-CO"/>
        </w:rPr>
        <w:t xml:space="preserve">La </w:t>
      </w:r>
      <w:r w:rsidRPr="00720146">
        <w:rPr>
          <w:lang w:val="es-CO"/>
        </w:rPr>
        <w:t xml:space="preserve">sección de contexto indagaba </w:t>
      </w:r>
      <w:r w:rsidR="009B4D25" w:rsidRPr="00720146">
        <w:rPr>
          <w:lang w:val="es-CO"/>
        </w:rPr>
        <w:t>el conocimiento del Lineamiento y la Resolució</w:t>
      </w:r>
      <w:r w:rsidR="00967DAB" w:rsidRPr="00720146">
        <w:rPr>
          <w:lang w:val="es-CO"/>
        </w:rPr>
        <w:t>n</w:t>
      </w:r>
      <w:r w:rsidR="00967DAB" w:rsidRPr="0022109F">
        <w:rPr>
          <w:lang w:val="es-CO"/>
        </w:rPr>
        <w:t xml:space="preserve">, mientras que </w:t>
      </w:r>
      <w:r w:rsidR="009B4D25" w:rsidRPr="00720146">
        <w:rPr>
          <w:lang w:val="es-CO"/>
        </w:rPr>
        <w:t>l</w:t>
      </w:r>
      <w:r w:rsidR="00C92E16" w:rsidRPr="00720146">
        <w:rPr>
          <w:lang w:val="es-CO"/>
        </w:rPr>
        <w:t xml:space="preserve">as preguntas de la sección de gestión y recursos </w:t>
      </w:r>
      <w:r w:rsidR="00967DAB" w:rsidRPr="00720146">
        <w:rPr>
          <w:lang w:val="es-CO"/>
        </w:rPr>
        <w:t>buscaba conocer los mecanismos de planeación y asignación de presupuesto</w:t>
      </w:r>
      <w:r w:rsidR="00967DAB" w:rsidRPr="0022109F">
        <w:rPr>
          <w:lang w:val="es-CO"/>
        </w:rPr>
        <w:t xml:space="preserve"> para cumplir las órdenes de la Resolución</w:t>
      </w:r>
      <w:r w:rsidR="00806C94" w:rsidRPr="00720146">
        <w:rPr>
          <w:lang w:val="es-CO"/>
        </w:rPr>
        <w:t xml:space="preserve"> dependiendo del actor</w:t>
      </w:r>
      <w:r w:rsidR="007A505C" w:rsidRPr="00720146">
        <w:rPr>
          <w:lang w:val="es-CO"/>
        </w:rPr>
        <w:t xml:space="preserve"> entrevistado</w:t>
      </w:r>
      <w:r w:rsidR="00967DAB" w:rsidRPr="00720146">
        <w:rPr>
          <w:lang w:val="es-CO"/>
        </w:rPr>
        <w:t>.</w:t>
      </w:r>
      <w:r w:rsidR="007A505C" w:rsidRPr="00720146">
        <w:rPr>
          <w:lang w:val="es-CO"/>
        </w:rPr>
        <w:t xml:space="preserve"> En la sección</w:t>
      </w:r>
      <w:r w:rsidR="007A505C" w:rsidRPr="00606E51">
        <w:rPr>
          <w:lang w:val="es-CO"/>
        </w:rPr>
        <w:t xml:space="preserve"> de implementación y seguimiento, s</w:t>
      </w:r>
      <w:r w:rsidR="00287766" w:rsidRPr="00606E51">
        <w:rPr>
          <w:lang w:val="es-CO"/>
        </w:rPr>
        <w:t xml:space="preserve">e exploraba información sobre las acciones que cada actor realizó para implementar y hacerle seguimiento al Lineamiento. La última sección tenía como objetivo </w:t>
      </w:r>
      <w:r w:rsidR="00287766" w:rsidRPr="00720146">
        <w:rPr>
          <w:lang w:val="es-CO"/>
        </w:rPr>
        <w:t>conocer los aprendizajes y las recomendaciones</w:t>
      </w:r>
      <w:r w:rsidR="00287766" w:rsidRPr="00606E51">
        <w:rPr>
          <w:lang w:val="es-CO"/>
        </w:rPr>
        <w:t xml:space="preserve"> para mejorar la implementación (ver</w:t>
      </w:r>
      <w:r w:rsidR="003E6CB7" w:rsidRPr="00606E51">
        <w:rPr>
          <w:lang w:val="es-CO"/>
        </w:rPr>
        <w:t xml:space="preserve"> anexo</w:t>
      </w:r>
      <w:r w:rsidR="00287766" w:rsidRPr="00606E51">
        <w:rPr>
          <w:lang w:val="es-CO"/>
        </w:rPr>
        <w:t xml:space="preserve"> </w:t>
      </w:r>
      <w:r w:rsidR="005B2CA1" w:rsidRPr="00606E51">
        <w:rPr>
          <w:lang w:val="es-CO"/>
        </w:rPr>
        <w:fldChar w:fldCharType="begin"/>
      </w:r>
      <w:r w:rsidR="005B2CA1" w:rsidRPr="00606E51">
        <w:rPr>
          <w:lang w:val="es-CO"/>
        </w:rPr>
        <w:instrText xml:space="preserve"> REF _Ref485186183 \r \h </w:instrText>
      </w:r>
      <w:r w:rsidR="005B2CA1" w:rsidRPr="00606E51">
        <w:rPr>
          <w:lang w:val="es-CO"/>
        </w:rPr>
      </w:r>
      <w:r w:rsidR="005B2CA1" w:rsidRPr="00606E51">
        <w:rPr>
          <w:lang w:val="es-CO"/>
        </w:rPr>
        <w:fldChar w:fldCharType="separate"/>
      </w:r>
      <w:r w:rsidR="005B2CA1" w:rsidRPr="00606E51">
        <w:rPr>
          <w:lang w:val="es-CO"/>
        </w:rPr>
        <w:t>8.2</w:t>
      </w:r>
      <w:r w:rsidR="005B2CA1" w:rsidRPr="00606E51">
        <w:rPr>
          <w:lang w:val="es-CO"/>
        </w:rPr>
        <w:fldChar w:fldCharType="end"/>
      </w:r>
      <w:r w:rsidR="00287766" w:rsidRPr="00606E51">
        <w:rPr>
          <w:lang w:val="es-CO"/>
        </w:rPr>
        <w:t xml:space="preserve"> para más detalles</w:t>
      </w:r>
      <w:r w:rsidR="00427EB0" w:rsidRPr="00606E51">
        <w:rPr>
          <w:lang w:val="es-CO"/>
        </w:rPr>
        <w:t xml:space="preserve"> de cada instrumento</w:t>
      </w:r>
      <w:r w:rsidR="00287766" w:rsidRPr="00606E51">
        <w:rPr>
          <w:lang w:val="es-CO"/>
        </w:rPr>
        <w:t>).</w:t>
      </w:r>
    </w:p>
    <w:p w14:paraId="3F24D5C4" w14:textId="77777777" w:rsidR="00EC5CC6" w:rsidRPr="00606E51" w:rsidRDefault="00EC5CC6" w:rsidP="00E90205">
      <w:pPr>
        <w:jc w:val="both"/>
        <w:rPr>
          <w:lang w:val="es-CO"/>
        </w:rPr>
      </w:pPr>
    </w:p>
    <w:p w14:paraId="03299F84" w14:textId="77777777" w:rsidR="00EC5CC6" w:rsidRPr="00606E51" w:rsidRDefault="00EC5CC6" w:rsidP="00E90205">
      <w:pPr>
        <w:jc w:val="both"/>
        <w:rPr>
          <w:lang w:val="es-CO"/>
        </w:rPr>
      </w:pPr>
      <w:r w:rsidRPr="00606E51">
        <w:rPr>
          <w:lang w:val="es-CO"/>
        </w:rPr>
        <w:t xml:space="preserve">Adicionalmente, </w:t>
      </w:r>
      <w:r w:rsidR="00157928" w:rsidRPr="00606E51">
        <w:rPr>
          <w:lang w:val="es-CO"/>
        </w:rPr>
        <w:t xml:space="preserve">como se informa detalladamente en el anexo </w:t>
      </w:r>
      <w:r w:rsidR="00157928" w:rsidRPr="00606E51">
        <w:rPr>
          <w:lang w:val="es-CO"/>
        </w:rPr>
        <w:fldChar w:fldCharType="begin"/>
      </w:r>
      <w:r w:rsidR="00157928" w:rsidRPr="00606E51">
        <w:rPr>
          <w:lang w:val="es-CO"/>
        </w:rPr>
        <w:instrText xml:space="preserve"> REF _Ref485186282 \r \h </w:instrText>
      </w:r>
      <w:r w:rsidR="00157928" w:rsidRPr="00606E51">
        <w:rPr>
          <w:lang w:val="es-CO"/>
        </w:rPr>
      </w:r>
      <w:r w:rsidR="00157928" w:rsidRPr="00606E51">
        <w:rPr>
          <w:lang w:val="es-CO"/>
        </w:rPr>
        <w:fldChar w:fldCharType="separate"/>
      </w:r>
      <w:r w:rsidR="00157928" w:rsidRPr="00606E51">
        <w:rPr>
          <w:lang w:val="es-CO"/>
        </w:rPr>
        <w:t>8.3</w:t>
      </w:r>
      <w:r w:rsidR="00157928" w:rsidRPr="00606E51">
        <w:rPr>
          <w:lang w:val="es-CO"/>
        </w:rPr>
        <w:fldChar w:fldCharType="end"/>
      </w:r>
      <w:r w:rsidR="00157928" w:rsidRPr="00606E51">
        <w:rPr>
          <w:lang w:val="es-CO"/>
        </w:rPr>
        <w:t xml:space="preserve">, </w:t>
      </w:r>
      <w:r w:rsidRPr="00606E51">
        <w:rPr>
          <w:lang w:val="es-CO"/>
        </w:rPr>
        <w:t xml:space="preserve">siguiendo las </w:t>
      </w:r>
      <w:r w:rsidRPr="00720146">
        <w:rPr>
          <w:lang w:val="es-CO"/>
        </w:rPr>
        <w:t>normas éticas</w:t>
      </w:r>
      <w:r w:rsidRPr="00606E51">
        <w:rPr>
          <w:lang w:val="es-CO"/>
        </w:rPr>
        <w:t xml:space="preserve"> de UNEG</w:t>
      </w:r>
      <w:r w:rsidR="00157928" w:rsidRPr="00606E51">
        <w:rPr>
          <w:lang w:val="es-CO"/>
        </w:rPr>
        <w:t xml:space="preserve">, se realizó una prueba piloto de los instrumetos cualitativos durante el primer día de la recolección, se solicitó a cada participante la </w:t>
      </w:r>
      <w:r w:rsidR="00157928" w:rsidRPr="00720146">
        <w:rPr>
          <w:lang w:val="es-CO"/>
        </w:rPr>
        <w:t>firma de un documento de consentimiento</w:t>
      </w:r>
      <w:r w:rsidR="00157928" w:rsidRPr="00606E51">
        <w:rPr>
          <w:lang w:val="es-CO"/>
        </w:rPr>
        <w:t xml:space="preserve"> informado </w:t>
      </w:r>
      <w:r w:rsidR="00AB5B60" w:rsidRPr="00606E51">
        <w:rPr>
          <w:lang w:val="es-CO"/>
        </w:rPr>
        <w:t xml:space="preserve">antes de cada entrevista </w:t>
      </w:r>
      <w:r w:rsidR="00157928" w:rsidRPr="00606E51">
        <w:rPr>
          <w:lang w:val="es-CO"/>
        </w:rPr>
        <w:t xml:space="preserve">y para la observación en campo se pidió el apoyo </w:t>
      </w:r>
      <w:r w:rsidR="0023035D">
        <w:rPr>
          <w:lang w:val="es-CO"/>
        </w:rPr>
        <w:t xml:space="preserve">y aprobación </w:t>
      </w:r>
      <w:r w:rsidR="00157928" w:rsidRPr="00606E51">
        <w:rPr>
          <w:lang w:val="es-CO"/>
        </w:rPr>
        <w:t xml:space="preserve">de </w:t>
      </w:r>
      <w:r w:rsidR="0023035D">
        <w:rPr>
          <w:lang w:val="es-CO"/>
        </w:rPr>
        <w:t xml:space="preserve">las comunidades involucradas </w:t>
      </w:r>
      <w:r w:rsidR="00157928" w:rsidRPr="00606E51">
        <w:rPr>
          <w:lang w:val="es-CO"/>
        </w:rPr>
        <w:t>en cada visita.</w:t>
      </w:r>
    </w:p>
    <w:p w14:paraId="6ED94BB0" w14:textId="77777777" w:rsidR="00851238" w:rsidRPr="00606E51" w:rsidRDefault="00851238" w:rsidP="00E90205">
      <w:pPr>
        <w:jc w:val="both"/>
        <w:rPr>
          <w:lang w:val="es-CO"/>
        </w:rPr>
      </w:pPr>
    </w:p>
    <w:p w14:paraId="21399CBF" w14:textId="77777777" w:rsidR="00BA6068" w:rsidRDefault="00BA6068">
      <w:pPr>
        <w:spacing w:after="200" w:line="252" w:lineRule="auto"/>
        <w:rPr>
          <w:rFonts w:cs="Times New Roman"/>
          <w:b/>
          <w:spacing w:val="10"/>
          <w:szCs w:val="20"/>
          <w:lang w:val="es-CO"/>
        </w:rPr>
      </w:pPr>
      <w:bookmarkStart w:id="31" w:name="_Ref483517111"/>
      <w:bookmarkStart w:id="32" w:name="_Toc482471522"/>
      <w:bookmarkStart w:id="33" w:name="_Toc490045699"/>
      <w:r>
        <w:rPr>
          <w:lang w:val="es-CO"/>
        </w:rPr>
        <w:br w:type="page"/>
      </w:r>
    </w:p>
    <w:p w14:paraId="3A3F14E4" w14:textId="77777777" w:rsidR="00E90205" w:rsidRPr="00606E51" w:rsidRDefault="00E90205" w:rsidP="00101D3A">
      <w:pPr>
        <w:pStyle w:val="Caption"/>
        <w:rPr>
          <w:lang w:val="es-CO"/>
        </w:rPr>
      </w:pPr>
      <w:r w:rsidRPr="00606E51">
        <w:rPr>
          <w:lang w:val="es-CO"/>
        </w:rPr>
        <w:lastRenderedPageBreak/>
        <w:t xml:space="preserve">Cuadro </w:t>
      </w:r>
      <w:r w:rsidR="00F1370E" w:rsidRPr="00606E51">
        <w:rPr>
          <w:lang w:val="es-CO"/>
        </w:rPr>
        <w:fldChar w:fldCharType="begin"/>
      </w:r>
      <w:r w:rsidR="00F1370E" w:rsidRPr="00606E51">
        <w:rPr>
          <w:lang w:val="es-CO"/>
        </w:rPr>
        <w:instrText xml:space="preserve"> STYLEREF 1 \s </w:instrText>
      </w:r>
      <w:r w:rsidR="00F1370E" w:rsidRPr="00606E51">
        <w:rPr>
          <w:lang w:val="es-CO"/>
        </w:rPr>
        <w:fldChar w:fldCharType="separate"/>
      </w:r>
      <w:r w:rsidR="00F1370E" w:rsidRPr="00606E51">
        <w:rPr>
          <w:lang w:val="es-CO"/>
        </w:rPr>
        <w:t>4</w:t>
      </w:r>
      <w:r w:rsidR="00F1370E" w:rsidRPr="00606E51">
        <w:rPr>
          <w:lang w:val="es-CO"/>
        </w:rPr>
        <w:fldChar w:fldCharType="end"/>
      </w:r>
      <w:r w:rsidR="00F1370E" w:rsidRPr="00606E51">
        <w:rPr>
          <w:lang w:val="es-CO"/>
        </w:rPr>
        <w:noBreakHyphen/>
      </w:r>
      <w:r w:rsidR="00F1370E" w:rsidRPr="00606E51">
        <w:rPr>
          <w:lang w:val="es-CO"/>
        </w:rPr>
        <w:fldChar w:fldCharType="begin"/>
      </w:r>
      <w:r w:rsidR="00F1370E" w:rsidRPr="00606E51">
        <w:rPr>
          <w:lang w:val="es-CO"/>
        </w:rPr>
        <w:instrText xml:space="preserve"> SEQ Cuadro \* ROMAN \s 1 </w:instrText>
      </w:r>
      <w:r w:rsidR="00F1370E" w:rsidRPr="00606E51">
        <w:rPr>
          <w:lang w:val="es-CO"/>
        </w:rPr>
        <w:fldChar w:fldCharType="separate"/>
      </w:r>
      <w:r w:rsidR="00F1370E" w:rsidRPr="00606E51">
        <w:rPr>
          <w:lang w:val="es-CO"/>
        </w:rPr>
        <w:t>I</w:t>
      </w:r>
      <w:r w:rsidR="00F1370E" w:rsidRPr="00606E51">
        <w:rPr>
          <w:lang w:val="es-CO"/>
        </w:rPr>
        <w:fldChar w:fldCharType="end"/>
      </w:r>
      <w:bookmarkEnd w:id="31"/>
      <w:r w:rsidRPr="00606E51">
        <w:rPr>
          <w:lang w:val="es-CO"/>
        </w:rPr>
        <w:t>: Participantes en entrevistas semiestructuradas</w:t>
      </w:r>
      <w:bookmarkEnd w:id="32"/>
      <w:bookmarkEnd w:id="33"/>
    </w:p>
    <w:tbl>
      <w:tblPr>
        <w:tblStyle w:val="TableGrid"/>
        <w:tblW w:w="9776" w:type="dxa"/>
        <w:tblLook w:val="04A0" w:firstRow="1" w:lastRow="0" w:firstColumn="1" w:lastColumn="0" w:noHBand="0" w:noVBand="1"/>
      </w:tblPr>
      <w:tblGrid>
        <w:gridCol w:w="1173"/>
        <w:gridCol w:w="1232"/>
        <w:gridCol w:w="1306"/>
        <w:gridCol w:w="6065"/>
      </w:tblGrid>
      <w:tr w:rsidR="00601F28" w:rsidRPr="00606E51" w14:paraId="097F0A19" w14:textId="77777777" w:rsidTr="00601F28">
        <w:trPr>
          <w:trHeight w:val="395"/>
        </w:trPr>
        <w:tc>
          <w:tcPr>
            <w:tcW w:w="1173" w:type="dxa"/>
          </w:tcPr>
          <w:p w14:paraId="21114FF0" w14:textId="77777777" w:rsidR="00E90205" w:rsidRPr="00606E51" w:rsidRDefault="00E90205" w:rsidP="0013727E">
            <w:pPr>
              <w:rPr>
                <w:rFonts w:eastAsiaTheme="majorEastAsia" w:cstheme="majorBidi"/>
                <w:sz w:val="18"/>
                <w:szCs w:val="22"/>
                <w:lang w:val="es-CO" w:eastAsia="en-US"/>
              </w:rPr>
            </w:pPr>
            <w:r w:rsidRPr="00606E51">
              <w:rPr>
                <w:rFonts w:eastAsiaTheme="majorEastAsia" w:cstheme="majorBidi"/>
                <w:sz w:val="18"/>
                <w:szCs w:val="22"/>
                <w:lang w:val="es-CO" w:eastAsia="en-US"/>
              </w:rPr>
              <w:t>Actor</w:t>
            </w:r>
          </w:p>
        </w:tc>
        <w:tc>
          <w:tcPr>
            <w:tcW w:w="1232" w:type="dxa"/>
          </w:tcPr>
          <w:p w14:paraId="30346D40" w14:textId="77777777" w:rsidR="00E90205" w:rsidRPr="00606E51" w:rsidRDefault="00601F28" w:rsidP="0013727E">
            <w:pPr>
              <w:rPr>
                <w:rFonts w:eastAsiaTheme="majorEastAsia" w:cstheme="majorBidi"/>
                <w:sz w:val="18"/>
                <w:szCs w:val="22"/>
                <w:lang w:val="es-CO" w:eastAsia="en-US"/>
              </w:rPr>
            </w:pPr>
            <w:r w:rsidRPr="00606E51">
              <w:rPr>
                <w:rFonts w:eastAsiaTheme="majorEastAsia" w:cstheme="majorBidi"/>
                <w:sz w:val="18"/>
                <w:szCs w:val="22"/>
                <w:lang w:val="es-CO" w:eastAsia="en-US"/>
              </w:rPr>
              <w:t xml:space="preserve"># </w:t>
            </w:r>
            <w:r w:rsidR="00E90205" w:rsidRPr="00606E51">
              <w:rPr>
                <w:rFonts w:eastAsiaTheme="majorEastAsia" w:cstheme="majorBidi"/>
                <w:sz w:val="18"/>
                <w:szCs w:val="22"/>
                <w:lang w:val="es-CO" w:eastAsia="en-US"/>
              </w:rPr>
              <w:t>Entrevistas</w:t>
            </w:r>
          </w:p>
        </w:tc>
        <w:tc>
          <w:tcPr>
            <w:tcW w:w="1306" w:type="dxa"/>
          </w:tcPr>
          <w:p w14:paraId="664FF987" w14:textId="77777777" w:rsidR="00E90205" w:rsidRPr="00606E51" w:rsidRDefault="0013727E" w:rsidP="0013727E">
            <w:pPr>
              <w:rPr>
                <w:rFonts w:eastAsiaTheme="majorEastAsia" w:cstheme="majorBidi"/>
                <w:sz w:val="18"/>
                <w:szCs w:val="22"/>
                <w:lang w:val="es-CO" w:eastAsia="en-US"/>
              </w:rPr>
            </w:pPr>
            <w:r w:rsidRPr="00606E51">
              <w:rPr>
                <w:rFonts w:eastAsiaTheme="majorEastAsia" w:cstheme="majorBidi"/>
                <w:sz w:val="18"/>
                <w:szCs w:val="22"/>
                <w:lang w:val="es-CO" w:eastAsia="en-US"/>
              </w:rPr>
              <w:t xml:space="preserve"># </w:t>
            </w:r>
            <w:r w:rsidR="00E90205" w:rsidRPr="00606E51">
              <w:rPr>
                <w:rFonts w:eastAsiaTheme="majorEastAsia" w:cstheme="majorBidi"/>
                <w:sz w:val="18"/>
                <w:szCs w:val="22"/>
                <w:lang w:val="es-CO" w:eastAsia="en-US"/>
              </w:rPr>
              <w:t>personas entrevistadas</w:t>
            </w:r>
          </w:p>
        </w:tc>
        <w:tc>
          <w:tcPr>
            <w:tcW w:w="6065" w:type="dxa"/>
          </w:tcPr>
          <w:p w14:paraId="2524A29C" w14:textId="77777777" w:rsidR="00E90205" w:rsidRPr="00606E51" w:rsidRDefault="00E90205" w:rsidP="0013727E">
            <w:pPr>
              <w:rPr>
                <w:rFonts w:eastAsiaTheme="majorEastAsia" w:cstheme="majorBidi"/>
                <w:sz w:val="18"/>
                <w:szCs w:val="22"/>
                <w:lang w:val="es-CO" w:eastAsia="en-US"/>
              </w:rPr>
            </w:pPr>
            <w:r w:rsidRPr="00606E51">
              <w:rPr>
                <w:rFonts w:eastAsiaTheme="majorEastAsia" w:cstheme="majorBidi"/>
                <w:sz w:val="18"/>
                <w:szCs w:val="22"/>
                <w:lang w:val="es-CO" w:eastAsia="en-US"/>
              </w:rPr>
              <w:t>Nombre de instituciones</w:t>
            </w:r>
          </w:p>
        </w:tc>
      </w:tr>
      <w:tr w:rsidR="00601F28" w:rsidRPr="00606E51" w14:paraId="60A5E7F6" w14:textId="77777777" w:rsidTr="00601F28">
        <w:trPr>
          <w:trHeight w:val="912"/>
        </w:trPr>
        <w:tc>
          <w:tcPr>
            <w:tcW w:w="1173" w:type="dxa"/>
          </w:tcPr>
          <w:p w14:paraId="69B3293C" w14:textId="77777777" w:rsidR="00E90205" w:rsidRPr="00606E51" w:rsidRDefault="00E90205" w:rsidP="00851238">
            <w:pPr>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Autoridad</w:t>
            </w:r>
          </w:p>
          <w:p w14:paraId="1941DFEE" w14:textId="77777777" w:rsidR="00E90205" w:rsidRPr="00606E51" w:rsidRDefault="00E90205" w:rsidP="00851238">
            <w:pPr>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Territorial</w:t>
            </w:r>
          </w:p>
        </w:tc>
        <w:tc>
          <w:tcPr>
            <w:tcW w:w="1232" w:type="dxa"/>
          </w:tcPr>
          <w:p w14:paraId="0F386DFA"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5</w:t>
            </w:r>
          </w:p>
        </w:tc>
        <w:tc>
          <w:tcPr>
            <w:tcW w:w="1306" w:type="dxa"/>
          </w:tcPr>
          <w:p w14:paraId="02DFD25C"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15</w:t>
            </w:r>
          </w:p>
        </w:tc>
        <w:tc>
          <w:tcPr>
            <w:tcW w:w="6065" w:type="dxa"/>
          </w:tcPr>
          <w:p w14:paraId="5F95D249" w14:textId="77777777" w:rsidR="00E90205" w:rsidRPr="00606E51" w:rsidRDefault="00E90205" w:rsidP="00BB1D7B">
            <w:pPr>
              <w:numPr>
                <w:ilvl w:val="0"/>
                <w:numId w:val="12"/>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Gobernación de Guajira (SS Distrital)</w:t>
            </w:r>
          </w:p>
          <w:p w14:paraId="11B12393" w14:textId="77777777" w:rsidR="00E90205" w:rsidRPr="00606E51" w:rsidRDefault="00E90205" w:rsidP="00BB1D7B">
            <w:pPr>
              <w:numPr>
                <w:ilvl w:val="0"/>
                <w:numId w:val="12"/>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Alcaldía de Manaure (SS Municipal)</w:t>
            </w:r>
          </w:p>
          <w:p w14:paraId="53AE7BD8" w14:textId="77777777" w:rsidR="00E90205" w:rsidRPr="00606E51" w:rsidRDefault="00E90205" w:rsidP="00BB1D7B">
            <w:pPr>
              <w:numPr>
                <w:ilvl w:val="0"/>
                <w:numId w:val="12"/>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 xml:space="preserve">Alcaldía de Uribia (SS Municipal) </w:t>
            </w:r>
          </w:p>
          <w:p w14:paraId="67D1E535" w14:textId="77777777" w:rsidR="00E90205" w:rsidRPr="00606E51" w:rsidRDefault="00E90205" w:rsidP="00BB1D7B">
            <w:pPr>
              <w:numPr>
                <w:ilvl w:val="0"/>
                <w:numId w:val="12"/>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Alcaldía de Maicao (SS Municipal)</w:t>
            </w:r>
          </w:p>
          <w:p w14:paraId="7A5316FD" w14:textId="77777777" w:rsidR="00E90205" w:rsidRPr="00606E51" w:rsidRDefault="00E90205" w:rsidP="00BB1D7B">
            <w:pPr>
              <w:numPr>
                <w:ilvl w:val="0"/>
                <w:numId w:val="12"/>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Alcaldía de Riohacha (SS Distrital)</w:t>
            </w:r>
          </w:p>
        </w:tc>
      </w:tr>
      <w:tr w:rsidR="00601F28" w:rsidRPr="00606E51" w14:paraId="01A51812" w14:textId="77777777" w:rsidTr="00601F28">
        <w:trPr>
          <w:trHeight w:val="925"/>
        </w:trPr>
        <w:tc>
          <w:tcPr>
            <w:tcW w:w="1173" w:type="dxa"/>
          </w:tcPr>
          <w:p w14:paraId="57C0B28A" w14:textId="77777777" w:rsidR="00E90205" w:rsidRPr="00606E51" w:rsidRDefault="00E90205" w:rsidP="00851238">
            <w:pPr>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EAPB (EPS, EPSI)</w:t>
            </w:r>
          </w:p>
        </w:tc>
        <w:tc>
          <w:tcPr>
            <w:tcW w:w="1232" w:type="dxa"/>
          </w:tcPr>
          <w:p w14:paraId="168E40BC"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6</w:t>
            </w:r>
          </w:p>
        </w:tc>
        <w:tc>
          <w:tcPr>
            <w:tcW w:w="1306" w:type="dxa"/>
          </w:tcPr>
          <w:p w14:paraId="6A5635A6"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7</w:t>
            </w:r>
          </w:p>
        </w:tc>
        <w:tc>
          <w:tcPr>
            <w:tcW w:w="6065" w:type="dxa"/>
          </w:tcPr>
          <w:p w14:paraId="08551AD8" w14:textId="77777777" w:rsidR="00E90205" w:rsidRPr="00606E51" w:rsidRDefault="00E90205" w:rsidP="00BB1D7B">
            <w:pPr>
              <w:numPr>
                <w:ilvl w:val="0"/>
                <w:numId w:val="13"/>
              </w:numPr>
              <w:ind w:left="294" w:hanging="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EPS Comfaguajira</w:t>
            </w:r>
          </w:p>
          <w:p w14:paraId="43F37569" w14:textId="77777777" w:rsidR="00E90205" w:rsidRPr="00606E51" w:rsidRDefault="00E90205" w:rsidP="00BB1D7B">
            <w:pPr>
              <w:numPr>
                <w:ilvl w:val="0"/>
                <w:numId w:val="13"/>
              </w:numPr>
              <w:ind w:left="294" w:hanging="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EPS Cajacopy</w:t>
            </w:r>
          </w:p>
          <w:p w14:paraId="6DEC05AC" w14:textId="77777777" w:rsidR="00E90205" w:rsidRPr="00606E51" w:rsidRDefault="00E90205" w:rsidP="00BB1D7B">
            <w:pPr>
              <w:numPr>
                <w:ilvl w:val="0"/>
                <w:numId w:val="13"/>
              </w:numPr>
              <w:ind w:left="294" w:hanging="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EPSI Dusakawi: Asociación de Cabildos Indígenas del Cesar y la Guajira</w:t>
            </w:r>
          </w:p>
          <w:p w14:paraId="12A29119" w14:textId="77777777" w:rsidR="00E90205" w:rsidRPr="00606E51" w:rsidRDefault="00E90205" w:rsidP="00BB1D7B">
            <w:pPr>
              <w:numPr>
                <w:ilvl w:val="0"/>
                <w:numId w:val="13"/>
              </w:numPr>
              <w:ind w:left="294" w:hanging="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EPSI AIC – Asociación Indígena el Cauca</w:t>
            </w:r>
          </w:p>
        </w:tc>
      </w:tr>
      <w:tr w:rsidR="00601F28" w:rsidRPr="00606E51" w14:paraId="2883E658" w14:textId="77777777" w:rsidTr="00601F28">
        <w:trPr>
          <w:trHeight w:val="244"/>
        </w:trPr>
        <w:tc>
          <w:tcPr>
            <w:tcW w:w="1173" w:type="dxa"/>
          </w:tcPr>
          <w:p w14:paraId="35990F8E" w14:textId="77777777" w:rsidR="00E90205" w:rsidRPr="00606E51" w:rsidRDefault="00E90205" w:rsidP="00851238">
            <w:pPr>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IPS – IPSI</w:t>
            </w:r>
          </w:p>
          <w:p w14:paraId="4BF68A16" w14:textId="77777777" w:rsidR="00E90205" w:rsidRPr="00606E51" w:rsidRDefault="00E90205" w:rsidP="00851238">
            <w:pPr>
              <w:rPr>
                <w:rFonts w:eastAsiaTheme="majorEastAsia" w:cstheme="majorBidi"/>
                <w:b w:val="0"/>
                <w:sz w:val="18"/>
                <w:szCs w:val="22"/>
                <w:lang w:val="es-CO" w:eastAsia="en-US"/>
              </w:rPr>
            </w:pPr>
          </w:p>
        </w:tc>
        <w:tc>
          <w:tcPr>
            <w:tcW w:w="1232" w:type="dxa"/>
          </w:tcPr>
          <w:p w14:paraId="4C1C4895"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5</w:t>
            </w:r>
          </w:p>
          <w:p w14:paraId="741946C1" w14:textId="77777777" w:rsidR="00E90205" w:rsidRPr="00606E51" w:rsidRDefault="00E90205" w:rsidP="00E90205">
            <w:pPr>
              <w:jc w:val="both"/>
              <w:rPr>
                <w:rFonts w:eastAsiaTheme="majorEastAsia" w:cstheme="majorBidi"/>
                <w:b w:val="0"/>
                <w:sz w:val="18"/>
                <w:szCs w:val="22"/>
                <w:lang w:val="es-CO" w:eastAsia="en-US"/>
              </w:rPr>
            </w:pPr>
          </w:p>
        </w:tc>
        <w:tc>
          <w:tcPr>
            <w:tcW w:w="1306" w:type="dxa"/>
          </w:tcPr>
          <w:p w14:paraId="08BC5706"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6</w:t>
            </w:r>
          </w:p>
        </w:tc>
        <w:tc>
          <w:tcPr>
            <w:tcW w:w="6065" w:type="dxa"/>
          </w:tcPr>
          <w:p w14:paraId="3C632CDD" w14:textId="77777777" w:rsidR="00E90205" w:rsidRPr="00606E51" w:rsidRDefault="00E90205" w:rsidP="00BB1D7B">
            <w:pPr>
              <w:numPr>
                <w:ilvl w:val="0"/>
                <w:numId w:val="14"/>
              </w:numPr>
              <w:ind w:left="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IPSI Solwayúu</w:t>
            </w:r>
          </w:p>
          <w:p w14:paraId="43BCF027" w14:textId="77777777" w:rsidR="00E90205" w:rsidRPr="00606E51" w:rsidRDefault="00E90205" w:rsidP="00BB1D7B">
            <w:pPr>
              <w:numPr>
                <w:ilvl w:val="0"/>
                <w:numId w:val="14"/>
              </w:numPr>
              <w:ind w:left="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IPSI Supula</w:t>
            </w:r>
          </w:p>
          <w:p w14:paraId="4255E827" w14:textId="77777777" w:rsidR="00E90205" w:rsidRPr="00606E51" w:rsidRDefault="00E90205" w:rsidP="00BB1D7B">
            <w:pPr>
              <w:numPr>
                <w:ilvl w:val="0"/>
                <w:numId w:val="14"/>
              </w:numPr>
              <w:ind w:left="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IPS Outajiapulee</w:t>
            </w:r>
          </w:p>
          <w:p w14:paraId="74B7EDCA" w14:textId="77777777" w:rsidR="00E90205" w:rsidRPr="00606E51" w:rsidRDefault="00806C94" w:rsidP="00BB1D7B">
            <w:pPr>
              <w:numPr>
                <w:ilvl w:val="0"/>
                <w:numId w:val="14"/>
              </w:numPr>
              <w:ind w:left="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w:t>
            </w:r>
            <w:r w:rsidR="00E90205" w:rsidRPr="00606E51">
              <w:rPr>
                <w:rFonts w:eastAsiaTheme="majorEastAsia" w:cstheme="majorBidi"/>
                <w:b w:val="0"/>
                <w:sz w:val="18"/>
                <w:szCs w:val="22"/>
                <w:lang w:val="es-CO" w:eastAsia="en-US"/>
              </w:rPr>
              <w:t xml:space="preserve">PSI Anas Wayúu </w:t>
            </w:r>
          </w:p>
          <w:p w14:paraId="4F2A657A" w14:textId="77777777" w:rsidR="00E90205" w:rsidRPr="00606E51" w:rsidRDefault="00E90205" w:rsidP="00BB1D7B">
            <w:pPr>
              <w:numPr>
                <w:ilvl w:val="0"/>
                <w:numId w:val="14"/>
              </w:numPr>
              <w:ind w:left="294"/>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UMI Talapüin</w:t>
            </w:r>
          </w:p>
        </w:tc>
      </w:tr>
      <w:tr w:rsidR="00601F28" w:rsidRPr="00606E51" w14:paraId="6043F574" w14:textId="77777777" w:rsidTr="00601F28">
        <w:trPr>
          <w:trHeight w:val="200"/>
        </w:trPr>
        <w:tc>
          <w:tcPr>
            <w:tcW w:w="1173" w:type="dxa"/>
          </w:tcPr>
          <w:p w14:paraId="67287C75" w14:textId="77777777" w:rsidR="00E90205" w:rsidRPr="00606E51" w:rsidRDefault="00E90205" w:rsidP="00851238">
            <w:pPr>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ESE</w:t>
            </w:r>
          </w:p>
        </w:tc>
        <w:tc>
          <w:tcPr>
            <w:tcW w:w="1232" w:type="dxa"/>
          </w:tcPr>
          <w:p w14:paraId="173B8114"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4</w:t>
            </w:r>
          </w:p>
        </w:tc>
        <w:tc>
          <w:tcPr>
            <w:tcW w:w="1306" w:type="dxa"/>
          </w:tcPr>
          <w:p w14:paraId="60D3974F" w14:textId="77777777" w:rsidR="00E90205" w:rsidRPr="00606E51" w:rsidRDefault="00E90205" w:rsidP="00E90205">
            <w:pPr>
              <w:jc w:val="both"/>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6</w:t>
            </w:r>
          </w:p>
        </w:tc>
        <w:tc>
          <w:tcPr>
            <w:tcW w:w="6065" w:type="dxa"/>
          </w:tcPr>
          <w:p w14:paraId="306090A2" w14:textId="77777777" w:rsidR="00E90205" w:rsidRPr="00606E51" w:rsidRDefault="00E90205" w:rsidP="00BB1D7B">
            <w:pPr>
              <w:numPr>
                <w:ilvl w:val="0"/>
                <w:numId w:val="15"/>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 xml:space="preserve">Hospital Armando Pabón López </w:t>
            </w:r>
          </w:p>
          <w:p w14:paraId="03997604" w14:textId="77777777" w:rsidR="00E90205" w:rsidRPr="00606E51" w:rsidRDefault="00E90205" w:rsidP="00BB1D7B">
            <w:pPr>
              <w:numPr>
                <w:ilvl w:val="0"/>
                <w:numId w:val="15"/>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Hospital Nuestra Señora del Perpetuo Socorro</w:t>
            </w:r>
          </w:p>
          <w:p w14:paraId="31511ECB" w14:textId="77777777" w:rsidR="00E90205" w:rsidRPr="00606E51" w:rsidRDefault="00E90205" w:rsidP="00BB1D7B">
            <w:pPr>
              <w:numPr>
                <w:ilvl w:val="0"/>
                <w:numId w:val="15"/>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Hospital San José</w:t>
            </w:r>
          </w:p>
          <w:p w14:paraId="10171316" w14:textId="77777777" w:rsidR="00E90205" w:rsidRPr="00606E51" w:rsidRDefault="00E90205" w:rsidP="00BB1D7B">
            <w:pPr>
              <w:numPr>
                <w:ilvl w:val="0"/>
                <w:numId w:val="15"/>
              </w:numPr>
              <w:ind w:left="294" w:hanging="283"/>
              <w:rPr>
                <w:rFonts w:eastAsiaTheme="majorEastAsia" w:cstheme="majorBidi"/>
                <w:b w:val="0"/>
                <w:sz w:val="18"/>
                <w:szCs w:val="22"/>
                <w:lang w:val="es-CO" w:eastAsia="en-US"/>
              </w:rPr>
            </w:pPr>
            <w:r w:rsidRPr="00606E51">
              <w:rPr>
                <w:rFonts w:eastAsiaTheme="majorEastAsia" w:cstheme="majorBidi"/>
                <w:b w:val="0"/>
                <w:sz w:val="18"/>
                <w:szCs w:val="22"/>
                <w:lang w:val="es-CO" w:eastAsia="en-US"/>
              </w:rPr>
              <w:t>Hospital Nuestra Señora de los Remedios</w:t>
            </w:r>
          </w:p>
        </w:tc>
      </w:tr>
    </w:tbl>
    <w:p w14:paraId="2A2C4167" w14:textId="77777777" w:rsidR="00AA3040" w:rsidRPr="00606E51" w:rsidRDefault="00601F28" w:rsidP="007E5E78">
      <w:pPr>
        <w:jc w:val="both"/>
        <w:rPr>
          <w:sz w:val="16"/>
          <w:lang w:val="es-CO"/>
        </w:rPr>
      </w:pPr>
      <w:r w:rsidRPr="00606E51">
        <w:rPr>
          <w:sz w:val="16"/>
          <w:lang w:val="es-CO"/>
        </w:rPr>
        <w:t>Fuente: Elaboración propia</w:t>
      </w:r>
    </w:p>
    <w:p w14:paraId="7ED5D339" w14:textId="77777777" w:rsidR="00412A84" w:rsidRPr="00606E51" w:rsidRDefault="00412A84" w:rsidP="007E5E78">
      <w:pPr>
        <w:jc w:val="both"/>
        <w:rPr>
          <w:sz w:val="20"/>
          <w:lang w:val="es-CO"/>
        </w:rPr>
      </w:pPr>
    </w:p>
    <w:p w14:paraId="6C15247F" w14:textId="77777777" w:rsidR="00EC5CC6" w:rsidRPr="00606E51" w:rsidRDefault="00EC5CC6" w:rsidP="007E5E78">
      <w:pPr>
        <w:jc w:val="both"/>
        <w:rPr>
          <w:sz w:val="20"/>
          <w:lang w:val="es-CO"/>
        </w:rPr>
      </w:pPr>
    </w:p>
    <w:p w14:paraId="02260078" w14:textId="77777777" w:rsidR="00432670" w:rsidRPr="00606E51" w:rsidRDefault="00432670" w:rsidP="00101D3A">
      <w:pPr>
        <w:pStyle w:val="Caption"/>
        <w:rPr>
          <w:lang w:val="es-CO"/>
        </w:rPr>
      </w:pPr>
      <w:bookmarkStart w:id="34" w:name="_Ref483517307"/>
      <w:bookmarkStart w:id="35" w:name="_Toc482471523"/>
      <w:bookmarkStart w:id="36" w:name="_Toc490045700"/>
      <w:r w:rsidRPr="00606E51">
        <w:rPr>
          <w:lang w:val="es-CO"/>
        </w:rPr>
        <w:t xml:space="preserve">Cuadro </w:t>
      </w:r>
      <w:r w:rsidR="00F1370E" w:rsidRPr="00606E51">
        <w:rPr>
          <w:lang w:val="es-CO"/>
        </w:rPr>
        <w:fldChar w:fldCharType="begin"/>
      </w:r>
      <w:r w:rsidR="00F1370E" w:rsidRPr="00606E51">
        <w:rPr>
          <w:lang w:val="es-CO"/>
        </w:rPr>
        <w:instrText xml:space="preserve"> STYLEREF 1 \s </w:instrText>
      </w:r>
      <w:r w:rsidR="00F1370E" w:rsidRPr="00606E51">
        <w:rPr>
          <w:lang w:val="es-CO"/>
        </w:rPr>
        <w:fldChar w:fldCharType="separate"/>
      </w:r>
      <w:r w:rsidR="00F1370E" w:rsidRPr="00606E51">
        <w:rPr>
          <w:lang w:val="es-CO"/>
        </w:rPr>
        <w:t>4</w:t>
      </w:r>
      <w:r w:rsidR="00F1370E" w:rsidRPr="00606E51">
        <w:rPr>
          <w:lang w:val="es-CO"/>
        </w:rPr>
        <w:fldChar w:fldCharType="end"/>
      </w:r>
      <w:r w:rsidR="00F1370E" w:rsidRPr="00606E51">
        <w:rPr>
          <w:lang w:val="es-CO"/>
        </w:rPr>
        <w:noBreakHyphen/>
      </w:r>
      <w:r w:rsidR="00F1370E" w:rsidRPr="00606E51">
        <w:rPr>
          <w:lang w:val="es-CO"/>
        </w:rPr>
        <w:fldChar w:fldCharType="begin"/>
      </w:r>
      <w:r w:rsidR="00F1370E" w:rsidRPr="00606E51">
        <w:rPr>
          <w:lang w:val="es-CO"/>
        </w:rPr>
        <w:instrText xml:space="preserve"> SEQ Cuadro \* ROMAN \s 1 </w:instrText>
      </w:r>
      <w:r w:rsidR="00F1370E" w:rsidRPr="00606E51">
        <w:rPr>
          <w:lang w:val="es-CO"/>
        </w:rPr>
        <w:fldChar w:fldCharType="separate"/>
      </w:r>
      <w:r w:rsidR="00F1370E" w:rsidRPr="00606E51">
        <w:rPr>
          <w:lang w:val="es-CO"/>
        </w:rPr>
        <w:t>II</w:t>
      </w:r>
      <w:r w:rsidR="00F1370E" w:rsidRPr="00606E51">
        <w:rPr>
          <w:lang w:val="es-CO"/>
        </w:rPr>
        <w:fldChar w:fldCharType="end"/>
      </w:r>
      <w:bookmarkEnd w:id="34"/>
      <w:r w:rsidRPr="00606E51">
        <w:rPr>
          <w:lang w:val="es-CO"/>
        </w:rPr>
        <w:t>: Participantes grupos de discusión dirigida</w:t>
      </w:r>
      <w:bookmarkEnd w:id="35"/>
      <w:bookmarkEnd w:id="36"/>
    </w:p>
    <w:tbl>
      <w:tblPr>
        <w:tblStyle w:val="TableGrid"/>
        <w:tblW w:w="9805" w:type="dxa"/>
        <w:tblLook w:val="04A0" w:firstRow="1" w:lastRow="0" w:firstColumn="1" w:lastColumn="0" w:noHBand="0" w:noVBand="1"/>
      </w:tblPr>
      <w:tblGrid>
        <w:gridCol w:w="1618"/>
        <w:gridCol w:w="1140"/>
        <w:gridCol w:w="1793"/>
        <w:gridCol w:w="5254"/>
      </w:tblGrid>
      <w:tr w:rsidR="00601F28" w:rsidRPr="00606E51" w14:paraId="3444CEF8" w14:textId="77777777" w:rsidTr="00BA6068">
        <w:trPr>
          <w:trHeight w:val="409"/>
        </w:trPr>
        <w:tc>
          <w:tcPr>
            <w:tcW w:w="1618" w:type="dxa"/>
          </w:tcPr>
          <w:p w14:paraId="06ECB777" w14:textId="77777777" w:rsidR="00432670" w:rsidRPr="00606E51" w:rsidRDefault="00432670" w:rsidP="00432670">
            <w:pPr>
              <w:rPr>
                <w:rFonts w:eastAsiaTheme="majorEastAsia"/>
                <w:sz w:val="18"/>
                <w:szCs w:val="22"/>
                <w:lang w:val="es-CO" w:eastAsia="en-US"/>
              </w:rPr>
            </w:pPr>
            <w:r w:rsidRPr="00606E51">
              <w:rPr>
                <w:rFonts w:eastAsiaTheme="majorEastAsia"/>
                <w:sz w:val="18"/>
                <w:szCs w:val="22"/>
                <w:lang w:val="es-CO" w:eastAsia="en-US"/>
              </w:rPr>
              <w:t>Actor</w:t>
            </w:r>
          </w:p>
        </w:tc>
        <w:tc>
          <w:tcPr>
            <w:tcW w:w="1140" w:type="dxa"/>
          </w:tcPr>
          <w:p w14:paraId="424708BB" w14:textId="77777777" w:rsidR="00432670" w:rsidRPr="00606E51" w:rsidRDefault="00432670" w:rsidP="00432670">
            <w:pPr>
              <w:rPr>
                <w:rFonts w:eastAsiaTheme="majorEastAsia"/>
                <w:sz w:val="18"/>
                <w:szCs w:val="22"/>
                <w:lang w:val="es-CO" w:eastAsia="en-US"/>
              </w:rPr>
            </w:pPr>
            <w:r w:rsidRPr="00606E51">
              <w:rPr>
                <w:rFonts w:eastAsiaTheme="majorEastAsia"/>
                <w:sz w:val="18"/>
                <w:szCs w:val="22"/>
                <w:lang w:val="es-CO" w:eastAsia="en-US"/>
              </w:rPr>
              <w:t xml:space="preserve"># </w:t>
            </w:r>
            <w:r w:rsidR="00601F28" w:rsidRPr="00606E51">
              <w:rPr>
                <w:rFonts w:eastAsiaTheme="majorEastAsia"/>
                <w:sz w:val="18"/>
                <w:szCs w:val="22"/>
                <w:lang w:val="es-CO" w:eastAsia="en-US"/>
              </w:rPr>
              <w:t xml:space="preserve">Grupos </w:t>
            </w:r>
            <w:r w:rsidR="00790A20" w:rsidRPr="00606E51">
              <w:rPr>
                <w:rFonts w:eastAsiaTheme="majorEastAsia"/>
                <w:sz w:val="18"/>
                <w:szCs w:val="22"/>
                <w:lang w:val="es-CO" w:eastAsia="en-US"/>
              </w:rPr>
              <w:t xml:space="preserve">de </w:t>
            </w:r>
            <w:r w:rsidRPr="00606E51">
              <w:rPr>
                <w:rFonts w:eastAsiaTheme="majorEastAsia"/>
                <w:sz w:val="18"/>
                <w:szCs w:val="22"/>
                <w:lang w:val="es-CO" w:eastAsia="en-US"/>
              </w:rPr>
              <w:t>discusión</w:t>
            </w:r>
          </w:p>
        </w:tc>
        <w:tc>
          <w:tcPr>
            <w:tcW w:w="1793" w:type="dxa"/>
          </w:tcPr>
          <w:p w14:paraId="3A26B6C1" w14:textId="77777777" w:rsidR="00432670" w:rsidRPr="00606E51" w:rsidRDefault="00432670" w:rsidP="00432670">
            <w:pPr>
              <w:rPr>
                <w:rFonts w:eastAsiaTheme="majorEastAsia"/>
                <w:sz w:val="18"/>
                <w:szCs w:val="22"/>
                <w:lang w:val="es-CO" w:eastAsia="en-US"/>
              </w:rPr>
            </w:pPr>
            <w:r w:rsidRPr="00606E51">
              <w:rPr>
                <w:rFonts w:eastAsiaTheme="majorEastAsia"/>
                <w:sz w:val="18"/>
                <w:szCs w:val="22"/>
                <w:lang w:val="es-CO" w:eastAsia="en-US"/>
              </w:rPr>
              <w:t># Participantes</w:t>
            </w:r>
          </w:p>
        </w:tc>
        <w:tc>
          <w:tcPr>
            <w:tcW w:w="5254" w:type="dxa"/>
          </w:tcPr>
          <w:p w14:paraId="7A3DE9F1" w14:textId="77777777" w:rsidR="00432670" w:rsidRPr="00606E51" w:rsidRDefault="00432670" w:rsidP="00432670">
            <w:pPr>
              <w:rPr>
                <w:rFonts w:eastAsiaTheme="majorEastAsia"/>
                <w:sz w:val="18"/>
                <w:szCs w:val="22"/>
                <w:lang w:val="es-CO" w:eastAsia="en-US"/>
              </w:rPr>
            </w:pPr>
            <w:r w:rsidRPr="00606E51">
              <w:rPr>
                <w:rFonts w:eastAsiaTheme="majorEastAsia"/>
                <w:sz w:val="18"/>
                <w:szCs w:val="22"/>
                <w:lang w:val="es-CO" w:eastAsia="en-US"/>
              </w:rPr>
              <w:t>Nombre de instituciones</w:t>
            </w:r>
          </w:p>
        </w:tc>
      </w:tr>
      <w:tr w:rsidR="00851238" w:rsidRPr="00606E51" w14:paraId="5CEB39AF" w14:textId="77777777" w:rsidTr="00BA6068">
        <w:trPr>
          <w:trHeight w:val="476"/>
        </w:trPr>
        <w:tc>
          <w:tcPr>
            <w:tcW w:w="1618" w:type="dxa"/>
          </w:tcPr>
          <w:p w14:paraId="4EC4C2DB"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Autoridad</w:t>
            </w:r>
          </w:p>
          <w:p w14:paraId="6D741F53"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Territorial </w:t>
            </w:r>
          </w:p>
          <w:p w14:paraId="1AE2B634" w14:textId="77777777" w:rsidR="00432670" w:rsidRPr="00606E51" w:rsidRDefault="00432670" w:rsidP="00432670">
            <w:pPr>
              <w:rPr>
                <w:rFonts w:eastAsiaTheme="majorEastAsia"/>
                <w:b w:val="0"/>
                <w:sz w:val="18"/>
                <w:szCs w:val="22"/>
                <w:lang w:val="es-CO" w:eastAsia="en-US"/>
              </w:rPr>
            </w:pPr>
          </w:p>
          <w:p w14:paraId="0674B6E5"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EAPB (aseguradores):</w:t>
            </w:r>
          </w:p>
          <w:p w14:paraId="4699260A"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EPS, EPSI </w:t>
            </w:r>
          </w:p>
          <w:p w14:paraId="7C5525F8" w14:textId="77777777" w:rsidR="00432670" w:rsidRPr="00606E51" w:rsidRDefault="00432670" w:rsidP="00432670">
            <w:pPr>
              <w:rPr>
                <w:rFonts w:eastAsiaTheme="majorEastAsia"/>
                <w:b w:val="0"/>
                <w:sz w:val="18"/>
                <w:szCs w:val="22"/>
                <w:lang w:val="es-CO" w:eastAsia="en-US"/>
              </w:rPr>
            </w:pPr>
          </w:p>
          <w:p w14:paraId="699EA137"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Prestadores:</w:t>
            </w:r>
          </w:p>
          <w:p w14:paraId="059B9A38"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IPS, IPSI, ESE</w:t>
            </w:r>
          </w:p>
        </w:tc>
        <w:tc>
          <w:tcPr>
            <w:tcW w:w="1140" w:type="dxa"/>
          </w:tcPr>
          <w:p w14:paraId="3D7804A6"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 Manaure</w:t>
            </w:r>
          </w:p>
        </w:tc>
        <w:tc>
          <w:tcPr>
            <w:tcW w:w="1793" w:type="dxa"/>
          </w:tcPr>
          <w:p w14:paraId="405737E2"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16 participantes</w:t>
            </w:r>
          </w:p>
          <w:p w14:paraId="6D07C24C" w14:textId="77777777" w:rsidR="00432670" w:rsidRPr="00606E51" w:rsidRDefault="00432670" w:rsidP="00432670">
            <w:pPr>
              <w:rPr>
                <w:rFonts w:eastAsiaTheme="majorEastAsia"/>
                <w:b w:val="0"/>
                <w:sz w:val="18"/>
                <w:szCs w:val="22"/>
                <w:lang w:val="es-CO" w:eastAsia="en-US"/>
              </w:rPr>
            </w:pPr>
          </w:p>
          <w:p w14:paraId="5DB5DEB6"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9 instituciones</w:t>
            </w:r>
          </w:p>
          <w:p w14:paraId="252DC4C2" w14:textId="77777777" w:rsidR="00432670" w:rsidRPr="00606E51" w:rsidRDefault="00432670" w:rsidP="00432670">
            <w:pPr>
              <w:rPr>
                <w:rFonts w:eastAsiaTheme="majorEastAsia"/>
                <w:b w:val="0"/>
                <w:sz w:val="18"/>
                <w:szCs w:val="22"/>
                <w:lang w:val="es-CO" w:eastAsia="en-US"/>
              </w:rPr>
            </w:pPr>
          </w:p>
          <w:p w14:paraId="67E21BBE" w14:textId="77777777" w:rsidR="00432670" w:rsidRPr="00606E51" w:rsidRDefault="00432670" w:rsidP="00432670">
            <w:pPr>
              <w:rPr>
                <w:rFonts w:eastAsiaTheme="majorEastAsia"/>
                <w:b w:val="0"/>
                <w:sz w:val="18"/>
                <w:szCs w:val="22"/>
                <w:lang w:val="es-CO" w:eastAsia="en-US"/>
              </w:rPr>
            </w:pPr>
          </w:p>
        </w:tc>
        <w:tc>
          <w:tcPr>
            <w:tcW w:w="5254" w:type="dxa"/>
          </w:tcPr>
          <w:p w14:paraId="684F3CFC"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Secretaría de Salud Municipal</w:t>
            </w:r>
          </w:p>
          <w:p w14:paraId="42E37E24"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EPSI Anaswayúu</w:t>
            </w:r>
          </w:p>
          <w:p w14:paraId="2C6B08D1"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EPSI AIC - Asociación Indígena del Cauca</w:t>
            </w:r>
          </w:p>
          <w:p w14:paraId="213DF652"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EPS Compaguajira</w:t>
            </w:r>
          </w:p>
          <w:p w14:paraId="611F6AB3"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IPSI Ayuuleepala</w:t>
            </w:r>
          </w:p>
          <w:p w14:paraId="0D4D36BD"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IPSI Anashiwaya</w:t>
            </w:r>
          </w:p>
          <w:p w14:paraId="66399EBD"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IPSI Solwayúu</w:t>
            </w:r>
          </w:p>
          <w:p w14:paraId="4B8BADB3"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IPSI Amaufa</w:t>
            </w:r>
          </w:p>
          <w:p w14:paraId="48937B3A" w14:textId="77777777" w:rsidR="00432670" w:rsidRPr="00606E51" w:rsidRDefault="00432670" w:rsidP="00BB1D7B">
            <w:pPr>
              <w:numPr>
                <w:ilvl w:val="0"/>
                <w:numId w:val="16"/>
              </w:numPr>
              <w:ind w:left="437"/>
              <w:rPr>
                <w:rFonts w:eastAsiaTheme="majorEastAsia"/>
                <w:b w:val="0"/>
                <w:sz w:val="18"/>
                <w:szCs w:val="22"/>
                <w:lang w:val="es-CO" w:eastAsia="en-US"/>
              </w:rPr>
            </w:pPr>
            <w:r w:rsidRPr="00606E51">
              <w:rPr>
                <w:rFonts w:eastAsiaTheme="majorEastAsia"/>
                <w:b w:val="0"/>
                <w:sz w:val="18"/>
                <w:szCs w:val="22"/>
                <w:lang w:val="es-CO" w:eastAsia="en-US"/>
              </w:rPr>
              <w:t>ESE Hospital Armando López Pabón</w:t>
            </w:r>
          </w:p>
        </w:tc>
      </w:tr>
      <w:tr w:rsidR="00851238" w:rsidRPr="00606E51" w14:paraId="16A24FBC" w14:textId="77777777" w:rsidTr="00BA6068">
        <w:trPr>
          <w:trHeight w:val="2330"/>
        </w:trPr>
        <w:tc>
          <w:tcPr>
            <w:tcW w:w="1618" w:type="dxa"/>
          </w:tcPr>
          <w:p w14:paraId="4710D1B4"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Autoridad</w:t>
            </w:r>
          </w:p>
          <w:p w14:paraId="6B49CC24"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Territorial</w:t>
            </w:r>
          </w:p>
          <w:p w14:paraId="0929748C" w14:textId="77777777" w:rsidR="00432670" w:rsidRPr="00606E51" w:rsidRDefault="00432670" w:rsidP="00432670">
            <w:pPr>
              <w:rPr>
                <w:rFonts w:eastAsiaTheme="majorEastAsia"/>
                <w:b w:val="0"/>
                <w:sz w:val="18"/>
                <w:szCs w:val="22"/>
                <w:u w:val="single"/>
                <w:lang w:val="es-CO" w:eastAsia="en-US"/>
              </w:rPr>
            </w:pPr>
          </w:p>
          <w:p w14:paraId="1668CEE4"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EAPB (aseguradores):</w:t>
            </w:r>
          </w:p>
          <w:p w14:paraId="4DD5C4DD"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EPS, EPSI </w:t>
            </w:r>
          </w:p>
          <w:p w14:paraId="1CEE296E" w14:textId="77777777" w:rsidR="00432670" w:rsidRPr="00606E51" w:rsidRDefault="00432670" w:rsidP="00432670">
            <w:pPr>
              <w:rPr>
                <w:rFonts w:eastAsiaTheme="majorEastAsia"/>
                <w:b w:val="0"/>
                <w:sz w:val="18"/>
                <w:szCs w:val="22"/>
                <w:lang w:val="es-CO" w:eastAsia="en-US"/>
              </w:rPr>
            </w:pPr>
          </w:p>
          <w:p w14:paraId="77B81DF3"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Prestadores:</w:t>
            </w:r>
          </w:p>
          <w:p w14:paraId="6D61EDEF"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IPS, IPSI, ESE, </w:t>
            </w:r>
          </w:p>
          <w:p w14:paraId="60F1D100"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Hospital Privado</w:t>
            </w:r>
          </w:p>
        </w:tc>
        <w:tc>
          <w:tcPr>
            <w:tcW w:w="1140" w:type="dxa"/>
          </w:tcPr>
          <w:p w14:paraId="37EBCB7C"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 Uribia</w:t>
            </w:r>
          </w:p>
        </w:tc>
        <w:tc>
          <w:tcPr>
            <w:tcW w:w="1793" w:type="dxa"/>
          </w:tcPr>
          <w:p w14:paraId="6BEA2FC2"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18 participantes</w:t>
            </w:r>
          </w:p>
          <w:p w14:paraId="12370BE8" w14:textId="77777777" w:rsidR="00432670" w:rsidRPr="00606E51" w:rsidRDefault="00432670" w:rsidP="00432670">
            <w:pPr>
              <w:rPr>
                <w:rFonts w:eastAsiaTheme="majorEastAsia"/>
                <w:b w:val="0"/>
                <w:sz w:val="18"/>
                <w:szCs w:val="22"/>
                <w:lang w:val="es-CO" w:eastAsia="en-US"/>
              </w:rPr>
            </w:pPr>
          </w:p>
          <w:p w14:paraId="64D08272"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10</w:t>
            </w:r>
          </w:p>
          <w:p w14:paraId="2E292DFA"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instituciones</w:t>
            </w:r>
          </w:p>
        </w:tc>
        <w:tc>
          <w:tcPr>
            <w:tcW w:w="5254" w:type="dxa"/>
          </w:tcPr>
          <w:p w14:paraId="7CD58C22"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Secretaría de Salud Municipal</w:t>
            </w:r>
          </w:p>
          <w:p w14:paraId="276DFD06"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EPS Comfaguajira</w:t>
            </w:r>
          </w:p>
          <w:p w14:paraId="41908EA5"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EPSI Dusakawi: Asociación de Cabildos Indígenas del Cesar y la Guajira</w:t>
            </w:r>
          </w:p>
          <w:p w14:paraId="61BD2402"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IPS Paleima</w:t>
            </w:r>
          </w:p>
          <w:p w14:paraId="301B594A"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IPS Outajiapule</w:t>
            </w:r>
          </w:p>
          <w:p w14:paraId="243D2953"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IPSI Asocabildos</w:t>
            </w:r>
          </w:p>
          <w:p w14:paraId="59672CE4"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IPSI Solwayúu</w:t>
            </w:r>
          </w:p>
          <w:p w14:paraId="66321B90"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IPSI Sopulawayúu</w:t>
            </w:r>
          </w:p>
          <w:p w14:paraId="2B58635E"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ESE Hospital Nuestra Señora Perpetuo Socorro</w:t>
            </w:r>
          </w:p>
          <w:p w14:paraId="78E8D0E1" w14:textId="77777777" w:rsidR="00432670" w:rsidRPr="00606E51" w:rsidRDefault="00432670" w:rsidP="00BB1D7B">
            <w:pPr>
              <w:numPr>
                <w:ilvl w:val="0"/>
                <w:numId w:val="17"/>
              </w:numPr>
              <w:ind w:left="437"/>
              <w:rPr>
                <w:rFonts w:eastAsiaTheme="majorEastAsia"/>
                <w:b w:val="0"/>
                <w:sz w:val="18"/>
                <w:szCs w:val="22"/>
                <w:lang w:val="es-CO" w:eastAsia="en-US"/>
              </w:rPr>
            </w:pPr>
            <w:r w:rsidRPr="00606E51">
              <w:rPr>
                <w:rFonts w:eastAsiaTheme="majorEastAsia"/>
                <w:b w:val="0"/>
                <w:sz w:val="18"/>
                <w:szCs w:val="22"/>
                <w:lang w:val="es-CO" w:eastAsia="en-US"/>
              </w:rPr>
              <w:t>UMI Talapüín (Unidad Materno Infantil Privada)</w:t>
            </w:r>
          </w:p>
        </w:tc>
      </w:tr>
      <w:tr w:rsidR="00851238" w:rsidRPr="00606E51" w14:paraId="02A7B4C7" w14:textId="77777777" w:rsidTr="00BA6068">
        <w:trPr>
          <w:trHeight w:val="2044"/>
        </w:trPr>
        <w:tc>
          <w:tcPr>
            <w:tcW w:w="1618" w:type="dxa"/>
          </w:tcPr>
          <w:p w14:paraId="6BD9ACD8"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Autoridad</w:t>
            </w:r>
          </w:p>
          <w:p w14:paraId="18C8DA99"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Territorial </w:t>
            </w:r>
          </w:p>
          <w:p w14:paraId="6C76EA6F" w14:textId="77777777" w:rsidR="00432670" w:rsidRPr="00606E51" w:rsidRDefault="00432670" w:rsidP="00432670">
            <w:pPr>
              <w:rPr>
                <w:rFonts w:eastAsiaTheme="majorEastAsia"/>
                <w:b w:val="0"/>
                <w:sz w:val="18"/>
                <w:szCs w:val="22"/>
                <w:u w:val="single"/>
                <w:lang w:val="es-CO" w:eastAsia="en-US"/>
              </w:rPr>
            </w:pPr>
          </w:p>
          <w:p w14:paraId="290C8FC6"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EAPB (aseguradores):</w:t>
            </w:r>
          </w:p>
          <w:p w14:paraId="61F464B0"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EPS</w:t>
            </w:r>
          </w:p>
          <w:p w14:paraId="77C791E5" w14:textId="77777777" w:rsidR="00432670" w:rsidRPr="00606E51" w:rsidRDefault="00432670" w:rsidP="00432670">
            <w:pPr>
              <w:rPr>
                <w:rFonts w:eastAsiaTheme="majorEastAsia"/>
                <w:b w:val="0"/>
                <w:sz w:val="18"/>
                <w:szCs w:val="22"/>
                <w:lang w:val="es-CO" w:eastAsia="en-US"/>
              </w:rPr>
            </w:pPr>
          </w:p>
          <w:p w14:paraId="3E34F5DA" w14:textId="77777777" w:rsidR="00432670" w:rsidRPr="00606E51" w:rsidRDefault="00432670" w:rsidP="00432670">
            <w:pPr>
              <w:rPr>
                <w:rFonts w:eastAsiaTheme="majorEastAsia"/>
                <w:b w:val="0"/>
                <w:sz w:val="18"/>
                <w:szCs w:val="22"/>
                <w:u w:val="single"/>
                <w:lang w:val="es-CO" w:eastAsia="en-US"/>
              </w:rPr>
            </w:pPr>
            <w:r w:rsidRPr="00606E51">
              <w:rPr>
                <w:rFonts w:eastAsiaTheme="majorEastAsia"/>
                <w:b w:val="0"/>
                <w:sz w:val="18"/>
                <w:szCs w:val="22"/>
                <w:u w:val="single"/>
                <w:lang w:val="es-CO" w:eastAsia="en-US"/>
              </w:rPr>
              <w:t>Prestadores:</w:t>
            </w:r>
          </w:p>
          <w:p w14:paraId="10C8892F"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IPS, IPSI, ESE, </w:t>
            </w:r>
          </w:p>
          <w:p w14:paraId="78439382"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Clínica, UCI</w:t>
            </w:r>
          </w:p>
        </w:tc>
        <w:tc>
          <w:tcPr>
            <w:tcW w:w="1140" w:type="dxa"/>
          </w:tcPr>
          <w:p w14:paraId="537ECE59"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1 Maicao</w:t>
            </w:r>
          </w:p>
        </w:tc>
        <w:tc>
          <w:tcPr>
            <w:tcW w:w="1793" w:type="dxa"/>
          </w:tcPr>
          <w:p w14:paraId="42BF0A5E"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20 participantes</w:t>
            </w:r>
          </w:p>
          <w:p w14:paraId="35FD906A" w14:textId="77777777" w:rsidR="00432670" w:rsidRPr="00606E51" w:rsidRDefault="00432670" w:rsidP="00432670">
            <w:pPr>
              <w:rPr>
                <w:rFonts w:eastAsiaTheme="majorEastAsia"/>
                <w:b w:val="0"/>
                <w:sz w:val="18"/>
                <w:szCs w:val="22"/>
                <w:lang w:val="es-CO" w:eastAsia="en-US"/>
              </w:rPr>
            </w:pPr>
          </w:p>
          <w:p w14:paraId="5B9A0B4C"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 xml:space="preserve">9 </w:t>
            </w:r>
          </w:p>
          <w:p w14:paraId="3FB045D1" w14:textId="77777777" w:rsidR="00432670" w:rsidRPr="00606E51" w:rsidRDefault="00432670" w:rsidP="00432670">
            <w:pPr>
              <w:rPr>
                <w:rFonts w:eastAsiaTheme="majorEastAsia"/>
                <w:b w:val="0"/>
                <w:sz w:val="18"/>
                <w:szCs w:val="22"/>
                <w:lang w:val="es-CO" w:eastAsia="en-US"/>
              </w:rPr>
            </w:pPr>
            <w:r w:rsidRPr="00606E51">
              <w:rPr>
                <w:rFonts w:eastAsiaTheme="majorEastAsia"/>
                <w:b w:val="0"/>
                <w:sz w:val="18"/>
                <w:szCs w:val="22"/>
                <w:lang w:val="es-CO" w:eastAsia="en-US"/>
              </w:rPr>
              <w:t>instituciones</w:t>
            </w:r>
          </w:p>
        </w:tc>
        <w:tc>
          <w:tcPr>
            <w:tcW w:w="5254" w:type="dxa"/>
          </w:tcPr>
          <w:p w14:paraId="68732948"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Secretaría de Salud Municipal</w:t>
            </w:r>
          </w:p>
          <w:p w14:paraId="25039E80"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EPS Cajacopy</w:t>
            </w:r>
          </w:p>
          <w:p w14:paraId="16E46B32"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IPSI Anas Wayúu</w:t>
            </w:r>
          </w:p>
          <w:p w14:paraId="53F116B5"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UCI GIO Medical (Unidad de Cuidados Intensivos - operador externo de clínica de Maicao)</w:t>
            </w:r>
          </w:p>
          <w:p w14:paraId="63010AC6"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IPSI Ayuleepala</w:t>
            </w:r>
          </w:p>
          <w:p w14:paraId="3A0732C9"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Clínica de Maicao</w:t>
            </w:r>
          </w:p>
          <w:p w14:paraId="41340F3A"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IPSI Karaquita</w:t>
            </w:r>
          </w:p>
          <w:p w14:paraId="0539057B"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IPSI Casa Indígena</w:t>
            </w:r>
          </w:p>
          <w:p w14:paraId="7793F840" w14:textId="77777777" w:rsidR="00432670" w:rsidRPr="00606E51" w:rsidRDefault="00432670" w:rsidP="00BB1D7B">
            <w:pPr>
              <w:numPr>
                <w:ilvl w:val="0"/>
                <w:numId w:val="17"/>
              </w:numPr>
              <w:ind w:left="437" w:hanging="283"/>
              <w:rPr>
                <w:rFonts w:eastAsiaTheme="majorEastAsia"/>
                <w:b w:val="0"/>
                <w:sz w:val="18"/>
                <w:szCs w:val="22"/>
                <w:lang w:val="es-CO" w:eastAsia="en-US"/>
              </w:rPr>
            </w:pPr>
            <w:r w:rsidRPr="00606E51">
              <w:rPr>
                <w:rFonts w:eastAsiaTheme="majorEastAsia"/>
                <w:b w:val="0"/>
                <w:sz w:val="18"/>
                <w:szCs w:val="22"/>
                <w:lang w:val="es-CO" w:eastAsia="en-US"/>
              </w:rPr>
              <w:t>ESE San José</w:t>
            </w:r>
          </w:p>
        </w:tc>
      </w:tr>
    </w:tbl>
    <w:p w14:paraId="76CEDDC7" w14:textId="77777777" w:rsidR="000E4574" w:rsidRPr="00606E51" w:rsidRDefault="00851238" w:rsidP="000E4574">
      <w:pPr>
        <w:rPr>
          <w:sz w:val="16"/>
          <w:lang w:val="es-CO"/>
        </w:rPr>
      </w:pPr>
      <w:r w:rsidRPr="00606E51">
        <w:rPr>
          <w:sz w:val="16"/>
          <w:lang w:val="es-CO"/>
        </w:rPr>
        <w:t>Fuente: Elaboración propia</w:t>
      </w:r>
    </w:p>
    <w:p w14:paraId="791F10EE" w14:textId="77777777" w:rsidR="00B932A0" w:rsidRPr="00606E51" w:rsidRDefault="00B932A0" w:rsidP="000E4574">
      <w:pPr>
        <w:rPr>
          <w:rFonts w:cs="Times New Roman"/>
          <w:lang w:val="es-CO"/>
        </w:rPr>
      </w:pPr>
    </w:p>
    <w:p w14:paraId="37D9721F" w14:textId="77777777" w:rsidR="008B5952" w:rsidRPr="00606E51" w:rsidRDefault="00703454" w:rsidP="008A61FD">
      <w:pPr>
        <w:pStyle w:val="Heading2"/>
        <w:rPr>
          <w:lang w:val="es-CO"/>
        </w:rPr>
      </w:pPr>
      <w:r w:rsidRPr="00606E51">
        <w:rPr>
          <w:lang w:val="es-CO"/>
        </w:rPr>
        <w:t xml:space="preserve"> </w:t>
      </w:r>
      <w:bookmarkStart w:id="37" w:name="_Ref486288792"/>
      <w:bookmarkStart w:id="38" w:name="_Toc505090945"/>
      <w:r w:rsidR="004877DB" w:rsidRPr="00606E51">
        <w:rPr>
          <w:lang w:val="es-CO"/>
        </w:rPr>
        <w:t xml:space="preserve">Metodología </w:t>
      </w:r>
      <w:r w:rsidR="00B932A0" w:rsidRPr="00606E51">
        <w:rPr>
          <w:lang w:val="es-CO"/>
        </w:rPr>
        <w:t>para</w:t>
      </w:r>
      <w:r w:rsidR="004877DB" w:rsidRPr="00606E51">
        <w:rPr>
          <w:lang w:val="es-CO"/>
        </w:rPr>
        <w:t xml:space="preserve"> el análisis de</w:t>
      </w:r>
      <w:r w:rsidR="00B932A0" w:rsidRPr="00606E51">
        <w:rPr>
          <w:lang w:val="es-CO"/>
        </w:rPr>
        <w:t xml:space="preserve"> costo-efectividad</w:t>
      </w:r>
      <w:bookmarkEnd w:id="37"/>
      <w:bookmarkEnd w:id="38"/>
    </w:p>
    <w:p w14:paraId="2BFBEC40" w14:textId="77777777" w:rsidR="00703454" w:rsidRPr="00606E51" w:rsidRDefault="00703454" w:rsidP="00230768">
      <w:pPr>
        <w:jc w:val="both"/>
        <w:rPr>
          <w:lang w:val="es-CO"/>
        </w:rPr>
      </w:pPr>
    </w:p>
    <w:p w14:paraId="7AA316AF" w14:textId="77777777" w:rsidR="00177606" w:rsidRPr="00606E51" w:rsidRDefault="00177606" w:rsidP="00177606">
      <w:pPr>
        <w:jc w:val="both"/>
        <w:rPr>
          <w:lang w:val="es-CO"/>
        </w:rPr>
      </w:pPr>
      <w:r w:rsidRPr="00606E51">
        <w:rPr>
          <w:lang w:val="es-CO"/>
        </w:rPr>
        <w:t xml:space="preserve">El Análisis de Costo-Efectividad (ACE) busca realizar </w:t>
      </w:r>
      <w:r w:rsidRPr="001D4DA9">
        <w:rPr>
          <w:highlight w:val="yellow"/>
          <w:lang w:val="es-CO"/>
        </w:rPr>
        <w:t>comparaciones entre alternativas, intervenciones, programas o proyecto</w:t>
      </w:r>
      <w:r w:rsidRPr="00606E51">
        <w:rPr>
          <w:lang w:val="es-CO"/>
        </w:rPr>
        <w:t>s</w:t>
      </w:r>
      <w:r w:rsidRPr="00606E51">
        <w:rPr>
          <w:vertAlign w:val="superscript"/>
          <w:lang w:val="es-CO"/>
        </w:rPr>
        <w:footnoteReference w:id="35"/>
      </w:r>
      <w:r w:rsidRPr="00606E51">
        <w:rPr>
          <w:lang w:val="es-CO"/>
        </w:rPr>
        <w:t xml:space="preserve">, usualmente de salud, aplicados a una población para determinar </w:t>
      </w:r>
      <w:r w:rsidRPr="001D4DA9">
        <w:rPr>
          <w:highlight w:val="yellow"/>
          <w:lang w:val="es-CO"/>
        </w:rPr>
        <w:t>cuál genera los mayores efecto</w:t>
      </w:r>
      <w:r w:rsidRPr="00606E51">
        <w:rPr>
          <w:lang w:val="es-CO"/>
        </w:rPr>
        <w:t xml:space="preserve">s en términos cuantitativos (reducción de defunciones, por ejemplo) frente a los menores costos.  Para lo anterior fue necesario identificar los objetivos de la intervención que se quería evaluar y definir claramente los escenarios de evaluación, los costos y la estrategia para medir los resultados (efectividad).  </w:t>
      </w:r>
    </w:p>
    <w:p w14:paraId="5DAA23B2" w14:textId="77777777" w:rsidR="00177606" w:rsidRPr="00606E51" w:rsidRDefault="00177606" w:rsidP="00177606">
      <w:pPr>
        <w:jc w:val="both"/>
        <w:rPr>
          <w:lang w:val="es-CO"/>
        </w:rPr>
      </w:pPr>
    </w:p>
    <w:p w14:paraId="632841B2" w14:textId="77777777" w:rsidR="00177606" w:rsidRPr="00606E51" w:rsidRDefault="00177606" w:rsidP="00177606">
      <w:pPr>
        <w:jc w:val="both"/>
        <w:rPr>
          <w:lang w:val="es-CO"/>
        </w:rPr>
      </w:pPr>
      <w:r w:rsidRPr="00606E51">
        <w:rPr>
          <w:lang w:val="es-CO"/>
        </w:rPr>
        <w:t>Al analizar intervenciones en salud pública, el ACE compara el incremento en los costos debido a la aplicación de un programa y el efecto positivo (en salud) que se genera por dicho programa en la población beneficiada, como puede ser casos y muertes evitadas o la disminución de Años de Vida Ajustados por Discapacidad (AVAD)</w:t>
      </w:r>
      <w:sdt>
        <w:sdtPr>
          <w:rPr>
            <w:lang w:val="es-CO"/>
          </w:rPr>
          <w:id w:val="1760637498"/>
          <w:citation/>
        </w:sdtPr>
        <w:sdtContent>
          <w:r w:rsidRPr="00606E51">
            <w:rPr>
              <w:lang w:val="es-CO"/>
            </w:rPr>
            <w:fldChar w:fldCharType="begin"/>
          </w:r>
          <w:r w:rsidRPr="00606E51">
            <w:rPr>
              <w:lang w:val="es-CO"/>
            </w:rPr>
            <w:instrText xml:space="preserve"> CITATION Dru01 \l 9226 </w:instrText>
          </w:r>
          <w:r w:rsidRPr="00606E51">
            <w:rPr>
              <w:lang w:val="es-CO"/>
            </w:rPr>
            <w:fldChar w:fldCharType="separate"/>
          </w:r>
          <w:r w:rsidRPr="00606E51">
            <w:rPr>
              <w:lang w:val="es-CO"/>
            </w:rPr>
            <w:t xml:space="preserve"> (Drummond, O'Brien, Stoddart, &amp; Torrance, 2001)</w:t>
          </w:r>
          <w:r w:rsidRPr="00606E51">
            <w:rPr>
              <w:lang w:val="es-CO"/>
            </w:rPr>
            <w:fldChar w:fldCharType="end"/>
          </w:r>
        </w:sdtContent>
      </w:sdt>
      <w:r w:rsidRPr="00606E51">
        <w:rPr>
          <w:lang w:val="es-CO"/>
        </w:rPr>
        <w:t>. Adicionalmente, también existe la posibilidad de que la intervención genere una reducción de los costos totales, respecto a la ausencia de la misma; en este escenario el ACE permite determinar el ahorro por unidad de efectividad utilizada (por ejemplo: el ahorro por cada persona sanada o defunción evitada).</w:t>
      </w:r>
    </w:p>
    <w:p w14:paraId="1A6D484C" w14:textId="77777777" w:rsidR="00177606" w:rsidRPr="00606E51" w:rsidRDefault="00177606" w:rsidP="00177606">
      <w:pPr>
        <w:jc w:val="both"/>
        <w:rPr>
          <w:lang w:val="es-CO"/>
        </w:rPr>
      </w:pPr>
    </w:p>
    <w:p w14:paraId="6D7B3E09" w14:textId="77777777" w:rsidR="00177606" w:rsidRPr="00606E51" w:rsidRDefault="00177606" w:rsidP="00177606">
      <w:pPr>
        <w:jc w:val="both"/>
        <w:rPr>
          <w:lang w:val="es-CO"/>
        </w:rPr>
      </w:pPr>
      <w:r w:rsidRPr="00606E51">
        <w:rPr>
          <w:lang w:val="es-CO"/>
        </w:rPr>
        <w:t>Este tipo de análisis es recomendado por la OMS para identificar las intervenciones dirigidas a la prevención de los principales riesgos que afectan a la salud pública</w:t>
      </w:r>
      <w:sdt>
        <w:sdtPr>
          <w:rPr>
            <w:lang w:val="es-CO"/>
          </w:rPr>
          <w:id w:val="1974633793"/>
          <w:citation/>
        </w:sdtPr>
        <w:sdtContent>
          <w:r w:rsidRPr="00606E51">
            <w:rPr>
              <w:lang w:val="es-CO"/>
            </w:rPr>
            <w:fldChar w:fldCharType="begin"/>
          </w:r>
          <w:r w:rsidRPr="00606E51">
            <w:rPr>
              <w:lang w:val="es-CO"/>
            </w:rPr>
            <w:instrText xml:space="preserve"> CITATION Con06 \l 9226 </w:instrText>
          </w:r>
          <w:r w:rsidRPr="00606E51">
            <w:rPr>
              <w:lang w:val="es-CO"/>
            </w:rPr>
            <w:fldChar w:fldCharType="separate"/>
          </w:r>
          <w:r w:rsidRPr="00606E51">
            <w:rPr>
              <w:lang w:val="es-CO"/>
            </w:rPr>
            <w:t xml:space="preserve"> (Constenla, O'Ryan, Navarrete, Antil, &amp; Rheingans, 2006)</w:t>
          </w:r>
          <w:r w:rsidRPr="00606E51">
            <w:rPr>
              <w:lang w:val="es-CO"/>
            </w:rPr>
            <w:fldChar w:fldCharType="end"/>
          </w:r>
        </w:sdtContent>
      </w:sdt>
      <w:r w:rsidRPr="00606E51">
        <w:rPr>
          <w:lang w:val="es-CO"/>
        </w:rPr>
        <w:t xml:space="preserve"> y particularmente, sirve como una guía para priorizar las intervenciones más costo-efectivas y asequibles para las sociedades que disponen de recursos monetarios limitados. Cabe resaltar que entre las </w:t>
      </w:r>
      <w:r w:rsidRPr="00255469">
        <w:rPr>
          <w:highlight w:val="yellow"/>
          <w:lang w:val="es-CO"/>
        </w:rPr>
        <w:t>limitaciones para su elaboración se encuentra las imperfecciones o la ausencia de información sobre parámetros epidemiológicos y sobre los costos</w:t>
      </w:r>
      <w:r w:rsidRPr="00606E51">
        <w:rPr>
          <w:lang w:val="es-CO"/>
        </w:rPr>
        <w:t xml:space="preserve"> al interior de los escenarios de evaluación, por lo cual se recomienda usar diversas fuentes de información (fuentes primarias y secundarias).</w:t>
      </w:r>
    </w:p>
    <w:p w14:paraId="2C07C27A" w14:textId="77777777" w:rsidR="00177606" w:rsidRPr="00606E51" w:rsidRDefault="00177606" w:rsidP="00177606">
      <w:pPr>
        <w:jc w:val="both"/>
        <w:rPr>
          <w:lang w:val="es-CO"/>
        </w:rPr>
      </w:pPr>
    </w:p>
    <w:p w14:paraId="40BC88AE" w14:textId="77777777" w:rsidR="00177606" w:rsidRPr="00606E51" w:rsidRDefault="00177606" w:rsidP="00177606">
      <w:pPr>
        <w:jc w:val="both"/>
        <w:rPr>
          <w:lang w:val="es-CO"/>
        </w:rPr>
      </w:pPr>
      <w:r w:rsidRPr="00606E51">
        <w:rPr>
          <w:lang w:val="es-CO"/>
        </w:rPr>
        <w:t xml:space="preserve">El ACE de la aplicación del Lineamiento para el manejo integrado de la desnutrición aguda en niños y niñas de 0 a 59 meses de edad requirió </w:t>
      </w:r>
      <w:r w:rsidRPr="00577699">
        <w:rPr>
          <w:highlight w:val="yellow"/>
          <w:lang w:val="es-CO"/>
        </w:rPr>
        <w:t>definir determinados elementos</w:t>
      </w:r>
      <w:r w:rsidRPr="00606E51">
        <w:rPr>
          <w:lang w:val="es-CO"/>
        </w:rPr>
        <w:t xml:space="preserve"> que permiten realizar una identificación apropiada del objeto del estudio, de tal manera que los resultados estén ajustados a las características del Lineamiento y la disponibilidad de información; estos elementos son los </w:t>
      </w:r>
      <w:r w:rsidRPr="00577699">
        <w:rPr>
          <w:highlight w:val="yellow"/>
          <w:lang w:val="es-CO"/>
        </w:rPr>
        <w:t>escenarios de evaluación, la metodología utilizada para el cálculo de los costos y la medida de efectividad utilizada y el análisis de sensibilidad final</w:t>
      </w:r>
      <w:r w:rsidRPr="00606E51">
        <w:rPr>
          <w:lang w:val="es-CO"/>
        </w:rPr>
        <w:t>, que asimismo permite estudiar la robustez de las conclusiones.</w:t>
      </w:r>
    </w:p>
    <w:p w14:paraId="1BD44432" w14:textId="77777777" w:rsidR="00177606" w:rsidRDefault="00177606" w:rsidP="00230768">
      <w:pPr>
        <w:jc w:val="both"/>
        <w:rPr>
          <w:lang w:val="es-CO"/>
        </w:rPr>
      </w:pPr>
    </w:p>
    <w:p w14:paraId="3948E27E" w14:textId="77777777" w:rsidR="00BA4E60" w:rsidRPr="00606E51" w:rsidRDefault="00BA4E60" w:rsidP="00230768">
      <w:pPr>
        <w:jc w:val="both"/>
        <w:rPr>
          <w:lang w:val="es-CO"/>
        </w:rPr>
      </w:pPr>
      <w:r w:rsidRPr="00606E51">
        <w:rPr>
          <w:lang w:val="es-CO"/>
        </w:rPr>
        <w:t xml:space="preserve">La adecuada estimación </w:t>
      </w:r>
      <w:r w:rsidR="00932415" w:rsidRPr="00606E51">
        <w:rPr>
          <w:lang w:val="es-CO"/>
        </w:rPr>
        <w:t xml:space="preserve">de </w:t>
      </w:r>
      <w:r w:rsidRPr="00606E51">
        <w:rPr>
          <w:lang w:val="es-CO"/>
        </w:rPr>
        <w:t xml:space="preserve">los costos de atención e implementación, así como de la medida de efectividad requiere de fuentes </w:t>
      </w:r>
      <w:r w:rsidR="00BA6068">
        <w:rPr>
          <w:lang w:val="es-CO"/>
        </w:rPr>
        <w:t xml:space="preserve">precisas </w:t>
      </w:r>
      <w:r w:rsidRPr="00606E51">
        <w:rPr>
          <w:lang w:val="es-CO"/>
        </w:rPr>
        <w:t xml:space="preserve">de información, a partir de los cuales sea posible estimar resultados ajustados. </w:t>
      </w:r>
      <w:r w:rsidR="00BA6068">
        <w:rPr>
          <w:lang w:val="es-CO"/>
        </w:rPr>
        <w:t xml:space="preserve"> E</w:t>
      </w:r>
      <w:r w:rsidRPr="00606E51">
        <w:rPr>
          <w:lang w:val="es-CO"/>
        </w:rPr>
        <w:t xml:space="preserve">l </w:t>
      </w:r>
      <w:r w:rsidRPr="00606E51">
        <w:rPr>
          <w:lang w:val="es-CO"/>
        </w:rPr>
        <w:fldChar w:fldCharType="begin"/>
      </w:r>
      <w:r w:rsidRPr="00606E51">
        <w:rPr>
          <w:lang w:val="es-CO"/>
        </w:rPr>
        <w:instrText xml:space="preserve"> REF  _Ref477273195 \* Lower \h  \* MERGEFORMAT </w:instrText>
      </w:r>
      <w:r w:rsidRPr="00606E51">
        <w:rPr>
          <w:lang w:val="es-CO"/>
        </w:rPr>
      </w:r>
      <w:r w:rsidRPr="00606E51">
        <w:rPr>
          <w:lang w:val="es-CO"/>
        </w:rPr>
        <w:fldChar w:fldCharType="separate"/>
      </w:r>
      <w:r w:rsidRPr="00606E51">
        <w:rPr>
          <w:lang w:val="es-CO"/>
        </w:rPr>
        <w:t xml:space="preserve">cuadro </w:t>
      </w:r>
      <w:r w:rsidRPr="00606E51">
        <w:rPr>
          <w:bCs/>
          <w:lang w:val="es-CO"/>
        </w:rPr>
        <w:t>4.3</w:t>
      </w:r>
      <w:r w:rsidRPr="00606E51">
        <w:rPr>
          <w:lang w:val="es-CO"/>
        </w:rPr>
        <w:fldChar w:fldCharType="end"/>
      </w:r>
      <w:r w:rsidRPr="00606E51">
        <w:rPr>
          <w:lang w:val="es-CO"/>
        </w:rPr>
        <w:t xml:space="preserve">  presenta las </w:t>
      </w:r>
      <w:r w:rsidRPr="00577699">
        <w:rPr>
          <w:highlight w:val="yellow"/>
          <w:lang w:val="es-CO"/>
        </w:rPr>
        <w:t>fuentes de información ideales</w:t>
      </w:r>
      <w:r w:rsidRPr="00606E51">
        <w:rPr>
          <w:lang w:val="es-CO"/>
        </w:rPr>
        <w:t xml:space="preserve"> para la estimación de los resultados y las fuentes de información </w:t>
      </w:r>
      <w:r w:rsidR="00BA6068" w:rsidRPr="00577699">
        <w:rPr>
          <w:highlight w:val="yellow"/>
          <w:lang w:val="es-CO"/>
        </w:rPr>
        <w:t xml:space="preserve">efectivamente </w:t>
      </w:r>
      <w:r w:rsidRPr="00577699">
        <w:rPr>
          <w:highlight w:val="yellow"/>
          <w:lang w:val="es-CO"/>
        </w:rPr>
        <w:t>utilizadas</w:t>
      </w:r>
      <w:r w:rsidRPr="00606E51">
        <w:rPr>
          <w:lang w:val="es-CO"/>
        </w:rPr>
        <w:t>, como respuesta a las dificultades y limitaciones encontradas en el proceso de recolección de datos</w:t>
      </w:r>
      <w:r w:rsidR="00412A84" w:rsidRPr="00606E51">
        <w:rPr>
          <w:rStyle w:val="FootnoteReference"/>
          <w:rFonts w:cs="Times New Roman"/>
          <w:b/>
          <w:lang w:val="es-CO"/>
        </w:rPr>
        <w:footnoteReference w:id="36"/>
      </w:r>
      <w:r w:rsidRPr="00606E51">
        <w:rPr>
          <w:lang w:val="es-CO"/>
        </w:rPr>
        <w:t>.</w:t>
      </w:r>
    </w:p>
    <w:p w14:paraId="3C25DBAF" w14:textId="77777777" w:rsidR="00B932A0" w:rsidRPr="00606E51" w:rsidRDefault="00B932A0" w:rsidP="00230768">
      <w:pPr>
        <w:jc w:val="both"/>
        <w:rPr>
          <w:lang w:val="es-CO"/>
        </w:rPr>
      </w:pPr>
    </w:p>
    <w:p w14:paraId="13698F3C" w14:textId="77777777" w:rsidR="00B932A0" w:rsidRPr="00606E51" w:rsidRDefault="00BA6068" w:rsidP="00B932A0">
      <w:pPr>
        <w:jc w:val="both"/>
        <w:rPr>
          <w:lang w:val="es-CO"/>
        </w:rPr>
      </w:pPr>
      <w:r>
        <w:rPr>
          <w:lang w:val="es-CO"/>
        </w:rPr>
        <w:lastRenderedPageBreak/>
        <w:t>P</w:t>
      </w:r>
      <w:r w:rsidR="00B932A0" w:rsidRPr="00606E51">
        <w:rPr>
          <w:lang w:val="es-CO"/>
        </w:rPr>
        <w:t xml:space="preserve">ara la estimación de los costos, la mejor aproximación que se podría tener son los </w:t>
      </w:r>
      <w:r w:rsidR="00B932A0" w:rsidRPr="00577699">
        <w:rPr>
          <w:highlight w:val="yellow"/>
          <w:lang w:val="es-CO"/>
        </w:rPr>
        <w:t>reportes realizados por las IPS al MSPS a través de los Registros Individuales</w:t>
      </w:r>
      <w:r w:rsidR="00B932A0" w:rsidRPr="00606E51">
        <w:rPr>
          <w:lang w:val="es-CO"/>
        </w:rPr>
        <w:t xml:space="preserve"> de Prestación de Servicios de Salud (RIPS); tanto para el componente de costos de consultas, procedimiento, hospitalización como para medicamentos. Si bien los costos reportados en dichos registros </w:t>
      </w:r>
      <w:r w:rsidR="00B932A0" w:rsidRPr="00577699">
        <w:rPr>
          <w:highlight w:val="yellow"/>
          <w:lang w:val="es-CO"/>
        </w:rPr>
        <w:t>no son perfectos</w:t>
      </w:r>
      <w:r w:rsidR="00B932A0" w:rsidRPr="00606E51">
        <w:rPr>
          <w:lang w:val="es-CO"/>
        </w:rPr>
        <w:t xml:space="preserve">, a nivel del micro-dato permitirían identificar el tratamiento “estándar” realizado a niños y niñas cuyo diagnóstico haga parte del grupo considerado como desnutrición aguda (ver </w:t>
      </w:r>
      <w:r w:rsidR="00B932A0" w:rsidRPr="00606E51">
        <w:rPr>
          <w:lang w:val="es-CO"/>
        </w:rPr>
        <w:fldChar w:fldCharType="begin"/>
      </w:r>
      <w:r w:rsidR="00B932A0" w:rsidRPr="00606E51">
        <w:rPr>
          <w:lang w:val="es-CO"/>
        </w:rPr>
        <w:instrText xml:space="preserve"> REF  _Ref477274068 \* Lower \h  \* MERGEFORMAT </w:instrText>
      </w:r>
      <w:r w:rsidR="00B932A0" w:rsidRPr="00606E51">
        <w:rPr>
          <w:lang w:val="es-CO"/>
        </w:rPr>
      </w:r>
      <w:r w:rsidR="00B932A0" w:rsidRPr="00606E51">
        <w:rPr>
          <w:lang w:val="es-CO"/>
        </w:rPr>
        <w:fldChar w:fldCharType="separate"/>
      </w:r>
      <w:r w:rsidR="00B932A0" w:rsidRPr="00606E51">
        <w:rPr>
          <w:lang w:val="es-CO"/>
        </w:rPr>
        <w:t>cuadro</w:t>
      </w:r>
      <w:r w:rsidR="00B932A0" w:rsidRPr="00606E51">
        <w:rPr>
          <w:bCs/>
          <w:lang w:val="es-CO"/>
        </w:rPr>
        <w:t xml:space="preserve"> 4</w:t>
      </w:r>
      <w:r w:rsidR="00B932A0" w:rsidRPr="00606E51">
        <w:rPr>
          <w:bCs/>
          <w:lang w:val="es-CO"/>
        </w:rPr>
        <w:noBreakHyphen/>
        <w:t>4</w:t>
      </w:r>
      <w:r w:rsidR="00B932A0" w:rsidRPr="00606E51">
        <w:rPr>
          <w:lang w:val="es-CO"/>
        </w:rPr>
        <w:fldChar w:fldCharType="end"/>
      </w:r>
      <w:r w:rsidR="00B932A0" w:rsidRPr="00606E51">
        <w:rPr>
          <w:lang w:val="es-CO"/>
        </w:rPr>
        <w:t>); lo anterior es un elemento importante en la estimación de los costos, ya que permitiría determinar el costo de tratamiento en ausencia del Lineamiento</w:t>
      </w:r>
      <w:r w:rsidR="00B932A0" w:rsidRPr="00606E51">
        <w:rPr>
          <w:rStyle w:val="FootnoteReference"/>
          <w:lang w:val="es-CO"/>
        </w:rPr>
        <w:footnoteReference w:id="37"/>
      </w:r>
      <w:r w:rsidR="00B932A0" w:rsidRPr="00606E51">
        <w:rPr>
          <w:lang w:val="es-CO"/>
        </w:rPr>
        <w:t>.</w:t>
      </w:r>
    </w:p>
    <w:p w14:paraId="53A8AF49" w14:textId="77777777" w:rsidR="004877DB" w:rsidRPr="00606E51" w:rsidRDefault="004877DB" w:rsidP="00B932A0">
      <w:pPr>
        <w:jc w:val="both"/>
        <w:rPr>
          <w:lang w:val="es-CO"/>
        </w:rPr>
      </w:pPr>
    </w:p>
    <w:p w14:paraId="09597018" w14:textId="77777777" w:rsidR="007368EE" w:rsidRPr="00606E51" w:rsidRDefault="007368EE" w:rsidP="00B932A0">
      <w:pPr>
        <w:jc w:val="center"/>
        <w:rPr>
          <w:b/>
          <w:lang w:val="es-CO"/>
        </w:rPr>
      </w:pPr>
      <w:bookmarkStart w:id="39" w:name="_Toc490045701"/>
      <w:r w:rsidRPr="00606E51">
        <w:rPr>
          <w:b/>
          <w:lang w:val="es-CO"/>
        </w:rPr>
        <w:t xml:space="preserve">Cuadro </w:t>
      </w:r>
      <w:r w:rsidR="00F1370E" w:rsidRPr="00606E51">
        <w:rPr>
          <w:b/>
          <w:lang w:val="es-CO"/>
        </w:rPr>
        <w:fldChar w:fldCharType="begin"/>
      </w:r>
      <w:r w:rsidR="00F1370E" w:rsidRPr="00606E51">
        <w:rPr>
          <w:b/>
          <w:lang w:val="es-CO"/>
        </w:rPr>
        <w:instrText xml:space="preserve"> STYLEREF 1 \s </w:instrText>
      </w:r>
      <w:r w:rsidR="00F1370E" w:rsidRPr="00606E51">
        <w:rPr>
          <w:b/>
          <w:lang w:val="es-CO"/>
        </w:rPr>
        <w:fldChar w:fldCharType="separate"/>
      </w:r>
      <w:r w:rsidR="00F1370E" w:rsidRPr="00606E51">
        <w:rPr>
          <w:b/>
          <w:lang w:val="es-CO"/>
        </w:rPr>
        <w:t>4</w:t>
      </w:r>
      <w:r w:rsidR="00F1370E" w:rsidRPr="00606E51">
        <w:rPr>
          <w:b/>
          <w:lang w:val="es-CO"/>
        </w:rPr>
        <w:fldChar w:fldCharType="end"/>
      </w:r>
      <w:r w:rsidR="00F1370E" w:rsidRPr="00606E51">
        <w:rPr>
          <w:b/>
          <w:lang w:val="es-CO"/>
        </w:rPr>
        <w:noBreakHyphen/>
      </w:r>
      <w:r w:rsidR="00F1370E" w:rsidRPr="00606E51">
        <w:rPr>
          <w:b/>
          <w:lang w:val="es-CO"/>
        </w:rPr>
        <w:fldChar w:fldCharType="begin"/>
      </w:r>
      <w:r w:rsidR="00F1370E" w:rsidRPr="00606E51">
        <w:rPr>
          <w:b/>
          <w:lang w:val="es-CO"/>
        </w:rPr>
        <w:instrText xml:space="preserve"> SEQ Cuadro \* ROMAN \s 1 </w:instrText>
      </w:r>
      <w:r w:rsidR="00F1370E" w:rsidRPr="00606E51">
        <w:rPr>
          <w:b/>
          <w:lang w:val="es-CO"/>
        </w:rPr>
        <w:fldChar w:fldCharType="separate"/>
      </w:r>
      <w:r w:rsidR="00F1370E" w:rsidRPr="00606E51">
        <w:rPr>
          <w:b/>
          <w:lang w:val="es-CO"/>
        </w:rPr>
        <w:t>III</w:t>
      </w:r>
      <w:r w:rsidR="00F1370E" w:rsidRPr="00606E51">
        <w:rPr>
          <w:b/>
          <w:lang w:val="es-CO"/>
        </w:rPr>
        <w:fldChar w:fldCharType="end"/>
      </w:r>
      <w:r w:rsidRPr="00606E51">
        <w:rPr>
          <w:b/>
          <w:bCs/>
          <w:lang w:val="es-CO"/>
        </w:rPr>
        <w:t>: Fuentes de información de costos</w:t>
      </w:r>
      <w:bookmarkEnd w:id="39"/>
    </w:p>
    <w:tbl>
      <w:tblPr>
        <w:tblW w:w="5000" w:type="pct"/>
        <w:jc w:val="center"/>
        <w:tblLayout w:type="fixed"/>
        <w:tblCellMar>
          <w:left w:w="70" w:type="dxa"/>
          <w:right w:w="70" w:type="dxa"/>
        </w:tblCellMar>
        <w:tblLook w:val="04A0" w:firstRow="1" w:lastRow="0" w:firstColumn="1" w:lastColumn="0" w:noHBand="0" w:noVBand="1"/>
      </w:tblPr>
      <w:tblGrid>
        <w:gridCol w:w="1844"/>
        <w:gridCol w:w="1748"/>
        <w:gridCol w:w="1748"/>
        <w:gridCol w:w="1748"/>
        <w:gridCol w:w="1750"/>
      </w:tblGrid>
      <w:tr w:rsidR="007368EE" w:rsidRPr="00606E51" w14:paraId="296BDD0F" w14:textId="77777777" w:rsidTr="004E5941">
        <w:trPr>
          <w:trHeight w:val="20"/>
          <w:tblHeader/>
          <w:jc w:val="center"/>
        </w:trPr>
        <w:tc>
          <w:tcPr>
            <w:tcW w:w="1043" w:type="pct"/>
            <w:tcBorders>
              <w:top w:val="nil"/>
              <w:left w:val="nil"/>
              <w:right w:val="nil"/>
            </w:tcBorders>
            <w:shd w:val="clear" w:color="auto" w:fill="auto"/>
            <w:noWrap/>
            <w:vAlign w:val="bottom"/>
            <w:hideMark/>
          </w:tcPr>
          <w:p w14:paraId="472E03C3" w14:textId="77777777" w:rsidR="007368EE" w:rsidRPr="00606E51" w:rsidRDefault="007368EE" w:rsidP="004E5941">
            <w:pPr>
              <w:rPr>
                <w:rFonts w:eastAsia="Times New Roman" w:cs="Times New Roman"/>
                <w:sz w:val="18"/>
                <w:szCs w:val="18"/>
                <w:lang w:val="es-CO" w:eastAsia="es-CO"/>
              </w:rPr>
            </w:pPr>
          </w:p>
        </w:tc>
        <w:tc>
          <w:tcPr>
            <w:tcW w:w="1978" w:type="pct"/>
            <w:gridSpan w:val="2"/>
            <w:tcBorders>
              <w:top w:val="single" w:sz="12" w:space="0" w:color="auto"/>
              <w:left w:val="nil"/>
              <w:bottom w:val="single" w:sz="12" w:space="0" w:color="auto"/>
              <w:right w:val="single" w:sz="4" w:space="0" w:color="auto"/>
            </w:tcBorders>
            <w:shd w:val="clear" w:color="auto" w:fill="auto"/>
            <w:vAlign w:val="center"/>
            <w:hideMark/>
          </w:tcPr>
          <w:p w14:paraId="4B532EC6"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Escenario con lineamiento</w:t>
            </w:r>
          </w:p>
        </w:tc>
        <w:tc>
          <w:tcPr>
            <w:tcW w:w="1979" w:type="pct"/>
            <w:gridSpan w:val="2"/>
            <w:tcBorders>
              <w:top w:val="single" w:sz="12" w:space="0" w:color="auto"/>
              <w:left w:val="single" w:sz="4" w:space="0" w:color="auto"/>
              <w:bottom w:val="single" w:sz="12" w:space="0" w:color="auto"/>
              <w:right w:val="nil"/>
            </w:tcBorders>
            <w:shd w:val="clear" w:color="auto" w:fill="auto"/>
            <w:vAlign w:val="center"/>
            <w:hideMark/>
          </w:tcPr>
          <w:p w14:paraId="51364117"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Escenario sin lineamiento</w:t>
            </w:r>
          </w:p>
        </w:tc>
      </w:tr>
      <w:tr w:rsidR="007368EE" w:rsidRPr="00606E51" w14:paraId="00ADD51C" w14:textId="77777777" w:rsidTr="004E5941">
        <w:trPr>
          <w:trHeight w:val="20"/>
          <w:tblHeader/>
          <w:jc w:val="center"/>
        </w:trPr>
        <w:tc>
          <w:tcPr>
            <w:tcW w:w="1043" w:type="pct"/>
            <w:tcBorders>
              <w:top w:val="nil"/>
              <w:left w:val="nil"/>
              <w:bottom w:val="single" w:sz="12" w:space="0" w:color="auto"/>
              <w:right w:val="nil"/>
            </w:tcBorders>
            <w:shd w:val="clear" w:color="auto" w:fill="auto"/>
            <w:noWrap/>
            <w:vAlign w:val="bottom"/>
            <w:hideMark/>
          </w:tcPr>
          <w:p w14:paraId="2A0C49CA"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 </w:t>
            </w:r>
          </w:p>
        </w:tc>
        <w:tc>
          <w:tcPr>
            <w:tcW w:w="989" w:type="pct"/>
            <w:tcBorders>
              <w:top w:val="single" w:sz="12" w:space="0" w:color="auto"/>
              <w:left w:val="nil"/>
              <w:bottom w:val="single" w:sz="12" w:space="0" w:color="auto"/>
              <w:right w:val="nil"/>
            </w:tcBorders>
            <w:shd w:val="clear" w:color="auto" w:fill="auto"/>
            <w:vAlign w:val="center"/>
            <w:hideMark/>
          </w:tcPr>
          <w:p w14:paraId="34778CD8"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Fuente ideal</w:t>
            </w:r>
          </w:p>
        </w:tc>
        <w:tc>
          <w:tcPr>
            <w:tcW w:w="989" w:type="pct"/>
            <w:tcBorders>
              <w:top w:val="single" w:sz="12" w:space="0" w:color="auto"/>
              <w:left w:val="nil"/>
              <w:bottom w:val="single" w:sz="12" w:space="0" w:color="auto"/>
              <w:right w:val="single" w:sz="4" w:space="0" w:color="auto"/>
            </w:tcBorders>
            <w:shd w:val="clear" w:color="auto" w:fill="auto"/>
            <w:vAlign w:val="center"/>
            <w:hideMark/>
          </w:tcPr>
          <w:p w14:paraId="696318BA"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Fuente utilizada</w:t>
            </w:r>
          </w:p>
        </w:tc>
        <w:tc>
          <w:tcPr>
            <w:tcW w:w="989" w:type="pct"/>
            <w:tcBorders>
              <w:top w:val="single" w:sz="12" w:space="0" w:color="auto"/>
              <w:left w:val="single" w:sz="4" w:space="0" w:color="auto"/>
              <w:bottom w:val="single" w:sz="12" w:space="0" w:color="auto"/>
              <w:right w:val="nil"/>
            </w:tcBorders>
            <w:shd w:val="clear" w:color="auto" w:fill="auto"/>
            <w:vAlign w:val="center"/>
            <w:hideMark/>
          </w:tcPr>
          <w:p w14:paraId="19B884BE"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Fuente ideal</w:t>
            </w:r>
          </w:p>
        </w:tc>
        <w:tc>
          <w:tcPr>
            <w:tcW w:w="989" w:type="pct"/>
            <w:tcBorders>
              <w:top w:val="single" w:sz="12" w:space="0" w:color="auto"/>
              <w:left w:val="nil"/>
              <w:bottom w:val="single" w:sz="12" w:space="0" w:color="auto"/>
              <w:right w:val="nil"/>
            </w:tcBorders>
            <w:shd w:val="clear" w:color="auto" w:fill="auto"/>
            <w:vAlign w:val="center"/>
            <w:hideMark/>
          </w:tcPr>
          <w:p w14:paraId="56C93973" w14:textId="77777777" w:rsidR="007368EE" w:rsidRPr="00606E51" w:rsidRDefault="007368EE" w:rsidP="004E5941">
            <w:pPr>
              <w:jc w:val="cente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Fuente utilizada</w:t>
            </w:r>
          </w:p>
        </w:tc>
      </w:tr>
      <w:tr w:rsidR="007368EE" w:rsidRPr="00606E51" w14:paraId="6FFA297A" w14:textId="77777777" w:rsidTr="004E5941">
        <w:trPr>
          <w:trHeight w:val="20"/>
          <w:jc w:val="center"/>
        </w:trPr>
        <w:tc>
          <w:tcPr>
            <w:tcW w:w="1043" w:type="pct"/>
            <w:tcBorders>
              <w:top w:val="single" w:sz="12" w:space="0" w:color="auto"/>
              <w:left w:val="nil"/>
              <w:bottom w:val="single" w:sz="12" w:space="0" w:color="auto"/>
              <w:right w:val="nil"/>
            </w:tcBorders>
            <w:shd w:val="clear" w:color="auto" w:fill="auto"/>
            <w:noWrap/>
            <w:vAlign w:val="center"/>
            <w:hideMark/>
          </w:tcPr>
          <w:p w14:paraId="27D54EF7" w14:textId="77777777" w:rsidR="007368EE" w:rsidRPr="00606E51" w:rsidRDefault="007368EE" w:rsidP="004E5941">
            <w:pP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Atención ambulatoria de manejo en el hogar</w:t>
            </w:r>
          </w:p>
        </w:tc>
        <w:tc>
          <w:tcPr>
            <w:tcW w:w="989" w:type="pct"/>
            <w:tcBorders>
              <w:top w:val="single" w:sz="12" w:space="0" w:color="auto"/>
              <w:left w:val="nil"/>
              <w:bottom w:val="single" w:sz="12" w:space="0" w:color="auto"/>
              <w:right w:val="nil"/>
            </w:tcBorders>
            <w:shd w:val="clear" w:color="auto" w:fill="auto"/>
            <w:noWrap/>
            <w:vAlign w:val="center"/>
            <w:hideMark/>
          </w:tcPr>
          <w:p w14:paraId="3D43319F" w14:textId="77777777" w:rsidR="007368EE" w:rsidRPr="00606E51" w:rsidRDefault="007368EE" w:rsidP="004E5941">
            <w:pPr>
              <w:rPr>
                <w:rFonts w:eastAsia="Times New Roman" w:cs="Times New Roman"/>
                <w:color w:val="000000"/>
                <w:sz w:val="18"/>
                <w:szCs w:val="18"/>
                <w:lang w:val="es-CO" w:eastAsia="es-CO"/>
              </w:rPr>
            </w:pPr>
          </w:p>
        </w:tc>
        <w:tc>
          <w:tcPr>
            <w:tcW w:w="989" w:type="pct"/>
            <w:tcBorders>
              <w:top w:val="single" w:sz="12" w:space="0" w:color="auto"/>
              <w:left w:val="nil"/>
              <w:bottom w:val="single" w:sz="12" w:space="0" w:color="auto"/>
              <w:right w:val="single" w:sz="4" w:space="0" w:color="auto"/>
            </w:tcBorders>
            <w:shd w:val="clear" w:color="auto" w:fill="auto"/>
            <w:noWrap/>
            <w:vAlign w:val="center"/>
            <w:hideMark/>
          </w:tcPr>
          <w:p w14:paraId="55D38893" w14:textId="77777777" w:rsidR="007368EE" w:rsidRPr="00606E51" w:rsidRDefault="007368EE" w:rsidP="004E5941">
            <w:pPr>
              <w:rPr>
                <w:rFonts w:eastAsia="Times New Roman" w:cs="Times New Roman"/>
                <w:color w:val="000000"/>
                <w:sz w:val="18"/>
                <w:szCs w:val="18"/>
                <w:lang w:val="es-CO" w:eastAsia="es-CO"/>
              </w:rPr>
            </w:pPr>
          </w:p>
        </w:tc>
        <w:tc>
          <w:tcPr>
            <w:tcW w:w="989" w:type="pct"/>
            <w:tcBorders>
              <w:top w:val="single" w:sz="12" w:space="0" w:color="auto"/>
              <w:left w:val="single" w:sz="4" w:space="0" w:color="auto"/>
              <w:bottom w:val="single" w:sz="12" w:space="0" w:color="auto"/>
              <w:right w:val="nil"/>
            </w:tcBorders>
            <w:shd w:val="clear" w:color="auto" w:fill="auto"/>
            <w:noWrap/>
            <w:vAlign w:val="center"/>
            <w:hideMark/>
          </w:tcPr>
          <w:p w14:paraId="2F2B4F76" w14:textId="77777777" w:rsidR="007368EE" w:rsidRPr="00606E51" w:rsidRDefault="007368EE" w:rsidP="004E5941">
            <w:pPr>
              <w:rPr>
                <w:rFonts w:eastAsia="Times New Roman" w:cs="Times New Roman"/>
                <w:color w:val="000000"/>
                <w:sz w:val="18"/>
                <w:szCs w:val="18"/>
                <w:lang w:val="es-CO" w:eastAsia="es-CO"/>
              </w:rPr>
            </w:pPr>
          </w:p>
        </w:tc>
        <w:tc>
          <w:tcPr>
            <w:tcW w:w="989" w:type="pct"/>
            <w:tcBorders>
              <w:top w:val="single" w:sz="12" w:space="0" w:color="auto"/>
              <w:left w:val="nil"/>
              <w:bottom w:val="single" w:sz="12" w:space="0" w:color="auto"/>
              <w:right w:val="nil"/>
            </w:tcBorders>
            <w:shd w:val="clear" w:color="auto" w:fill="auto"/>
            <w:noWrap/>
            <w:vAlign w:val="center"/>
            <w:hideMark/>
          </w:tcPr>
          <w:p w14:paraId="2B943676" w14:textId="77777777" w:rsidR="007368EE" w:rsidRPr="00606E51" w:rsidRDefault="007368EE" w:rsidP="004E5941">
            <w:pPr>
              <w:rPr>
                <w:rFonts w:eastAsia="Times New Roman" w:cs="Times New Roman"/>
                <w:color w:val="000000"/>
                <w:sz w:val="18"/>
                <w:szCs w:val="18"/>
                <w:lang w:val="es-CO" w:eastAsia="es-CO"/>
              </w:rPr>
            </w:pPr>
          </w:p>
        </w:tc>
      </w:tr>
      <w:tr w:rsidR="007368EE" w:rsidRPr="00606E51" w14:paraId="06A9CD36" w14:textId="77777777" w:rsidTr="004E5941">
        <w:trPr>
          <w:trHeight w:val="20"/>
          <w:jc w:val="center"/>
        </w:trPr>
        <w:tc>
          <w:tcPr>
            <w:tcW w:w="1043" w:type="pct"/>
            <w:tcBorders>
              <w:top w:val="single" w:sz="12" w:space="0" w:color="auto"/>
              <w:left w:val="nil"/>
              <w:bottom w:val="single" w:sz="4" w:space="0" w:color="auto"/>
              <w:right w:val="nil"/>
            </w:tcBorders>
            <w:shd w:val="clear" w:color="auto" w:fill="auto"/>
            <w:vAlign w:val="center"/>
            <w:hideMark/>
          </w:tcPr>
          <w:p w14:paraId="6B161AA3"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Formula terapéutica lista para consumir (FTLC)</w:t>
            </w:r>
          </w:p>
        </w:tc>
        <w:tc>
          <w:tcPr>
            <w:tcW w:w="989" w:type="pct"/>
            <w:tcBorders>
              <w:top w:val="single" w:sz="12" w:space="0" w:color="auto"/>
              <w:left w:val="nil"/>
              <w:bottom w:val="single" w:sz="4" w:space="0" w:color="auto"/>
              <w:right w:val="nil"/>
            </w:tcBorders>
            <w:shd w:val="clear" w:color="auto" w:fill="auto"/>
            <w:vAlign w:val="center"/>
            <w:hideMark/>
          </w:tcPr>
          <w:p w14:paraId="4A08E004"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Información recolectada de la implementación del Lineamiento, MSPS, ESE o IPS</w:t>
            </w:r>
          </w:p>
        </w:tc>
        <w:tc>
          <w:tcPr>
            <w:tcW w:w="989" w:type="pct"/>
            <w:tcBorders>
              <w:top w:val="single" w:sz="12" w:space="0" w:color="auto"/>
              <w:left w:val="nil"/>
              <w:bottom w:val="single" w:sz="4" w:space="0" w:color="auto"/>
              <w:right w:val="single" w:sz="4" w:space="0" w:color="auto"/>
            </w:tcBorders>
            <w:shd w:val="clear" w:color="auto" w:fill="auto"/>
            <w:vAlign w:val="center"/>
            <w:hideMark/>
          </w:tcPr>
          <w:p w14:paraId="5186DC95"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Base recolectada durante la implementación del Lineamiento. MSPS, Hospital Nuestra Señora del Perpetuo Socorro-ESE y Lineamiento</w:t>
            </w:r>
          </w:p>
        </w:tc>
        <w:tc>
          <w:tcPr>
            <w:tcW w:w="989" w:type="pct"/>
            <w:tcBorders>
              <w:top w:val="single" w:sz="12" w:space="0" w:color="auto"/>
              <w:left w:val="single" w:sz="4" w:space="0" w:color="auto"/>
              <w:bottom w:val="single" w:sz="4" w:space="0" w:color="auto"/>
              <w:right w:val="nil"/>
            </w:tcBorders>
            <w:shd w:val="clear" w:color="auto" w:fill="auto"/>
            <w:vAlign w:val="center"/>
            <w:hideMark/>
          </w:tcPr>
          <w:p w14:paraId="3DC925E2"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c>
          <w:tcPr>
            <w:tcW w:w="989" w:type="pct"/>
            <w:tcBorders>
              <w:top w:val="single" w:sz="12" w:space="0" w:color="auto"/>
              <w:left w:val="nil"/>
              <w:bottom w:val="single" w:sz="4" w:space="0" w:color="auto"/>
              <w:right w:val="nil"/>
            </w:tcBorders>
            <w:shd w:val="clear" w:color="auto" w:fill="auto"/>
            <w:vAlign w:val="center"/>
            <w:hideMark/>
          </w:tcPr>
          <w:p w14:paraId="68BF1C33"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r>
      <w:tr w:rsidR="007368EE" w:rsidRPr="00606E51" w14:paraId="28581340" w14:textId="77777777" w:rsidTr="004E5941">
        <w:trPr>
          <w:trHeight w:val="20"/>
          <w:jc w:val="center"/>
        </w:trPr>
        <w:tc>
          <w:tcPr>
            <w:tcW w:w="1043" w:type="pct"/>
            <w:tcBorders>
              <w:top w:val="single" w:sz="4" w:space="0" w:color="auto"/>
              <w:left w:val="nil"/>
              <w:bottom w:val="single" w:sz="4" w:space="0" w:color="auto"/>
              <w:right w:val="nil"/>
            </w:tcBorders>
            <w:shd w:val="clear" w:color="auto" w:fill="auto"/>
            <w:noWrap/>
            <w:vAlign w:val="center"/>
            <w:hideMark/>
          </w:tcPr>
          <w:p w14:paraId="3B324DAF"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Otros insumos y costos no comunes</w:t>
            </w:r>
          </w:p>
        </w:tc>
        <w:tc>
          <w:tcPr>
            <w:tcW w:w="989" w:type="pct"/>
            <w:tcBorders>
              <w:top w:val="single" w:sz="4" w:space="0" w:color="auto"/>
              <w:left w:val="nil"/>
              <w:bottom w:val="single" w:sz="4" w:space="0" w:color="auto"/>
              <w:right w:val="nil"/>
            </w:tcBorders>
            <w:shd w:val="clear" w:color="auto" w:fill="auto"/>
            <w:vAlign w:val="center"/>
            <w:hideMark/>
          </w:tcPr>
          <w:p w14:paraId="13DB0DD7"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MSPS, ESE o IPS</w:t>
            </w:r>
          </w:p>
        </w:tc>
        <w:tc>
          <w:tcPr>
            <w:tcW w:w="989" w:type="pct"/>
            <w:tcBorders>
              <w:top w:val="single" w:sz="4" w:space="0" w:color="auto"/>
              <w:left w:val="nil"/>
              <w:bottom w:val="single" w:sz="4" w:space="0" w:color="auto"/>
              <w:right w:val="single" w:sz="4" w:space="0" w:color="auto"/>
            </w:tcBorders>
            <w:shd w:val="clear" w:color="auto" w:fill="auto"/>
            <w:vAlign w:val="center"/>
            <w:hideMark/>
          </w:tcPr>
          <w:p w14:paraId="55AEADB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A partir de la información no se han identificado costos no comunes adicionales</w:t>
            </w:r>
          </w:p>
        </w:tc>
        <w:tc>
          <w:tcPr>
            <w:tcW w:w="989" w:type="pct"/>
            <w:tcBorders>
              <w:top w:val="single" w:sz="4" w:space="0" w:color="auto"/>
              <w:left w:val="single" w:sz="4" w:space="0" w:color="auto"/>
              <w:bottom w:val="single" w:sz="4" w:space="0" w:color="auto"/>
              <w:right w:val="nil"/>
            </w:tcBorders>
            <w:shd w:val="clear" w:color="auto" w:fill="auto"/>
            <w:vAlign w:val="center"/>
            <w:hideMark/>
          </w:tcPr>
          <w:p w14:paraId="294B6A06"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c>
          <w:tcPr>
            <w:tcW w:w="989" w:type="pct"/>
            <w:tcBorders>
              <w:top w:val="single" w:sz="4" w:space="0" w:color="auto"/>
              <w:left w:val="nil"/>
              <w:bottom w:val="single" w:sz="4" w:space="0" w:color="auto"/>
              <w:right w:val="nil"/>
            </w:tcBorders>
            <w:shd w:val="clear" w:color="auto" w:fill="auto"/>
            <w:vAlign w:val="center"/>
            <w:hideMark/>
          </w:tcPr>
          <w:p w14:paraId="4D2F3D86"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r>
      <w:tr w:rsidR="007368EE" w:rsidRPr="00606E51" w14:paraId="7C039B6D" w14:textId="77777777" w:rsidTr="004E5941">
        <w:trPr>
          <w:trHeight w:val="20"/>
          <w:jc w:val="center"/>
        </w:trPr>
        <w:tc>
          <w:tcPr>
            <w:tcW w:w="1043" w:type="pct"/>
            <w:tcBorders>
              <w:top w:val="single" w:sz="4" w:space="0" w:color="auto"/>
              <w:left w:val="nil"/>
              <w:bottom w:val="single" w:sz="12" w:space="0" w:color="auto"/>
              <w:right w:val="nil"/>
            </w:tcBorders>
            <w:shd w:val="clear" w:color="auto" w:fill="auto"/>
            <w:noWrap/>
            <w:vAlign w:val="center"/>
            <w:hideMark/>
          </w:tcPr>
          <w:p w14:paraId="55E7425C"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Costos de entrenamiento</w:t>
            </w:r>
          </w:p>
        </w:tc>
        <w:tc>
          <w:tcPr>
            <w:tcW w:w="989" w:type="pct"/>
            <w:tcBorders>
              <w:top w:val="single" w:sz="4" w:space="0" w:color="auto"/>
              <w:left w:val="nil"/>
              <w:bottom w:val="single" w:sz="12" w:space="0" w:color="auto"/>
              <w:right w:val="nil"/>
            </w:tcBorders>
            <w:shd w:val="clear" w:color="auto" w:fill="auto"/>
            <w:vAlign w:val="center"/>
            <w:hideMark/>
          </w:tcPr>
          <w:p w14:paraId="23E9A18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MSPS</w:t>
            </w:r>
          </w:p>
        </w:tc>
        <w:tc>
          <w:tcPr>
            <w:tcW w:w="989" w:type="pct"/>
            <w:tcBorders>
              <w:top w:val="single" w:sz="4" w:space="0" w:color="auto"/>
              <w:left w:val="nil"/>
              <w:bottom w:val="single" w:sz="12" w:space="0" w:color="auto"/>
              <w:right w:val="single" w:sz="4" w:space="0" w:color="auto"/>
            </w:tcBorders>
            <w:shd w:val="clear" w:color="auto" w:fill="auto"/>
            <w:vAlign w:val="center"/>
            <w:hideMark/>
          </w:tcPr>
          <w:p w14:paraId="54E6BDA4"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No se cuenta con una fuente para este elemento</w:t>
            </w:r>
          </w:p>
        </w:tc>
        <w:tc>
          <w:tcPr>
            <w:tcW w:w="989" w:type="pct"/>
            <w:tcBorders>
              <w:top w:val="single" w:sz="4" w:space="0" w:color="auto"/>
              <w:left w:val="single" w:sz="4" w:space="0" w:color="auto"/>
              <w:bottom w:val="single" w:sz="12" w:space="0" w:color="auto"/>
              <w:right w:val="nil"/>
            </w:tcBorders>
            <w:shd w:val="clear" w:color="auto" w:fill="auto"/>
            <w:vAlign w:val="center"/>
            <w:hideMark/>
          </w:tcPr>
          <w:p w14:paraId="33061140"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c>
          <w:tcPr>
            <w:tcW w:w="989" w:type="pct"/>
            <w:tcBorders>
              <w:top w:val="single" w:sz="4" w:space="0" w:color="auto"/>
              <w:left w:val="nil"/>
              <w:bottom w:val="single" w:sz="12" w:space="0" w:color="auto"/>
              <w:right w:val="nil"/>
            </w:tcBorders>
            <w:shd w:val="clear" w:color="auto" w:fill="auto"/>
            <w:vAlign w:val="center"/>
            <w:hideMark/>
          </w:tcPr>
          <w:p w14:paraId="0AD08178"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N/A</w:t>
            </w:r>
          </w:p>
        </w:tc>
      </w:tr>
      <w:tr w:rsidR="007368EE" w:rsidRPr="00606E51" w14:paraId="3A22C0B0" w14:textId="77777777" w:rsidTr="004E5941">
        <w:trPr>
          <w:trHeight w:val="20"/>
          <w:jc w:val="center"/>
        </w:trPr>
        <w:tc>
          <w:tcPr>
            <w:tcW w:w="1043" w:type="pct"/>
            <w:tcBorders>
              <w:top w:val="single" w:sz="12" w:space="0" w:color="auto"/>
              <w:left w:val="nil"/>
              <w:bottom w:val="single" w:sz="12" w:space="0" w:color="auto"/>
              <w:right w:val="nil"/>
            </w:tcBorders>
            <w:shd w:val="clear" w:color="auto" w:fill="auto"/>
            <w:noWrap/>
            <w:vAlign w:val="center"/>
            <w:hideMark/>
          </w:tcPr>
          <w:p w14:paraId="316EA5B3" w14:textId="77777777" w:rsidR="007368EE" w:rsidRPr="00606E51" w:rsidRDefault="007368EE" w:rsidP="004E5941">
            <w:pPr>
              <w:rPr>
                <w:rFonts w:eastAsia="Times New Roman" w:cs="Times New Roman"/>
                <w:b/>
                <w:bCs/>
                <w:color w:val="000000"/>
                <w:sz w:val="18"/>
                <w:szCs w:val="18"/>
                <w:lang w:val="es-CO" w:eastAsia="es-CO"/>
              </w:rPr>
            </w:pPr>
            <w:r w:rsidRPr="00606E51">
              <w:rPr>
                <w:rFonts w:eastAsia="Times New Roman" w:cs="Times New Roman"/>
                <w:b/>
                <w:bCs/>
                <w:color w:val="000000"/>
                <w:sz w:val="18"/>
                <w:szCs w:val="18"/>
                <w:lang w:val="es-CO" w:eastAsia="es-CO"/>
              </w:rPr>
              <w:t>Atención intrahospitalaria (mediana/alta complejidad)</w:t>
            </w:r>
          </w:p>
        </w:tc>
        <w:tc>
          <w:tcPr>
            <w:tcW w:w="989" w:type="pct"/>
            <w:tcBorders>
              <w:top w:val="single" w:sz="12" w:space="0" w:color="auto"/>
              <w:left w:val="nil"/>
              <w:bottom w:val="single" w:sz="12" w:space="0" w:color="auto"/>
              <w:right w:val="nil"/>
            </w:tcBorders>
            <w:shd w:val="clear" w:color="auto" w:fill="auto"/>
            <w:vAlign w:val="center"/>
            <w:hideMark/>
          </w:tcPr>
          <w:p w14:paraId="7CD79CAA" w14:textId="77777777" w:rsidR="007368EE" w:rsidRPr="00606E51" w:rsidRDefault="007368EE" w:rsidP="004E5941">
            <w:pPr>
              <w:rPr>
                <w:rFonts w:eastAsia="Times New Roman" w:cs="Times New Roman"/>
                <w:b/>
                <w:bCs/>
                <w:color w:val="000000"/>
                <w:sz w:val="18"/>
                <w:szCs w:val="18"/>
                <w:lang w:val="es-CO" w:eastAsia="es-CO"/>
              </w:rPr>
            </w:pPr>
          </w:p>
        </w:tc>
        <w:tc>
          <w:tcPr>
            <w:tcW w:w="989" w:type="pct"/>
            <w:tcBorders>
              <w:top w:val="single" w:sz="12" w:space="0" w:color="auto"/>
              <w:left w:val="nil"/>
              <w:bottom w:val="single" w:sz="12" w:space="0" w:color="auto"/>
              <w:right w:val="single" w:sz="4" w:space="0" w:color="auto"/>
            </w:tcBorders>
            <w:shd w:val="clear" w:color="auto" w:fill="auto"/>
            <w:vAlign w:val="center"/>
            <w:hideMark/>
          </w:tcPr>
          <w:p w14:paraId="76A22163" w14:textId="77777777" w:rsidR="007368EE" w:rsidRPr="00606E51" w:rsidRDefault="007368EE" w:rsidP="004E5941">
            <w:pPr>
              <w:rPr>
                <w:rFonts w:eastAsia="Times New Roman" w:cs="Times New Roman"/>
                <w:sz w:val="18"/>
                <w:szCs w:val="18"/>
                <w:lang w:val="es-CO" w:eastAsia="es-CO"/>
              </w:rPr>
            </w:pPr>
          </w:p>
        </w:tc>
        <w:tc>
          <w:tcPr>
            <w:tcW w:w="989" w:type="pct"/>
            <w:tcBorders>
              <w:top w:val="single" w:sz="12" w:space="0" w:color="auto"/>
              <w:left w:val="single" w:sz="4" w:space="0" w:color="auto"/>
              <w:bottom w:val="single" w:sz="12" w:space="0" w:color="auto"/>
              <w:right w:val="nil"/>
            </w:tcBorders>
            <w:shd w:val="clear" w:color="auto" w:fill="auto"/>
            <w:vAlign w:val="center"/>
            <w:hideMark/>
          </w:tcPr>
          <w:p w14:paraId="44E7C814" w14:textId="77777777" w:rsidR="007368EE" w:rsidRPr="00606E51" w:rsidRDefault="007368EE" w:rsidP="004E5941">
            <w:pPr>
              <w:rPr>
                <w:rFonts w:eastAsia="Times New Roman" w:cs="Times New Roman"/>
                <w:sz w:val="18"/>
                <w:szCs w:val="18"/>
                <w:lang w:val="es-CO" w:eastAsia="es-CO"/>
              </w:rPr>
            </w:pPr>
          </w:p>
        </w:tc>
        <w:tc>
          <w:tcPr>
            <w:tcW w:w="989" w:type="pct"/>
            <w:tcBorders>
              <w:top w:val="single" w:sz="12" w:space="0" w:color="auto"/>
              <w:left w:val="nil"/>
              <w:bottom w:val="single" w:sz="12" w:space="0" w:color="auto"/>
              <w:right w:val="nil"/>
            </w:tcBorders>
            <w:shd w:val="clear" w:color="auto" w:fill="auto"/>
            <w:vAlign w:val="center"/>
            <w:hideMark/>
          </w:tcPr>
          <w:p w14:paraId="0AF37D83" w14:textId="77777777" w:rsidR="007368EE" w:rsidRPr="00606E51" w:rsidRDefault="007368EE" w:rsidP="004E5941">
            <w:pPr>
              <w:rPr>
                <w:rFonts w:eastAsia="Times New Roman" w:cs="Times New Roman"/>
                <w:sz w:val="18"/>
                <w:szCs w:val="18"/>
                <w:lang w:val="es-CO" w:eastAsia="es-CO"/>
              </w:rPr>
            </w:pPr>
          </w:p>
        </w:tc>
      </w:tr>
      <w:tr w:rsidR="007368EE" w:rsidRPr="00606E51" w14:paraId="3250AD50" w14:textId="77777777" w:rsidTr="004E5941">
        <w:trPr>
          <w:trHeight w:val="20"/>
          <w:jc w:val="center"/>
        </w:trPr>
        <w:tc>
          <w:tcPr>
            <w:tcW w:w="1043" w:type="pct"/>
            <w:tcBorders>
              <w:top w:val="single" w:sz="12" w:space="0" w:color="auto"/>
              <w:left w:val="nil"/>
              <w:bottom w:val="single" w:sz="4" w:space="0" w:color="auto"/>
              <w:right w:val="nil"/>
            </w:tcBorders>
            <w:shd w:val="clear" w:color="auto" w:fill="auto"/>
            <w:noWrap/>
            <w:vAlign w:val="center"/>
            <w:hideMark/>
          </w:tcPr>
          <w:p w14:paraId="6246FF52"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Costo en consultas</w:t>
            </w:r>
          </w:p>
        </w:tc>
        <w:tc>
          <w:tcPr>
            <w:tcW w:w="989" w:type="pct"/>
            <w:tcBorders>
              <w:top w:val="single" w:sz="12" w:space="0" w:color="auto"/>
              <w:left w:val="nil"/>
              <w:bottom w:val="single" w:sz="4" w:space="0" w:color="auto"/>
              <w:right w:val="nil"/>
            </w:tcBorders>
            <w:shd w:val="clear" w:color="auto" w:fill="auto"/>
            <w:vAlign w:val="center"/>
            <w:hideMark/>
          </w:tcPr>
          <w:p w14:paraId="58BDCF65"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ESE, IPS, MSPS-RIPS (microdato)</w:t>
            </w:r>
          </w:p>
        </w:tc>
        <w:tc>
          <w:tcPr>
            <w:tcW w:w="989" w:type="pct"/>
            <w:tcBorders>
              <w:top w:val="single" w:sz="12" w:space="0" w:color="auto"/>
              <w:left w:val="nil"/>
              <w:bottom w:val="single" w:sz="4" w:space="0" w:color="auto"/>
              <w:right w:val="single" w:sz="4" w:space="0" w:color="auto"/>
            </w:tcBorders>
            <w:shd w:val="clear" w:color="auto" w:fill="auto"/>
            <w:vAlign w:val="center"/>
            <w:hideMark/>
          </w:tcPr>
          <w:p w14:paraId="04CA3108"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RIPS (cubos)</w:t>
            </w:r>
          </w:p>
        </w:tc>
        <w:tc>
          <w:tcPr>
            <w:tcW w:w="989" w:type="pct"/>
            <w:tcBorders>
              <w:top w:val="single" w:sz="12" w:space="0" w:color="auto"/>
              <w:left w:val="single" w:sz="4" w:space="0" w:color="auto"/>
              <w:bottom w:val="single" w:sz="4" w:space="0" w:color="auto"/>
              <w:right w:val="nil"/>
            </w:tcBorders>
            <w:shd w:val="clear" w:color="auto" w:fill="auto"/>
            <w:vAlign w:val="center"/>
            <w:hideMark/>
          </w:tcPr>
          <w:p w14:paraId="5BC7C37D"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ESE, IPS, MSPS-RIPS (microdato)</w:t>
            </w:r>
          </w:p>
        </w:tc>
        <w:tc>
          <w:tcPr>
            <w:tcW w:w="989" w:type="pct"/>
            <w:tcBorders>
              <w:top w:val="single" w:sz="12" w:space="0" w:color="auto"/>
              <w:left w:val="nil"/>
              <w:bottom w:val="single" w:sz="4" w:space="0" w:color="auto"/>
              <w:right w:val="nil"/>
            </w:tcBorders>
            <w:shd w:val="clear" w:color="auto" w:fill="auto"/>
            <w:vAlign w:val="center"/>
            <w:hideMark/>
          </w:tcPr>
          <w:p w14:paraId="19A38C7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RIPS (cubos)</w:t>
            </w:r>
          </w:p>
        </w:tc>
      </w:tr>
      <w:tr w:rsidR="007368EE" w:rsidRPr="00606E51" w14:paraId="57144397" w14:textId="77777777" w:rsidTr="004E5941">
        <w:trPr>
          <w:trHeight w:val="20"/>
          <w:jc w:val="center"/>
        </w:trPr>
        <w:tc>
          <w:tcPr>
            <w:tcW w:w="1043" w:type="pct"/>
            <w:tcBorders>
              <w:top w:val="single" w:sz="4" w:space="0" w:color="auto"/>
              <w:left w:val="nil"/>
              <w:bottom w:val="single" w:sz="4" w:space="0" w:color="auto"/>
              <w:right w:val="nil"/>
            </w:tcBorders>
            <w:shd w:val="clear" w:color="auto" w:fill="auto"/>
            <w:noWrap/>
            <w:vAlign w:val="center"/>
            <w:hideMark/>
          </w:tcPr>
          <w:p w14:paraId="5C15A81C"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Costos de procedimientos</w:t>
            </w:r>
          </w:p>
        </w:tc>
        <w:tc>
          <w:tcPr>
            <w:tcW w:w="989" w:type="pct"/>
            <w:tcBorders>
              <w:top w:val="single" w:sz="4" w:space="0" w:color="auto"/>
              <w:left w:val="nil"/>
              <w:bottom w:val="single" w:sz="4" w:space="0" w:color="auto"/>
              <w:right w:val="nil"/>
            </w:tcBorders>
            <w:shd w:val="clear" w:color="auto" w:fill="auto"/>
            <w:vAlign w:val="center"/>
            <w:hideMark/>
          </w:tcPr>
          <w:p w14:paraId="45DF100A"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ESE, IPS, MSPS-RIPS (microdato)</w:t>
            </w:r>
          </w:p>
        </w:tc>
        <w:tc>
          <w:tcPr>
            <w:tcW w:w="989" w:type="pct"/>
            <w:tcBorders>
              <w:top w:val="single" w:sz="4" w:space="0" w:color="auto"/>
              <w:left w:val="nil"/>
              <w:bottom w:val="single" w:sz="4" w:space="0" w:color="auto"/>
              <w:right w:val="single" w:sz="4" w:space="0" w:color="auto"/>
            </w:tcBorders>
            <w:shd w:val="clear" w:color="auto" w:fill="auto"/>
            <w:vAlign w:val="center"/>
            <w:hideMark/>
          </w:tcPr>
          <w:p w14:paraId="19772F9E"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RIPS (cubos)</w:t>
            </w:r>
          </w:p>
        </w:tc>
        <w:tc>
          <w:tcPr>
            <w:tcW w:w="989" w:type="pct"/>
            <w:tcBorders>
              <w:top w:val="single" w:sz="4" w:space="0" w:color="auto"/>
              <w:left w:val="single" w:sz="4" w:space="0" w:color="auto"/>
              <w:bottom w:val="single" w:sz="4" w:space="0" w:color="auto"/>
              <w:right w:val="nil"/>
            </w:tcBorders>
            <w:shd w:val="clear" w:color="auto" w:fill="auto"/>
            <w:vAlign w:val="center"/>
            <w:hideMark/>
          </w:tcPr>
          <w:p w14:paraId="0C6A8E07"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MSPS-RIPS (microdato)</w:t>
            </w:r>
          </w:p>
        </w:tc>
        <w:tc>
          <w:tcPr>
            <w:tcW w:w="989" w:type="pct"/>
            <w:tcBorders>
              <w:top w:val="single" w:sz="4" w:space="0" w:color="auto"/>
              <w:left w:val="nil"/>
              <w:bottom w:val="single" w:sz="4" w:space="0" w:color="auto"/>
              <w:right w:val="nil"/>
            </w:tcBorders>
            <w:shd w:val="clear" w:color="auto" w:fill="auto"/>
            <w:vAlign w:val="center"/>
            <w:hideMark/>
          </w:tcPr>
          <w:p w14:paraId="6ED75CE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w:t>
            </w:r>
          </w:p>
        </w:tc>
      </w:tr>
      <w:tr w:rsidR="007368EE" w:rsidRPr="00606E51" w14:paraId="3F14718E" w14:textId="77777777" w:rsidTr="004E5941">
        <w:trPr>
          <w:trHeight w:val="20"/>
          <w:jc w:val="center"/>
        </w:trPr>
        <w:tc>
          <w:tcPr>
            <w:tcW w:w="1043" w:type="pct"/>
            <w:tcBorders>
              <w:top w:val="single" w:sz="4" w:space="0" w:color="auto"/>
              <w:left w:val="nil"/>
              <w:bottom w:val="single" w:sz="4" w:space="0" w:color="auto"/>
              <w:right w:val="nil"/>
            </w:tcBorders>
            <w:shd w:val="clear" w:color="auto" w:fill="auto"/>
            <w:noWrap/>
            <w:vAlign w:val="center"/>
            <w:hideMark/>
          </w:tcPr>
          <w:p w14:paraId="3F71D5E4"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Costo de medicamentos</w:t>
            </w:r>
          </w:p>
        </w:tc>
        <w:tc>
          <w:tcPr>
            <w:tcW w:w="989" w:type="pct"/>
            <w:tcBorders>
              <w:top w:val="single" w:sz="4" w:space="0" w:color="auto"/>
              <w:left w:val="nil"/>
              <w:bottom w:val="single" w:sz="4" w:space="0" w:color="auto"/>
              <w:right w:val="nil"/>
            </w:tcBorders>
            <w:shd w:val="clear" w:color="auto" w:fill="auto"/>
            <w:vAlign w:val="center"/>
            <w:hideMark/>
          </w:tcPr>
          <w:p w14:paraId="0D27641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ESE, IPS, MSPS-RIPS (microdato)</w:t>
            </w:r>
          </w:p>
        </w:tc>
        <w:tc>
          <w:tcPr>
            <w:tcW w:w="989" w:type="pct"/>
            <w:tcBorders>
              <w:top w:val="single" w:sz="4" w:space="0" w:color="auto"/>
              <w:left w:val="nil"/>
              <w:bottom w:val="single" w:sz="4" w:space="0" w:color="auto"/>
              <w:right w:val="single" w:sz="4" w:space="0" w:color="auto"/>
            </w:tcBorders>
            <w:shd w:val="clear" w:color="auto" w:fill="auto"/>
            <w:vAlign w:val="center"/>
            <w:hideMark/>
          </w:tcPr>
          <w:p w14:paraId="3B37C582"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w:t>
            </w:r>
          </w:p>
        </w:tc>
        <w:tc>
          <w:tcPr>
            <w:tcW w:w="989" w:type="pct"/>
            <w:tcBorders>
              <w:top w:val="single" w:sz="4" w:space="0" w:color="auto"/>
              <w:left w:val="single" w:sz="4" w:space="0" w:color="auto"/>
              <w:bottom w:val="single" w:sz="4" w:space="0" w:color="auto"/>
              <w:right w:val="nil"/>
            </w:tcBorders>
            <w:shd w:val="clear" w:color="auto" w:fill="auto"/>
            <w:vAlign w:val="center"/>
            <w:hideMark/>
          </w:tcPr>
          <w:p w14:paraId="65A0EF6E"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MSPS-RIPS (microdato)</w:t>
            </w:r>
          </w:p>
        </w:tc>
        <w:tc>
          <w:tcPr>
            <w:tcW w:w="989" w:type="pct"/>
            <w:tcBorders>
              <w:top w:val="single" w:sz="4" w:space="0" w:color="auto"/>
              <w:left w:val="nil"/>
              <w:bottom w:val="single" w:sz="4" w:space="0" w:color="auto"/>
              <w:right w:val="nil"/>
            </w:tcBorders>
            <w:shd w:val="clear" w:color="auto" w:fill="auto"/>
            <w:vAlign w:val="center"/>
            <w:hideMark/>
          </w:tcPr>
          <w:p w14:paraId="6A0E3BAE"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Estimación de los autores</w:t>
            </w:r>
          </w:p>
        </w:tc>
      </w:tr>
      <w:tr w:rsidR="007368EE" w:rsidRPr="00606E51" w14:paraId="78E56BE2" w14:textId="77777777" w:rsidTr="004E5941">
        <w:trPr>
          <w:trHeight w:val="20"/>
          <w:jc w:val="center"/>
        </w:trPr>
        <w:tc>
          <w:tcPr>
            <w:tcW w:w="1043" w:type="pct"/>
            <w:tcBorders>
              <w:top w:val="single" w:sz="4" w:space="0" w:color="auto"/>
              <w:left w:val="nil"/>
              <w:bottom w:val="single" w:sz="12" w:space="0" w:color="auto"/>
              <w:right w:val="nil"/>
            </w:tcBorders>
            <w:shd w:val="clear" w:color="auto" w:fill="auto"/>
            <w:noWrap/>
            <w:vAlign w:val="center"/>
            <w:hideMark/>
          </w:tcPr>
          <w:p w14:paraId="0E552B48" w14:textId="77777777" w:rsidR="007368EE" w:rsidRPr="00606E51" w:rsidRDefault="007368EE" w:rsidP="004E5941">
            <w:pP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Costos de estancia en hospitalización</w:t>
            </w:r>
          </w:p>
        </w:tc>
        <w:tc>
          <w:tcPr>
            <w:tcW w:w="989" w:type="pct"/>
            <w:tcBorders>
              <w:top w:val="single" w:sz="4" w:space="0" w:color="auto"/>
              <w:left w:val="nil"/>
              <w:bottom w:val="single" w:sz="12" w:space="0" w:color="auto"/>
              <w:right w:val="nil"/>
            </w:tcBorders>
            <w:shd w:val="clear" w:color="auto" w:fill="auto"/>
            <w:vAlign w:val="center"/>
            <w:hideMark/>
          </w:tcPr>
          <w:p w14:paraId="746A22B3"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ESE, IPS, MSPS-RIPS (microdato)</w:t>
            </w:r>
          </w:p>
        </w:tc>
        <w:tc>
          <w:tcPr>
            <w:tcW w:w="989" w:type="pct"/>
            <w:tcBorders>
              <w:top w:val="single" w:sz="4" w:space="0" w:color="auto"/>
              <w:left w:val="nil"/>
              <w:bottom w:val="single" w:sz="12" w:space="0" w:color="auto"/>
              <w:right w:val="single" w:sz="4" w:space="0" w:color="auto"/>
            </w:tcBorders>
            <w:shd w:val="clear" w:color="auto" w:fill="auto"/>
            <w:noWrap/>
            <w:vAlign w:val="center"/>
            <w:hideMark/>
          </w:tcPr>
          <w:p w14:paraId="26C21A0D"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RIPS (cubos), tarifario SOAT</w:t>
            </w:r>
          </w:p>
        </w:tc>
        <w:tc>
          <w:tcPr>
            <w:tcW w:w="989" w:type="pct"/>
            <w:tcBorders>
              <w:top w:val="single" w:sz="4" w:space="0" w:color="auto"/>
              <w:left w:val="single" w:sz="4" w:space="0" w:color="auto"/>
              <w:bottom w:val="single" w:sz="12" w:space="0" w:color="auto"/>
              <w:right w:val="nil"/>
            </w:tcBorders>
            <w:shd w:val="clear" w:color="auto" w:fill="auto"/>
            <w:vAlign w:val="center"/>
            <w:hideMark/>
          </w:tcPr>
          <w:p w14:paraId="7F6E2349"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MSPS-RIPS (microdato)</w:t>
            </w:r>
          </w:p>
        </w:tc>
        <w:tc>
          <w:tcPr>
            <w:tcW w:w="989" w:type="pct"/>
            <w:tcBorders>
              <w:top w:val="single" w:sz="4" w:space="0" w:color="auto"/>
              <w:left w:val="nil"/>
              <w:bottom w:val="single" w:sz="12" w:space="0" w:color="auto"/>
              <w:right w:val="nil"/>
            </w:tcBorders>
            <w:shd w:val="clear" w:color="auto" w:fill="auto"/>
            <w:vAlign w:val="center"/>
            <w:hideMark/>
          </w:tcPr>
          <w:p w14:paraId="3F4C9B0F" w14:textId="77777777" w:rsidR="007368EE" w:rsidRPr="00606E51" w:rsidRDefault="007368EE" w:rsidP="004E5941">
            <w:pPr>
              <w:jc w:val="center"/>
              <w:rPr>
                <w:rFonts w:eastAsia="Times New Roman" w:cs="Times New Roman"/>
                <w:color w:val="000000"/>
                <w:sz w:val="18"/>
                <w:szCs w:val="18"/>
                <w:lang w:val="es-CO" w:eastAsia="es-CO"/>
              </w:rPr>
            </w:pPr>
            <w:r w:rsidRPr="00606E51">
              <w:rPr>
                <w:rFonts w:eastAsia="Times New Roman" w:cs="Times New Roman"/>
                <w:color w:val="000000"/>
                <w:sz w:val="18"/>
                <w:szCs w:val="18"/>
                <w:lang w:val="es-CO" w:eastAsia="es-CO"/>
              </w:rPr>
              <w:t>RIPS (cubos), tarifario SOAT</w:t>
            </w:r>
          </w:p>
        </w:tc>
      </w:tr>
    </w:tbl>
    <w:p w14:paraId="1468AA5A" w14:textId="77777777" w:rsidR="007368EE" w:rsidRPr="00606E51" w:rsidRDefault="007368EE" w:rsidP="007368EE">
      <w:pPr>
        <w:jc w:val="both"/>
        <w:rPr>
          <w:lang w:val="es-CO"/>
        </w:rPr>
      </w:pPr>
      <w:r w:rsidRPr="00606E51">
        <w:rPr>
          <w:sz w:val="20"/>
          <w:lang w:val="es-CO"/>
        </w:rPr>
        <w:t>Fuente: Elaboración propia con base a las fuentes de información citada</w:t>
      </w:r>
    </w:p>
    <w:p w14:paraId="0E5BEBE1" w14:textId="77777777" w:rsidR="00177606" w:rsidRDefault="00177606" w:rsidP="00230768">
      <w:pPr>
        <w:jc w:val="both"/>
        <w:rPr>
          <w:lang w:val="es-CO"/>
        </w:rPr>
      </w:pPr>
    </w:p>
    <w:p w14:paraId="7774DE84" w14:textId="77777777" w:rsidR="00BA4E60" w:rsidRPr="00606E51" w:rsidRDefault="00BA4E60" w:rsidP="00230768">
      <w:pPr>
        <w:jc w:val="both"/>
        <w:rPr>
          <w:lang w:val="es-CO"/>
        </w:rPr>
      </w:pPr>
      <w:r w:rsidRPr="00606E51">
        <w:rPr>
          <w:lang w:val="es-CO"/>
        </w:rPr>
        <w:t xml:space="preserve">Considerando las dificultades para el acceso a estos reportes, </w:t>
      </w:r>
      <w:r w:rsidRPr="008C2E60">
        <w:rPr>
          <w:highlight w:val="yellow"/>
          <w:lang w:val="es-CO"/>
        </w:rPr>
        <w:t xml:space="preserve">se </w:t>
      </w:r>
      <w:r w:rsidR="00BA6068" w:rsidRPr="008C2E60">
        <w:rPr>
          <w:highlight w:val="yellow"/>
          <w:lang w:val="es-CO"/>
        </w:rPr>
        <w:t xml:space="preserve">optó por utilizar </w:t>
      </w:r>
      <w:r w:rsidRPr="008C2E60">
        <w:rPr>
          <w:highlight w:val="yellow"/>
          <w:lang w:val="es-CO"/>
        </w:rPr>
        <w:t>los reportes generados a partir de los cubos</w:t>
      </w:r>
      <w:r w:rsidRPr="008C2E60">
        <w:rPr>
          <w:highlight w:val="yellow"/>
          <w:vertAlign w:val="superscript"/>
          <w:lang w:val="es-CO"/>
        </w:rPr>
        <w:footnoteReference w:id="38"/>
      </w:r>
      <w:r w:rsidRPr="008C2E60">
        <w:rPr>
          <w:highlight w:val="yellow"/>
          <w:lang w:val="es-CO"/>
        </w:rPr>
        <w:t xml:space="preserve"> de los RIPS</w:t>
      </w:r>
      <w:r w:rsidR="00BA6068">
        <w:rPr>
          <w:lang w:val="es-CO"/>
        </w:rPr>
        <w:t>.  L</w:t>
      </w:r>
      <w:r w:rsidRPr="00606E51">
        <w:rPr>
          <w:lang w:val="es-CO"/>
        </w:rPr>
        <w:t xml:space="preserve">a principal limitación de esta herramienta es que no permite analizar la información de manera individual </w:t>
      </w:r>
      <w:r w:rsidR="00B131C6" w:rsidRPr="00606E51">
        <w:rPr>
          <w:lang w:val="es-CO"/>
        </w:rPr>
        <w:t xml:space="preserve">ni </w:t>
      </w:r>
      <w:r w:rsidRPr="00606E51">
        <w:rPr>
          <w:lang w:val="es-CO"/>
        </w:rPr>
        <w:t>desagregada, lo cual limita la depuración o correcciones necesarias, así como la identificación de tratamiento “estándar” que puedan ser costeado utilizando otras tarifas</w:t>
      </w:r>
      <w:r w:rsidR="00B932A0" w:rsidRPr="00606E51">
        <w:rPr>
          <w:rStyle w:val="FootnoteReference"/>
          <w:lang w:val="es-CO"/>
        </w:rPr>
        <w:footnoteReference w:id="39"/>
      </w:r>
      <w:r w:rsidRPr="00606E51">
        <w:rPr>
          <w:lang w:val="es-CO"/>
        </w:rPr>
        <w:t>.</w:t>
      </w:r>
    </w:p>
    <w:p w14:paraId="59896E9B" w14:textId="77777777" w:rsidR="00412A84" w:rsidRPr="00606E51" w:rsidRDefault="00412A84" w:rsidP="00230768">
      <w:pPr>
        <w:jc w:val="both"/>
        <w:rPr>
          <w:lang w:val="es-CO"/>
        </w:rPr>
      </w:pPr>
    </w:p>
    <w:p w14:paraId="08650581" w14:textId="77777777" w:rsidR="007368EE" w:rsidRPr="00606E51" w:rsidRDefault="00B131C6" w:rsidP="00230768">
      <w:pPr>
        <w:jc w:val="both"/>
        <w:rPr>
          <w:lang w:val="es-CO"/>
        </w:rPr>
      </w:pPr>
      <w:r w:rsidRPr="00606E51">
        <w:rPr>
          <w:lang w:val="es-CO"/>
        </w:rPr>
        <w:t>Otra de las</w:t>
      </w:r>
      <w:r w:rsidR="00BA4E60" w:rsidRPr="00606E51">
        <w:rPr>
          <w:lang w:val="es-CO"/>
        </w:rPr>
        <w:t xml:space="preserve"> dificultades que </w:t>
      </w:r>
      <w:r w:rsidR="00BA6068">
        <w:rPr>
          <w:lang w:val="es-CO"/>
        </w:rPr>
        <w:t xml:space="preserve">hubo </w:t>
      </w:r>
      <w:r w:rsidR="00BA4E60" w:rsidRPr="00606E51">
        <w:rPr>
          <w:lang w:val="es-CO"/>
        </w:rPr>
        <w:t xml:space="preserve">para la </w:t>
      </w:r>
      <w:r w:rsidR="00BA6068">
        <w:rPr>
          <w:lang w:val="es-CO"/>
        </w:rPr>
        <w:t xml:space="preserve">adecuada </w:t>
      </w:r>
      <w:r w:rsidR="00BA4E60" w:rsidRPr="00606E51">
        <w:rPr>
          <w:lang w:val="es-CO"/>
        </w:rPr>
        <w:t xml:space="preserve">estimación de los costos </w:t>
      </w:r>
      <w:r w:rsidR="00BA6068">
        <w:rPr>
          <w:lang w:val="es-CO"/>
        </w:rPr>
        <w:t xml:space="preserve">fue </w:t>
      </w:r>
      <w:r w:rsidR="00BA4E60" w:rsidRPr="00606E51">
        <w:rPr>
          <w:lang w:val="es-CO"/>
        </w:rPr>
        <w:t xml:space="preserve">la </w:t>
      </w:r>
      <w:r w:rsidR="00BA4E60" w:rsidRPr="008C2E60">
        <w:rPr>
          <w:highlight w:val="yellow"/>
          <w:lang w:val="es-CO"/>
        </w:rPr>
        <w:t>ausencia de información en la atención intrahospitala</w:t>
      </w:r>
      <w:r w:rsidR="0048098C" w:rsidRPr="008C2E60">
        <w:rPr>
          <w:highlight w:val="yellow"/>
          <w:lang w:val="es-CO"/>
        </w:rPr>
        <w:t>ria</w:t>
      </w:r>
      <w:r w:rsidR="0048098C" w:rsidRPr="00606E51">
        <w:rPr>
          <w:lang w:val="es-CO"/>
        </w:rPr>
        <w:t xml:space="preserve"> bajo la implementación del L</w:t>
      </w:r>
      <w:r w:rsidR="00BA4E60" w:rsidRPr="00606E51">
        <w:rPr>
          <w:lang w:val="es-CO"/>
        </w:rPr>
        <w:t xml:space="preserve">ineamiento, así como de información de costos en medicamentos en </w:t>
      </w:r>
      <w:r w:rsidR="00B932A0" w:rsidRPr="00606E51">
        <w:rPr>
          <w:lang w:val="es-CO"/>
        </w:rPr>
        <w:t>los</w:t>
      </w:r>
      <w:r w:rsidR="00BA4E60" w:rsidRPr="00606E51">
        <w:rPr>
          <w:lang w:val="es-CO"/>
        </w:rPr>
        <w:t xml:space="preserve"> escenarios</w:t>
      </w:r>
      <w:r w:rsidR="00B932A0" w:rsidRPr="00606E51">
        <w:rPr>
          <w:lang w:val="es-CO"/>
        </w:rPr>
        <w:t xml:space="preserve"> de evaluación de costo efectividad que se explican en la sección </w:t>
      </w:r>
      <w:r w:rsidR="00B932A0" w:rsidRPr="00606E51">
        <w:rPr>
          <w:lang w:val="es-CO"/>
        </w:rPr>
        <w:fldChar w:fldCharType="begin"/>
      </w:r>
      <w:r w:rsidR="00B932A0" w:rsidRPr="00606E51">
        <w:rPr>
          <w:lang w:val="es-CO"/>
        </w:rPr>
        <w:instrText xml:space="preserve"> REF _Ref479152329 \r \h </w:instrText>
      </w:r>
      <w:r w:rsidR="00B932A0" w:rsidRPr="00606E51">
        <w:rPr>
          <w:lang w:val="es-CO"/>
        </w:rPr>
      </w:r>
      <w:r w:rsidR="00B932A0" w:rsidRPr="00606E51">
        <w:rPr>
          <w:lang w:val="es-CO"/>
        </w:rPr>
        <w:fldChar w:fldCharType="separate"/>
      </w:r>
      <w:r w:rsidR="00B932A0" w:rsidRPr="00606E51">
        <w:rPr>
          <w:lang w:val="es-CO"/>
        </w:rPr>
        <w:t>4.3</w:t>
      </w:r>
      <w:r w:rsidR="00B932A0" w:rsidRPr="00606E51">
        <w:rPr>
          <w:lang w:val="es-CO"/>
        </w:rPr>
        <w:fldChar w:fldCharType="end"/>
      </w:r>
      <w:r w:rsidR="00BA6068">
        <w:rPr>
          <w:lang w:val="es-CO"/>
        </w:rPr>
        <w:t>.</w:t>
      </w:r>
      <w:r w:rsidR="00BA6068">
        <w:rPr>
          <w:rStyle w:val="FootnoteReference"/>
          <w:lang w:val="es-CO"/>
        </w:rPr>
        <w:footnoteReference w:id="40"/>
      </w:r>
    </w:p>
    <w:p w14:paraId="2690ED7F" w14:textId="77777777" w:rsidR="007368EE" w:rsidRPr="00606E51" w:rsidRDefault="007368EE" w:rsidP="00230768">
      <w:pPr>
        <w:jc w:val="both"/>
        <w:rPr>
          <w:lang w:val="es-CO"/>
        </w:rPr>
      </w:pPr>
    </w:p>
    <w:p w14:paraId="20F3ED7E" w14:textId="77777777" w:rsidR="00BA4E60" w:rsidRPr="00606E51" w:rsidRDefault="00BA4E60" w:rsidP="00230768">
      <w:pPr>
        <w:jc w:val="both"/>
        <w:rPr>
          <w:lang w:val="es-CO"/>
        </w:rPr>
      </w:pPr>
      <w:r w:rsidRPr="00606E51">
        <w:rPr>
          <w:lang w:val="es-CO"/>
        </w:rPr>
        <w:t xml:space="preserve">Con la intención de mitigar estas dificultades </w:t>
      </w:r>
      <w:r w:rsidRPr="008C2E60">
        <w:rPr>
          <w:highlight w:val="yellow"/>
          <w:lang w:val="es-CO"/>
        </w:rPr>
        <w:t>se solicitó al MSPS un costo estándar o promedio en la atención intrahospitala</w:t>
      </w:r>
      <w:r w:rsidR="0048098C" w:rsidRPr="008C2E60">
        <w:rPr>
          <w:highlight w:val="yellow"/>
          <w:lang w:val="es-CO"/>
        </w:rPr>
        <w:t>ria</w:t>
      </w:r>
      <w:r w:rsidR="0048098C" w:rsidRPr="00606E51">
        <w:rPr>
          <w:lang w:val="es-CO"/>
        </w:rPr>
        <w:t xml:space="preserve"> bajo la implementación del L</w:t>
      </w:r>
      <w:r w:rsidRPr="00606E51">
        <w:rPr>
          <w:lang w:val="es-CO"/>
        </w:rPr>
        <w:t>ineamiento</w:t>
      </w:r>
      <w:r w:rsidR="00AE1A95">
        <w:rPr>
          <w:lang w:val="es-CO"/>
        </w:rPr>
        <w:t>.  S</w:t>
      </w:r>
      <w:r w:rsidRPr="00606E51">
        <w:rPr>
          <w:lang w:val="es-CO"/>
        </w:rPr>
        <w:t xml:space="preserve">in embargo, </w:t>
      </w:r>
      <w:r w:rsidR="00AE1A95">
        <w:rPr>
          <w:lang w:val="es-CO"/>
        </w:rPr>
        <w:t xml:space="preserve">tampoco </w:t>
      </w:r>
      <w:r w:rsidRPr="00606E51">
        <w:rPr>
          <w:lang w:val="es-CO"/>
        </w:rPr>
        <w:t xml:space="preserve">se obtuvo respuesta sobre este elemento, lo cual </w:t>
      </w:r>
      <w:r w:rsidR="00AE1A95">
        <w:rPr>
          <w:lang w:val="es-CO"/>
        </w:rPr>
        <w:t xml:space="preserve">impidió </w:t>
      </w:r>
      <w:r w:rsidRPr="00606E51">
        <w:rPr>
          <w:lang w:val="es-CO"/>
        </w:rPr>
        <w:t xml:space="preserve">tener un costo promedio ajustado y validado por el </w:t>
      </w:r>
      <w:r w:rsidR="00AE1A95">
        <w:rPr>
          <w:lang w:val="es-CO"/>
        </w:rPr>
        <w:t>propio Ministerio</w:t>
      </w:r>
      <w:r w:rsidR="007368EE" w:rsidRPr="00606E51">
        <w:rPr>
          <w:lang w:val="es-CO"/>
        </w:rPr>
        <w:t xml:space="preserve">.  A </w:t>
      </w:r>
      <w:r w:rsidRPr="00606E51">
        <w:rPr>
          <w:lang w:val="es-CO"/>
        </w:rPr>
        <w:t>pesar de lo anterior</w:t>
      </w:r>
      <w:r w:rsidR="00AE1A95">
        <w:rPr>
          <w:lang w:val="es-CO"/>
        </w:rPr>
        <w:t xml:space="preserve">, </w:t>
      </w:r>
      <w:r w:rsidR="007368EE" w:rsidRPr="008C2E60">
        <w:rPr>
          <w:highlight w:val="yellow"/>
          <w:lang w:val="es-CO"/>
        </w:rPr>
        <w:t>se estimó un costo de tratamiento</w:t>
      </w:r>
      <w:r w:rsidR="007368EE" w:rsidRPr="00606E51">
        <w:rPr>
          <w:lang w:val="es-CO"/>
        </w:rPr>
        <w:t xml:space="preserve"> en insumos y medicamentos para los casos con manejo intrahospitalario</w:t>
      </w:r>
      <w:r w:rsidRPr="00606E51">
        <w:rPr>
          <w:lang w:val="es-CO"/>
        </w:rPr>
        <w:t>, a partir de los protocolo</w:t>
      </w:r>
      <w:r w:rsidR="0048098C" w:rsidRPr="00606E51">
        <w:rPr>
          <w:lang w:val="es-CO"/>
        </w:rPr>
        <w:t>s presentes en el L</w:t>
      </w:r>
      <w:r w:rsidRPr="00606E51">
        <w:rPr>
          <w:lang w:val="es-CO"/>
        </w:rPr>
        <w:t>ineamiento y utilizando precios del tarifario SOAT para el año 2016.</w:t>
      </w:r>
      <w:bookmarkStart w:id="40" w:name="_Ref477273195"/>
    </w:p>
    <w:p w14:paraId="48EAB1C5" w14:textId="77777777" w:rsidR="000E4C37" w:rsidRPr="00606E51" w:rsidRDefault="000E4C37" w:rsidP="00230768">
      <w:pPr>
        <w:jc w:val="both"/>
        <w:rPr>
          <w:lang w:val="es-CO"/>
        </w:rPr>
      </w:pPr>
    </w:p>
    <w:bookmarkEnd w:id="40"/>
    <w:p w14:paraId="6EB2B8D7" w14:textId="77777777" w:rsidR="007368EE" w:rsidRPr="00606E51" w:rsidRDefault="00AE1A95" w:rsidP="00230768">
      <w:pPr>
        <w:jc w:val="both"/>
        <w:rPr>
          <w:lang w:val="es-CO"/>
        </w:rPr>
      </w:pPr>
      <w:r>
        <w:rPr>
          <w:lang w:val="es-CO"/>
        </w:rPr>
        <w:t>S</w:t>
      </w:r>
      <w:r w:rsidR="00BA4E60" w:rsidRPr="00606E51">
        <w:rPr>
          <w:lang w:val="es-CO"/>
        </w:rPr>
        <w:t>i bien dentro de los costos de la atención ambulatoria de manejo en el hogar existen gastos en recursos humanos, insumos y desplazamientos del equipo extramural, es importante tener en cuenta que algunos de estos elementos pueden considerarse fijos, así como comunes entre los dos escenarios de análisis</w:t>
      </w:r>
      <w:r w:rsidR="0048098C" w:rsidRPr="00606E51">
        <w:rPr>
          <w:lang w:val="es-CO"/>
        </w:rPr>
        <w:t xml:space="preserve"> (con y sin implementación del L</w:t>
      </w:r>
      <w:r w:rsidR="00BA4E60" w:rsidRPr="00606E51">
        <w:rPr>
          <w:lang w:val="es-CO"/>
        </w:rPr>
        <w:t>ineamiento)</w:t>
      </w:r>
      <w:r>
        <w:rPr>
          <w:lang w:val="es-CO"/>
        </w:rPr>
        <w:t>.  D</w:t>
      </w:r>
      <w:r w:rsidR="00BA4E60" w:rsidRPr="00606E51">
        <w:rPr>
          <w:lang w:val="es-CO"/>
        </w:rPr>
        <w:t>e esta manera, no se deben atribuir como costos especí</w:t>
      </w:r>
      <w:r w:rsidR="0048098C" w:rsidRPr="00606E51">
        <w:rPr>
          <w:lang w:val="es-CO"/>
        </w:rPr>
        <w:t>ficos de la implementación del L</w:t>
      </w:r>
      <w:r w:rsidR="00BA4E60" w:rsidRPr="00606E51">
        <w:rPr>
          <w:lang w:val="es-CO"/>
        </w:rPr>
        <w:t xml:space="preserve">ineamiento. </w:t>
      </w:r>
      <w:r>
        <w:rPr>
          <w:lang w:val="es-CO"/>
        </w:rPr>
        <w:t>Sin embargo</w:t>
      </w:r>
      <w:r w:rsidR="00BA4E60" w:rsidRPr="00606E51">
        <w:rPr>
          <w:lang w:val="es-CO"/>
        </w:rPr>
        <w:t>, existen elementos que están directamente relacionados con la implementación de lineamiento y que, al no ser comunes con el escenario sin lineamiento, se consideran e</w:t>
      </w:r>
      <w:r w:rsidR="0048098C" w:rsidRPr="00606E51">
        <w:rPr>
          <w:lang w:val="es-CO"/>
        </w:rPr>
        <w:t>xclusivos del escenario con el L</w:t>
      </w:r>
      <w:r w:rsidR="00BA4E60" w:rsidRPr="00606E51">
        <w:rPr>
          <w:lang w:val="es-CO"/>
        </w:rPr>
        <w:t xml:space="preserve">ineamiento; en particular, la Formula Terapéutica Lista para Consumir </w:t>
      </w:r>
      <w:r w:rsidR="00BA4E60" w:rsidRPr="00606E51">
        <w:rPr>
          <w:b/>
          <w:lang w:val="es-CO"/>
        </w:rPr>
        <w:t>–</w:t>
      </w:r>
      <w:r w:rsidR="00BA4E60" w:rsidRPr="00606E51">
        <w:rPr>
          <w:lang w:val="es-CO"/>
        </w:rPr>
        <w:t>FTLC</w:t>
      </w:r>
      <w:r w:rsidR="00BA4E60" w:rsidRPr="00606E51">
        <w:rPr>
          <w:b/>
          <w:lang w:val="es-CO"/>
        </w:rPr>
        <w:t>–</w:t>
      </w:r>
      <w:r w:rsidR="00BA4E60" w:rsidRPr="00606E51">
        <w:rPr>
          <w:lang w:val="es-CO"/>
        </w:rPr>
        <w:t xml:space="preserve"> y el Kit para su manejo. </w:t>
      </w:r>
    </w:p>
    <w:p w14:paraId="596A0DFC" w14:textId="77777777" w:rsidR="007368EE" w:rsidRPr="00606E51" w:rsidRDefault="007368EE" w:rsidP="00230768">
      <w:pPr>
        <w:jc w:val="both"/>
        <w:rPr>
          <w:lang w:val="es-CO"/>
        </w:rPr>
      </w:pPr>
    </w:p>
    <w:p w14:paraId="54A75C61" w14:textId="77777777" w:rsidR="000E4C37" w:rsidRPr="00606E51" w:rsidRDefault="00BA4E60" w:rsidP="00230768">
      <w:pPr>
        <w:jc w:val="both"/>
        <w:rPr>
          <w:lang w:val="es-CO"/>
        </w:rPr>
      </w:pPr>
      <w:r w:rsidRPr="00606E51">
        <w:rPr>
          <w:lang w:val="es-CO"/>
        </w:rPr>
        <w:t>Es muy importante mencionar que, aunque pueden existir otros elementos variables específicos del escenario de análisis con lineamiento, la información disponible no permitió identificarlos o cuantificarlos</w:t>
      </w:r>
      <w:r w:rsidR="00AE1A95">
        <w:rPr>
          <w:lang w:val="es-CO"/>
        </w:rPr>
        <w:t>.</w:t>
      </w:r>
      <w:r w:rsidR="00AE1A95">
        <w:rPr>
          <w:rStyle w:val="FootnoteReference"/>
          <w:lang w:val="es-CO"/>
        </w:rPr>
        <w:footnoteReference w:id="41"/>
      </w:r>
    </w:p>
    <w:p w14:paraId="338FDB4B" w14:textId="77777777" w:rsidR="000E4C37" w:rsidRPr="00606E51" w:rsidRDefault="000E4C37" w:rsidP="00230768">
      <w:pPr>
        <w:jc w:val="both"/>
        <w:rPr>
          <w:lang w:val="es-CO"/>
        </w:rPr>
      </w:pPr>
    </w:p>
    <w:p w14:paraId="30DC8EDC" w14:textId="77777777" w:rsidR="00E805AF" w:rsidRPr="00606E51" w:rsidRDefault="00177606" w:rsidP="00230768">
      <w:pPr>
        <w:jc w:val="both"/>
        <w:rPr>
          <w:lang w:val="es-CO"/>
        </w:rPr>
      </w:pPr>
      <w:r>
        <w:rPr>
          <w:lang w:val="es-CO"/>
        </w:rPr>
        <w:t>P</w:t>
      </w:r>
      <w:r w:rsidR="00E805AF" w:rsidRPr="00606E51">
        <w:rPr>
          <w:lang w:val="es-CO"/>
        </w:rPr>
        <w:t>ara la estimación de la medida de efectividad se consideraron y evaluaron diferentes fuentes de información, a partir de las cuales se estimaron los parámetros para calcular la efecti</w:t>
      </w:r>
      <w:r w:rsidR="0048098C" w:rsidRPr="00606E51">
        <w:rPr>
          <w:lang w:val="es-CO"/>
        </w:rPr>
        <w:t>vidad de la implementación del L</w:t>
      </w:r>
      <w:r w:rsidR="00E805AF" w:rsidRPr="00606E51">
        <w:rPr>
          <w:lang w:val="es-CO"/>
        </w:rPr>
        <w:t xml:space="preserve">ineamiento, el  </w:t>
      </w:r>
      <w:r w:rsidR="00E805AF" w:rsidRPr="00606E51">
        <w:rPr>
          <w:lang w:val="es-CO"/>
        </w:rPr>
        <w:fldChar w:fldCharType="begin"/>
      </w:r>
      <w:r w:rsidR="00E805AF" w:rsidRPr="00606E51">
        <w:rPr>
          <w:lang w:val="es-CO"/>
        </w:rPr>
        <w:instrText xml:space="preserve"> REF  _Ref477276116 \* Lower \h  \* MERGEFORMAT </w:instrText>
      </w:r>
      <w:r w:rsidR="00E805AF" w:rsidRPr="00606E51">
        <w:rPr>
          <w:lang w:val="es-CO"/>
        </w:rPr>
      </w:r>
      <w:r w:rsidR="00E805AF" w:rsidRPr="00606E51">
        <w:rPr>
          <w:lang w:val="es-CO"/>
        </w:rPr>
        <w:fldChar w:fldCharType="separate"/>
      </w:r>
      <w:r w:rsidR="00E805AF" w:rsidRPr="00606E51">
        <w:rPr>
          <w:lang w:val="es-CO"/>
        </w:rPr>
        <w:t>cuadro 4</w:t>
      </w:r>
      <w:r w:rsidR="00E805AF" w:rsidRPr="00606E51">
        <w:rPr>
          <w:lang w:val="es-CO"/>
        </w:rPr>
        <w:noBreakHyphen/>
        <w:t>5</w:t>
      </w:r>
      <w:r w:rsidR="00E805AF" w:rsidRPr="00606E51">
        <w:rPr>
          <w:lang w:val="es-CO"/>
        </w:rPr>
        <w:fldChar w:fldCharType="end"/>
      </w:r>
      <w:r w:rsidR="00E805AF" w:rsidRPr="00606E51">
        <w:rPr>
          <w:lang w:val="es-CO"/>
        </w:rPr>
        <w:t xml:space="preserve"> presenta esta información y la fuente utilizada.</w:t>
      </w:r>
    </w:p>
    <w:p w14:paraId="186153C2" w14:textId="77777777" w:rsidR="000E4C37" w:rsidRPr="00606E51" w:rsidRDefault="00BA4E60" w:rsidP="00230768">
      <w:pPr>
        <w:jc w:val="both"/>
        <w:rPr>
          <w:lang w:val="es-CO"/>
        </w:rPr>
      </w:pPr>
      <w:r w:rsidRPr="00606E51">
        <w:rPr>
          <w:lang w:val="es-CO"/>
        </w:rPr>
        <w:tab/>
      </w:r>
      <w:bookmarkStart w:id="41" w:name="_Ref477274068"/>
    </w:p>
    <w:p w14:paraId="68D6F80A" w14:textId="77777777" w:rsidR="00BA4E60" w:rsidRPr="00606E51" w:rsidRDefault="00BA4E60" w:rsidP="00170137">
      <w:pPr>
        <w:jc w:val="center"/>
        <w:rPr>
          <w:b/>
          <w:bCs/>
          <w:lang w:val="es-CO"/>
        </w:rPr>
      </w:pPr>
      <w:bookmarkStart w:id="42" w:name="_Toc490045702"/>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IV</w:t>
      </w:r>
      <w:r w:rsidR="00F1370E" w:rsidRPr="00606E51">
        <w:rPr>
          <w:b/>
          <w:bCs/>
          <w:lang w:val="es-CO"/>
        </w:rPr>
        <w:fldChar w:fldCharType="end"/>
      </w:r>
      <w:bookmarkEnd w:id="41"/>
      <w:r w:rsidR="00242B90" w:rsidRPr="00606E51">
        <w:rPr>
          <w:b/>
          <w:bCs/>
          <w:lang w:val="es-CO"/>
        </w:rPr>
        <w:t>:</w:t>
      </w:r>
      <w:r w:rsidRPr="00606E51">
        <w:rPr>
          <w:b/>
          <w:bCs/>
          <w:lang w:val="es-CO"/>
        </w:rPr>
        <w:t xml:space="preserve"> Códigos CIE-10 utilizados en la estimación de costos</w:t>
      </w:r>
      <w:bookmarkEnd w:id="42"/>
    </w:p>
    <w:tbl>
      <w:tblPr>
        <w:tblW w:w="4426" w:type="pct"/>
        <w:jc w:val="center"/>
        <w:tblCellMar>
          <w:left w:w="70" w:type="dxa"/>
          <w:right w:w="70" w:type="dxa"/>
        </w:tblCellMar>
        <w:tblLook w:val="04A0" w:firstRow="1" w:lastRow="0" w:firstColumn="1" w:lastColumn="0" w:noHBand="0" w:noVBand="1"/>
      </w:tblPr>
      <w:tblGrid>
        <w:gridCol w:w="1301"/>
        <w:gridCol w:w="3893"/>
        <w:gridCol w:w="2629"/>
      </w:tblGrid>
      <w:tr w:rsidR="00BA4E60" w:rsidRPr="00606E51" w14:paraId="7E9E7082" w14:textId="77777777" w:rsidTr="00177606">
        <w:trPr>
          <w:trHeight w:val="25"/>
          <w:jc w:val="center"/>
        </w:trPr>
        <w:tc>
          <w:tcPr>
            <w:tcW w:w="832" w:type="pct"/>
            <w:tcBorders>
              <w:top w:val="single" w:sz="4" w:space="0" w:color="auto"/>
              <w:left w:val="nil"/>
              <w:bottom w:val="single" w:sz="4" w:space="0" w:color="auto"/>
              <w:right w:val="nil"/>
            </w:tcBorders>
            <w:shd w:val="clear" w:color="auto" w:fill="auto"/>
            <w:noWrap/>
            <w:vAlign w:val="bottom"/>
            <w:hideMark/>
          </w:tcPr>
          <w:p w14:paraId="19F68B2D" w14:textId="77777777" w:rsidR="00BA4E60" w:rsidRPr="00606E51" w:rsidRDefault="00BA4E60" w:rsidP="00230768">
            <w:pPr>
              <w:jc w:val="both"/>
              <w:rPr>
                <w:b/>
                <w:bCs/>
                <w:sz w:val="18"/>
                <w:lang w:val="es-CO"/>
              </w:rPr>
            </w:pPr>
            <w:r w:rsidRPr="00606E51">
              <w:rPr>
                <w:b/>
                <w:bCs/>
                <w:sz w:val="18"/>
                <w:lang w:val="es-CO"/>
              </w:rPr>
              <w:t>Código CIE 10</w:t>
            </w:r>
          </w:p>
        </w:tc>
        <w:tc>
          <w:tcPr>
            <w:tcW w:w="2488" w:type="pct"/>
            <w:tcBorders>
              <w:top w:val="single" w:sz="4" w:space="0" w:color="auto"/>
              <w:left w:val="nil"/>
              <w:bottom w:val="single" w:sz="4" w:space="0" w:color="auto"/>
              <w:right w:val="nil"/>
            </w:tcBorders>
            <w:shd w:val="clear" w:color="auto" w:fill="auto"/>
            <w:noWrap/>
            <w:vAlign w:val="bottom"/>
            <w:hideMark/>
          </w:tcPr>
          <w:p w14:paraId="2245F446" w14:textId="77777777" w:rsidR="00BA4E60" w:rsidRPr="00606E51" w:rsidRDefault="00BA4E60" w:rsidP="00230768">
            <w:pPr>
              <w:jc w:val="both"/>
              <w:rPr>
                <w:b/>
                <w:bCs/>
                <w:sz w:val="18"/>
                <w:lang w:val="es-CO"/>
              </w:rPr>
            </w:pPr>
            <w:r w:rsidRPr="00606E51">
              <w:rPr>
                <w:b/>
                <w:bCs/>
                <w:sz w:val="18"/>
                <w:lang w:val="es-CO"/>
              </w:rPr>
              <w:t>Clasificación CIE - 10</w:t>
            </w:r>
          </w:p>
        </w:tc>
        <w:tc>
          <w:tcPr>
            <w:tcW w:w="1680" w:type="pct"/>
            <w:tcBorders>
              <w:top w:val="single" w:sz="4" w:space="0" w:color="auto"/>
              <w:left w:val="nil"/>
              <w:bottom w:val="single" w:sz="4" w:space="0" w:color="auto"/>
              <w:right w:val="nil"/>
            </w:tcBorders>
            <w:shd w:val="clear" w:color="auto" w:fill="auto"/>
            <w:noWrap/>
            <w:vAlign w:val="bottom"/>
            <w:hideMark/>
          </w:tcPr>
          <w:p w14:paraId="70B8DA5F" w14:textId="77777777" w:rsidR="00BA4E60" w:rsidRPr="00606E51" w:rsidRDefault="00BA4E60" w:rsidP="00230768">
            <w:pPr>
              <w:jc w:val="both"/>
              <w:rPr>
                <w:b/>
                <w:bCs/>
                <w:sz w:val="18"/>
                <w:lang w:val="es-CO"/>
              </w:rPr>
            </w:pPr>
            <w:r w:rsidRPr="00606E51">
              <w:rPr>
                <w:b/>
                <w:bCs/>
                <w:sz w:val="18"/>
                <w:lang w:val="es-CO"/>
              </w:rPr>
              <w:t>Equivalente</w:t>
            </w:r>
          </w:p>
        </w:tc>
      </w:tr>
      <w:tr w:rsidR="00BA4E60" w:rsidRPr="00606E51" w14:paraId="293F3E0D"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1F4F3120" w14:textId="77777777" w:rsidR="00BA4E60" w:rsidRPr="00606E51" w:rsidRDefault="00BA4E60" w:rsidP="00230768">
            <w:pPr>
              <w:jc w:val="both"/>
              <w:rPr>
                <w:b/>
                <w:bCs/>
                <w:sz w:val="18"/>
                <w:lang w:val="es-CO"/>
              </w:rPr>
            </w:pPr>
            <w:r w:rsidRPr="00606E51">
              <w:rPr>
                <w:b/>
                <w:bCs/>
                <w:sz w:val="18"/>
                <w:lang w:val="es-CO"/>
              </w:rPr>
              <w:t>E40x</w:t>
            </w:r>
          </w:p>
        </w:tc>
        <w:tc>
          <w:tcPr>
            <w:tcW w:w="2488" w:type="pct"/>
            <w:tcBorders>
              <w:top w:val="nil"/>
              <w:left w:val="nil"/>
              <w:bottom w:val="nil"/>
              <w:right w:val="nil"/>
            </w:tcBorders>
            <w:shd w:val="clear" w:color="auto" w:fill="auto"/>
            <w:noWrap/>
            <w:vAlign w:val="center"/>
            <w:hideMark/>
          </w:tcPr>
          <w:p w14:paraId="3C1C62E1" w14:textId="77777777" w:rsidR="00BA4E60" w:rsidRPr="00606E51" w:rsidRDefault="00BA4E60" w:rsidP="00230768">
            <w:pPr>
              <w:jc w:val="both"/>
              <w:rPr>
                <w:sz w:val="18"/>
                <w:lang w:val="es-CO"/>
              </w:rPr>
            </w:pPr>
            <w:r w:rsidRPr="00606E51">
              <w:rPr>
                <w:sz w:val="18"/>
                <w:lang w:val="es-CO"/>
              </w:rPr>
              <w:t>Kwashiorkor</w:t>
            </w:r>
          </w:p>
        </w:tc>
        <w:tc>
          <w:tcPr>
            <w:tcW w:w="1680" w:type="pct"/>
            <w:tcBorders>
              <w:top w:val="nil"/>
              <w:left w:val="nil"/>
              <w:bottom w:val="nil"/>
              <w:right w:val="nil"/>
            </w:tcBorders>
            <w:shd w:val="clear" w:color="auto" w:fill="auto"/>
            <w:noWrap/>
            <w:vAlign w:val="center"/>
            <w:hideMark/>
          </w:tcPr>
          <w:p w14:paraId="280A2BCE" w14:textId="77777777" w:rsidR="00BA4E60" w:rsidRPr="00606E51" w:rsidRDefault="00BA4E60" w:rsidP="00230768">
            <w:pPr>
              <w:jc w:val="both"/>
              <w:rPr>
                <w:sz w:val="18"/>
                <w:lang w:val="es-CO"/>
              </w:rPr>
            </w:pPr>
            <w:r w:rsidRPr="00606E51">
              <w:rPr>
                <w:sz w:val="18"/>
                <w:lang w:val="es-CO"/>
              </w:rPr>
              <w:t>Kwashiorkor</w:t>
            </w:r>
          </w:p>
        </w:tc>
      </w:tr>
      <w:tr w:rsidR="00BA4E60" w:rsidRPr="00606E51" w14:paraId="7294A5AF"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7A3C45BF" w14:textId="77777777" w:rsidR="00BA4E60" w:rsidRPr="00606E51" w:rsidRDefault="00BA4E60" w:rsidP="00230768">
            <w:pPr>
              <w:jc w:val="both"/>
              <w:rPr>
                <w:b/>
                <w:bCs/>
                <w:sz w:val="18"/>
                <w:lang w:val="es-CO"/>
              </w:rPr>
            </w:pPr>
            <w:r w:rsidRPr="00606E51">
              <w:rPr>
                <w:b/>
                <w:bCs/>
                <w:sz w:val="18"/>
                <w:lang w:val="es-CO"/>
              </w:rPr>
              <w:t>E41x</w:t>
            </w:r>
          </w:p>
        </w:tc>
        <w:tc>
          <w:tcPr>
            <w:tcW w:w="2488" w:type="pct"/>
            <w:tcBorders>
              <w:top w:val="nil"/>
              <w:left w:val="nil"/>
              <w:bottom w:val="nil"/>
              <w:right w:val="nil"/>
            </w:tcBorders>
            <w:shd w:val="clear" w:color="auto" w:fill="auto"/>
            <w:noWrap/>
            <w:vAlign w:val="center"/>
            <w:hideMark/>
          </w:tcPr>
          <w:p w14:paraId="754CA619" w14:textId="77777777" w:rsidR="00BA4E60" w:rsidRPr="00606E51" w:rsidRDefault="00BA4E60" w:rsidP="00230768">
            <w:pPr>
              <w:jc w:val="both"/>
              <w:rPr>
                <w:sz w:val="18"/>
                <w:lang w:val="es-CO"/>
              </w:rPr>
            </w:pPr>
            <w:r w:rsidRPr="00606E51">
              <w:rPr>
                <w:sz w:val="18"/>
                <w:lang w:val="es-CO"/>
              </w:rPr>
              <w:t>Marasmo</w:t>
            </w:r>
          </w:p>
        </w:tc>
        <w:tc>
          <w:tcPr>
            <w:tcW w:w="1680" w:type="pct"/>
            <w:tcBorders>
              <w:top w:val="nil"/>
              <w:left w:val="nil"/>
              <w:bottom w:val="nil"/>
              <w:right w:val="nil"/>
            </w:tcBorders>
            <w:shd w:val="clear" w:color="auto" w:fill="auto"/>
            <w:noWrap/>
            <w:vAlign w:val="center"/>
            <w:hideMark/>
          </w:tcPr>
          <w:p w14:paraId="188CF4B6" w14:textId="77777777" w:rsidR="00BA4E60" w:rsidRPr="00606E51" w:rsidRDefault="00BA4E60" w:rsidP="00230768">
            <w:pPr>
              <w:jc w:val="both"/>
              <w:rPr>
                <w:sz w:val="18"/>
                <w:lang w:val="es-CO"/>
              </w:rPr>
            </w:pPr>
            <w:r w:rsidRPr="00606E51">
              <w:rPr>
                <w:sz w:val="18"/>
                <w:lang w:val="es-CO"/>
              </w:rPr>
              <w:t>Marasmo</w:t>
            </w:r>
          </w:p>
        </w:tc>
      </w:tr>
      <w:tr w:rsidR="00BA4E60" w:rsidRPr="00606E51" w14:paraId="5E78CF6C"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4BA513EC" w14:textId="77777777" w:rsidR="00BA4E60" w:rsidRPr="00606E51" w:rsidRDefault="00BA4E60" w:rsidP="00230768">
            <w:pPr>
              <w:jc w:val="both"/>
              <w:rPr>
                <w:b/>
                <w:bCs/>
                <w:sz w:val="18"/>
                <w:lang w:val="es-CO"/>
              </w:rPr>
            </w:pPr>
            <w:r w:rsidRPr="00606E51">
              <w:rPr>
                <w:b/>
                <w:bCs/>
                <w:sz w:val="18"/>
                <w:lang w:val="es-CO"/>
              </w:rPr>
              <w:t>E42x</w:t>
            </w:r>
          </w:p>
        </w:tc>
        <w:tc>
          <w:tcPr>
            <w:tcW w:w="2488" w:type="pct"/>
            <w:tcBorders>
              <w:top w:val="nil"/>
              <w:left w:val="nil"/>
              <w:bottom w:val="nil"/>
              <w:right w:val="nil"/>
            </w:tcBorders>
            <w:shd w:val="clear" w:color="auto" w:fill="auto"/>
            <w:noWrap/>
            <w:vAlign w:val="center"/>
            <w:hideMark/>
          </w:tcPr>
          <w:p w14:paraId="16FA2D90" w14:textId="77777777" w:rsidR="00BA4E60" w:rsidRPr="00606E51" w:rsidRDefault="00BA4E60" w:rsidP="00230768">
            <w:pPr>
              <w:jc w:val="both"/>
              <w:rPr>
                <w:sz w:val="18"/>
                <w:lang w:val="es-CO"/>
              </w:rPr>
            </w:pPr>
            <w:r w:rsidRPr="00606E51">
              <w:rPr>
                <w:sz w:val="18"/>
                <w:lang w:val="es-CO"/>
              </w:rPr>
              <w:t>Marasmo Kwashiorkor</w:t>
            </w:r>
          </w:p>
        </w:tc>
        <w:tc>
          <w:tcPr>
            <w:tcW w:w="1680" w:type="pct"/>
            <w:tcBorders>
              <w:top w:val="nil"/>
              <w:left w:val="nil"/>
              <w:bottom w:val="nil"/>
              <w:right w:val="nil"/>
            </w:tcBorders>
            <w:shd w:val="clear" w:color="auto" w:fill="auto"/>
            <w:noWrap/>
            <w:vAlign w:val="center"/>
            <w:hideMark/>
          </w:tcPr>
          <w:p w14:paraId="16B2A536" w14:textId="77777777" w:rsidR="00BA4E60" w:rsidRPr="00606E51" w:rsidRDefault="00BA4E60" w:rsidP="00230768">
            <w:pPr>
              <w:jc w:val="both"/>
              <w:rPr>
                <w:sz w:val="18"/>
                <w:lang w:val="es-CO"/>
              </w:rPr>
            </w:pPr>
            <w:r w:rsidRPr="00606E51">
              <w:rPr>
                <w:sz w:val="18"/>
                <w:lang w:val="es-CO"/>
              </w:rPr>
              <w:t>Marasmo Kwashiorkor</w:t>
            </w:r>
          </w:p>
        </w:tc>
      </w:tr>
      <w:tr w:rsidR="00BA4E60" w:rsidRPr="00606E51" w14:paraId="51AC937E"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5BBA5506" w14:textId="77777777" w:rsidR="00BA4E60" w:rsidRPr="00606E51" w:rsidRDefault="00BA4E60" w:rsidP="00230768">
            <w:pPr>
              <w:jc w:val="both"/>
              <w:rPr>
                <w:b/>
                <w:bCs/>
                <w:sz w:val="18"/>
                <w:lang w:val="es-CO"/>
              </w:rPr>
            </w:pPr>
            <w:r w:rsidRPr="00606E51">
              <w:rPr>
                <w:b/>
                <w:bCs/>
                <w:sz w:val="18"/>
                <w:lang w:val="es-CO"/>
              </w:rPr>
              <w:t>E43x</w:t>
            </w:r>
          </w:p>
        </w:tc>
        <w:tc>
          <w:tcPr>
            <w:tcW w:w="2488" w:type="pct"/>
            <w:tcBorders>
              <w:top w:val="nil"/>
              <w:left w:val="nil"/>
              <w:bottom w:val="nil"/>
              <w:right w:val="nil"/>
            </w:tcBorders>
            <w:shd w:val="clear" w:color="auto" w:fill="auto"/>
            <w:noWrap/>
            <w:vAlign w:val="center"/>
            <w:hideMark/>
          </w:tcPr>
          <w:p w14:paraId="165CAB83" w14:textId="77777777" w:rsidR="00BA4E60" w:rsidRPr="00606E51" w:rsidRDefault="00BA4E60" w:rsidP="00230768">
            <w:pPr>
              <w:jc w:val="both"/>
              <w:rPr>
                <w:sz w:val="18"/>
                <w:lang w:val="es-CO"/>
              </w:rPr>
            </w:pPr>
            <w:r w:rsidRPr="00606E51">
              <w:rPr>
                <w:sz w:val="18"/>
                <w:lang w:val="es-CO"/>
              </w:rPr>
              <w:t>Desnutrición Proteico Calórica Severa</w:t>
            </w:r>
          </w:p>
        </w:tc>
        <w:tc>
          <w:tcPr>
            <w:tcW w:w="1680" w:type="pct"/>
            <w:tcBorders>
              <w:top w:val="nil"/>
              <w:left w:val="nil"/>
              <w:bottom w:val="nil"/>
              <w:right w:val="nil"/>
            </w:tcBorders>
            <w:shd w:val="clear" w:color="auto" w:fill="auto"/>
            <w:noWrap/>
            <w:vAlign w:val="center"/>
            <w:hideMark/>
          </w:tcPr>
          <w:p w14:paraId="7C2C7C61" w14:textId="77777777" w:rsidR="00BA4E60" w:rsidRPr="00606E51" w:rsidRDefault="00BA4E60" w:rsidP="00230768">
            <w:pPr>
              <w:jc w:val="both"/>
              <w:rPr>
                <w:sz w:val="18"/>
                <w:lang w:val="es-CO"/>
              </w:rPr>
            </w:pPr>
            <w:r w:rsidRPr="00606E51">
              <w:rPr>
                <w:sz w:val="18"/>
                <w:lang w:val="es-CO"/>
              </w:rPr>
              <w:t>Desnutrición aguda severa</w:t>
            </w:r>
          </w:p>
        </w:tc>
      </w:tr>
      <w:tr w:rsidR="00BA4E60" w:rsidRPr="00606E51" w14:paraId="13F13790"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64A32528" w14:textId="77777777" w:rsidR="00BA4E60" w:rsidRPr="00606E51" w:rsidRDefault="00BA4E60" w:rsidP="00230768">
            <w:pPr>
              <w:jc w:val="both"/>
              <w:rPr>
                <w:b/>
                <w:bCs/>
                <w:sz w:val="18"/>
                <w:lang w:val="es-CO"/>
              </w:rPr>
            </w:pPr>
            <w:r w:rsidRPr="00606E51">
              <w:rPr>
                <w:b/>
                <w:bCs/>
                <w:sz w:val="18"/>
                <w:lang w:val="es-CO"/>
              </w:rPr>
              <w:t>E440</w:t>
            </w:r>
          </w:p>
        </w:tc>
        <w:tc>
          <w:tcPr>
            <w:tcW w:w="2488" w:type="pct"/>
            <w:tcBorders>
              <w:top w:val="nil"/>
              <w:left w:val="nil"/>
              <w:bottom w:val="nil"/>
              <w:right w:val="nil"/>
            </w:tcBorders>
            <w:shd w:val="clear" w:color="auto" w:fill="auto"/>
            <w:noWrap/>
            <w:vAlign w:val="center"/>
            <w:hideMark/>
          </w:tcPr>
          <w:p w14:paraId="61D56E4F" w14:textId="77777777" w:rsidR="00BA4E60" w:rsidRPr="00606E51" w:rsidRDefault="00BA4E60" w:rsidP="00230768">
            <w:pPr>
              <w:jc w:val="both"/>
              <w:rPr>
                <w:sz w:val="18"/>
                <w:lang w:val="es-CO"/>
              </w:rPr>
            </w:pPr>
            <w:r w:rsidRPr="00606E51">
              <w:rPr>
                <w:sz w:val="18"/>
                <w:lang w:val="es-CO"/>
              </w:rPr>
              <w:t>Desnutrición Proteico Calórica Moderada</w:t>
            </w:r>
          </w:p>
        </w:tc>
        <w:tc>
          <w:tcPr>
            <w:tcW w:w="1680" w:type="pct"/>
            <w:tcBorders>
              <w:top w:val="nil"/>
              <w:left w:val="nil"/>
              <w:bottom w:val="nil"/>
              <w:right w:val="nil"/>
            </w:tcBorders>
            <w:shd w:val="clear" w:color="auto" w:fill="auto"/>
            <w:noWrap/>
            <w:vAlign w:val="center"/>
            <w:hideMark/>
          </w:tcPr>
          <w:p w14:paraId="53F5B36D" w14:textId="77777777" w:rsidR="00BA4E60" w:rsidRPr="00606E51" w:rsidRDefault="00BA4E60" w:rsidP="00230768">
            <w:pPr>
              <w:jc w:val="both"/>
              <w:rPr>
                <w:sz w:val="18"/>
                <w:lang w:val="es-CO"/>
              </w:rPr>
            </w:pPr>
            <w:r w:rsidRPr="00606E51">
              <w:rPr>
                <w:sz w:val="18"/>
                <w:lang w:val="es-CO"/>
              </w:rPr>
              <w:t>Desnutrición aguda moderada</w:t>
            </w:r>
          </w:p>
        </w:tc>
      </w:tr>
      <w:tr w:rsidR="00BA4E60" w:rsidRPr="00606E51" w14:paraId="5E956EAB" w14:textId="77777777" w:rsidTr="00177606">
        <w:trPr>
          <w:trHeight w:val="25"/>
          <w:jc w:val="center"/>
        </w:trPr>
        <w:tc>
          <w:tcPr>
            <w:tcW w:w="832" w:type="pct"/>
            <w:tcBorders>
              <w:top w:val="nil"/>
              <w:left w:val="nil"/>
              <w:bottom w:val="nil"/>
              <w:right w:val="nil"/>
            </w:tcBorders>
            <w:shd w:val="clear" w:color="auto" w:fill="auto"/>
            <w:noWrap/>
            <w:vAlign w:val="center"/>
            <w:hideMark/>
          </w:tcPr>
          <w:p w14:paraId="27ED566C" w14:textId="77777777" w:rsidR="00BA4E60" w:rsidRPr="00606E51" w:rsidRDefault="00BA4E60" w:rsidP="00230768">
            <w:pPr>
              <w:jc w:val="both"/>
              <w:rPr>
                <w:b/>
                <w:bCs/>
                <w:sz w:val="18"/>
                <w:lang w:val="es-CO"/>
              </w:rPr>
            </w:pPr>
            <w:r w:rsidRPr="00606E51">
              <w:rPr>
                <w:b/>
                <w:bCs/>
                <w:sz w:val="18"/>
                <w:lang w:val="es-CO"/>
              </w:rPr>
              <w:t>E441</w:t>
            </w:r>
          </w:p>
        </w:tc>
        <w:tc>
          <w:tcPr>
            <w:tcW w:w="2488" w:type="pct"/>
            <w:tcBorders>
              <w:top w:val="nil"/>
              <w:left w:val="nil"/>
              <w:bottom w:val="nil"/>
              <w:right w:val="nil"/>
            </w:tcBorders>
            <w:shd w:val="clear" w:color="auto" w:fill="auto"/>
            <w:noWrap/>
            <w:vAlign w:val="center"/>
            <w:hideMark/>
          </w:tcPr>
          <w:p w14:paraId="57192F2C" w14:textId="77777777" w:rsidR="00BA4E60" w:rsidRPr="00606E51" w:rsidRDefault="00BA4E60" w:rsidP="00230768">
            <w:pPr>
              <w:jc w:val="both"/>
              <w:rPr>
                <w:sz w:val="18"/>
                <w:lang w:val="es-CO"/>
              </w:rPr>
            </w:pPr>
            <w:r w:rsidRPr="00606E51">
              <w:rPr>
                <w:sz w:val="18"/>
                <w:lang w:val="es-CO"/>
              </w:rPr>
              <w:t>Desnutrición Proteico Calórica Leve</w:t>
            </w:r>
          </w:p>
        </w:tc>
        <w:tc>
          <w:tcPr>
            <w:tcW w:w="1680" w:type="pct"/>
            <w:tcBorders>
              <w:top w:val="nil"/>
              <w:left w:val="nil"/>
              <w:bottom w:val="nil"/>
              <w:right w:val="nil"/>
            </w:tcBorders>
            <w:shd w:val="clear" w:color="auto" w:fill="auto"/>
            <w:noWrap/>
            <w:vAlign w:val="center"/>
            <w:hideMark/>
          </w:tcPr>
          <w:p w14:paraId="7C337ED3" w14:textId="77777777" w:rsidR="00BA4E60" w:rsidRPr="00606E51" w:rsidRDefault="00BA4E60" w:rsidP="00230768">
            <w:pPr>
              <w:jc w:val="both"/>
              <w:rPr>
                <w:sz w:val="18"/>
                <w:lang w:val="es-CO"/>
              </w:rPr>
            </w:pPr>
            <w:r w:rsidRPr="00606E51">
              <w:rPr>
                <w:sz w:val="18"/>
                <w:lang w:val="es-CO"/>
              </w:rPr>
              <w:t>Riesgo de desnutrición aguda</w:t>
            </w:r>
          </w:p>
        </w:tc>
      </w:tr>
      <w:tr w:rsidR="00BA4E60" w:rsidRPr="00606E51" w14:paraId="6FA6983B" w14:textId="77777777" w:rsidTr="00177606">
        <w:trPr>
          <w:trHeight w:val="25"/>
          <w:jc w:val="center"/>
        </w:trPr>
        <w:tc>
          <w:tcPr>
            <w:tcW w:w="832" w:type="pct"/>
            <w:tcBorders>
              <w:top w:val="nil"/>
              <w:left w:val="nil"/>
              <w:bottom w:val="single" w:sz="4" w:space="0" w:color="auto"/>
              <w:right w:val="nil"/>
            </w:tcBorders>
            <w:shd w:val="clear" w:color="auto" w:fill="auto"/>
            <w:noWrap/>
            <w:vAlign w:val="center"/>
            <w:hideMark/>
          </w:tcPr>
          <w:p w14:paraId="25C38671" w14:textId="77777777" w:rsidR="00BA4E60" w:rsidRPr="00606E51" w:rsidRDefault="00BA4E60" w:rsidP="00230768">
            <w:pPr>
              <w:jc w:val="both"/>
              <w:rPr>
                <w:b/>
                <w:bCs/>
                <w:sz w:val="18"/>
                <w:lang w:val="es-CO"/>
              </w:rPr>
            </w:pPr>
            <w:r w:rsidRPr="00606E51">
              <w:rPr>
                <w:b/>
                <w:bCs/>
                <w:sz w:val="18"/>
                <w:lang w:val="es-CO"/>
              </w:rPr>
              <w:t>E46x</w:t>
            </w:r>
          </w:p>
        </w:tc>
        <w:tc>
          <w:tcPr>
            <w:tcW w:w="2488" w:type="pct"/>
            <w:tcBorders>
              <w:top w:val="nil"/>
              <w:left w:val="nil"/>
              <w:bottom w:val="single" w:sz="4" w:space="0" w:color="auto"/>
              <w:right w:val="nil"/>
            </w:tcBorders>
            <w:shd w:val="clear" w:color="auto" w:fill="auto"/>
            <w:noWrap/>
            <w:vAlign w:val="center"/>
            <w:hideMark/>
          </w:tcPr>
          <w:p w14:paraId="59095B3D" w14:textId="77777777" w:rsidR="00BA4E60" w:rsidRPr="00606E51" w:rsidRDefault="00BA4E60" w:rsidP="00230768">
            <w:pPr>
              <w:jc w:val="both"/>
              <w:rPr>
                <w:sz w:val="18"/>
                <w:lang w:val="es-CO"/>
              </w:rPr>
            </w:pPr>
            <w:r w:rsidRPr="00606E51">
              <w:rPr>
                <w:sz w:val="18"/>
                <w:lang w:val="es-CO"/>
              </w:rPr>
              <w:t>Desnutrición Proteico Calórica no Especificada</w:t>
            </w:r>
          </w:p>
        </w:tc>
        <w:tc>
          <w:tcPr>
            <w:tcW w:w="1680" w:type="pct"/>
            <w:tcBorders>
              <w:top w:val="nil"/>
              <w:left w:val="nil"/>
              <w:bottom w:val="single" w:sz="4" w:space="0" w:color="auto"/>
              <w:right w:val="nil"/>
            </w:tcBorders>
            <w:shd w:val="clear" w:color="auto" w:fill="auto"/>
            <w:vAlign w:val="center"/>
          </w:tcPr>
          <w:p w14:paraId="56FE2A38" w14:textId="77777777" w:rsidR="00BA4E60" w:rsidRPr="00606E51" w:rsidRDefault="00BA4E60" w:rsidP="00230768">
            <w:pPr>
              <w:jc w:val="both"/>
              <w:rPr>
                <w:sz w:val="18"/>
                <w:lang w:val="es-CO"/>
              </w:rPr>
            </w:pPr>
          </w:p>
        </w:tc>
      </w:tr>
    </w:tbl>
    <w:p w14:paraId="652B133B" w14:textId="77777777" w:rsidR="00BA4E60" w:rsidRPr="00606E51" w:rsidRDefault="00BA4E60" w:rsidP="00A45948">
      <w:pPr>
        <w:jc w:val="center"/>
        <w:rPr>
          <w:sz w:val="20"/>
          <w:lang w:val="es-CO"/>
        </w:rPr>
      </w:pPr>
      <w:r w:rsidRPr="00606E51">
        <w:rPr>
          <w:sz w:val="20"/>
          <w:lang w:val="es-CO"/>
        </w:rPr>
        <w:t>Fuente: recomendación equipo de trabajo UNICEF</w:t>
      </w:r>
    </w:p>
    <w:p w14:paraId="408DABC1" w14:textId="77777777" w:rsidR="00B932A0" w:rsidRPr="00606E51" w:rsidRDefault="00B932A0" w:rsidP="00A45948">
      <w:pPr>
        <w:jc w:val="center"/>
        <w:rPr>
          <w:sz w:val="20"/>
          <w:lang w:val="es-CO"/>
        </w:rPr>
      </w:pPr>
    </w:p>
    <w:p w14:paraId="1602E57B" w14:textId="77777777" w:rsidR="00177606" w:rsidRDefault="00B932A0" w:rsidP="00230768">
      <w:pPr>
        <w:jc w:val="both"/>
        <w:rPr>
          <w:lang w:val="es-CO"/>
        </w:rPr>
      </w:pPr>
      <w:r w:rsidRPr="00606E51">
        <w:rPr>
          <w:lang w:val="es-CO"/>
        </w:rPr>
        <w:t xml:space="preserve">Considerando las fuentes de información disponibles, </w:t>
      </w:r>
      <w:r w:rsidRPr="00F8130A">
        <w:rPr>
          <w:highlight w:val="yellow"/>
          <w:lang w:val="es-CO"/>
        </w:rPr>
        <w:t>no fue posible estimar la reducción en la tasa de mortalidad</w:t>
      </w:r>
      <w:r w:rsidRPr="00606E51">
        <w:rPr>
          <w:lang w:val="es-CO"/>
        </w:rPr>
        <w:t xml:space="preserve">; lo anterior debido a que, a pesar de que se tiene información de mortalidad general para La Guajira, </w:t>
      </w:r>
      <w:r w:rsidRPr="00F8130A">
        <w:rPr>
          <w:highlight w:val="yellow"/>
          <w:lang w:val="es-CO"/>
        </w:rPr>
        <w:t xml:space="preserve">no hay suficiente información para </w:t>
      </w:r>
      <w:r w:rsidRPr="00F8130A">
        <w:rPr>
          <w:i/>
          <w:highlight w:val="yellow"/>
          <w:lang w:val="es-CO"/>
        </w:rPr>
        <w:t>aislar</w:t>
      </w:r>
      <w:r w:rsidRPr="00F8130A">
        <w:rPr>
          <w:highlight w:val="yellow"/>
          <w:lang w:val="es-CO"/>
        </w:rPr>
        <w:t xml:space="preserve"> la potencial reducción</w:t>
      </w:r>
      <w:r w:rsidRPr="00606E51">
        <w:rPr>
          <w:lang w:val="es-CO"/>
        </w:rPr>
        <w:t xml:space="preserve"> debido a la implementación del Lineamiento. </w:t>
      </w:r>
    </w:p>
    <w:p w14:paraId="082A5569" w14:textId="77777777" w:rsidR="00177606" w:rsidRDefault="00177606" w:rsidP="00230768">
      <w:pPr>
        <w:jc w:val="both"/>
        <w:rPr>
          <w:lang w:val="es-CO"/>
        </w:rPr>
      </w:pPr>
    </w:p>
    <w:p w14:paraId="5B1B59AF" w14:textId="77777777" w:rsidR="00E805AF" w:rsidRPr="00606E51" w:rsidRDefault="00B932A0" w:rsidP="00230768">
      <w:pPr>
        <w:jc w:val="both"/>
        <w:rPr>
          <w:lang w:val="es-CO"/>
        </w:rPr>
      </w:pPr>
      <w:r w:rsidRPr="00606E51">
        <w:rPr>
          <w:lang w:val="es-CO"/>
        </w:rPr>
        <w:lastRenderedPageBreak/>
        <w:t xml:space="preserve">Por otro lado, el número de defunciones en los demás municipios (diferentes a Maicao, Manaure, Riohacha y Uribia) fue muy bajo, lo cual es relevante si se tiene en cuenta que entre los periodos 2014-2015 no se observó un comportamiento homogéneo en estos municipios respecto a lo observado en los municipios estudiados; lo anterior sumado al incremento elevado, respecto a periodos pasados, en el número de defunciones por desnutrición (evento 112 de SIVIGILA) no permitió inferir alguna diferencia entre estos dos grupos de municipios que pueda ser atribuida a la implementación del Lineamiento. Para mitigar esta dificultad, se </w:t>
      </w:r>
      <w:r w:rsidR="00177606">
        <w:rPr>
          <w:lang w:val="es-CO"/>
        </w:rPr>
        <w:t>utilizó</w:t>
      </w:r>
      <w:r w:rsidRPr="00606E51">
        <w:rPr>
          <w:lang w:val="es-CO"/>
        </w:rPr>
        <w:t xml:space="preserve"> como referencia la reducción estimada en la mortalidad de un estudio realizado en Zambia sobre el manejo comunitario de la desnutrición aguda; si bien no se ajusta perfectamente a las condiciones del Lineamiento y La Guajira, sirve como mejor aproximación</w:t>
      </w:r>
      <w:r w:rsidRPr="00606E51">
        <w:rPr>
          <w:rStyle w:val="FootnoteReference"/>
          <w:lang w:val="es-CO"/>
        </w:rPr>
        <w:footnoteReference w:id="42"/>
      </w:r>
      <w:r w:rsidRPr="00606E51">
        <w:rPr>
          <w:lang w:val="es-CO"/>
        </w:rPr>
        <w:t>.</w:t>
      </w:r>
      <w:bookmarkStart w:id="43" w:name="_Ref477276116"/>
    </w:p>
    <w:p w14:paraId="434C85C9" w14:textId="77777777" w:rsidR="004877DB" w:rsidRPr="00606E51" w:rsidRDefault="004877DB" w:rsidP="00230768">
      <w:pPr>
        <w:jc w:val="both"/>
        <w:rPr>
          <w:lang w:val="es-CO"/>
        </w:rPr>
      </w:pPr>
    </w:p>
    <w:p w14:paraId="69B5497B" w14:textId="77777777" w:rsidR="00BA4E60" w:rsidRPr="00606E51" w:rsidRDefault="00BA4E60" w:rsidP="00170137">
      <w:pPr>
        <w:jc w:val="center"/>
        <w:rPr>
          <w:lang w:val="es-CO"/>
        </w:rPr>
      </w:pPr>
      <w:bookmarkStart w:id="44" w:name="_Toc490045703"/>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V</w:t>
      </w:r>
      <w:r w:rsidR="00F1370E" w:rsidRPr="00606E51">
        <w:rPr>
          <w:b/>
          <w:bCs/>
          <w:lang w:val="es-CO"/>
        </w:rPr>
        <w:fldChar w:fldCharType="end"/>
      </w:r>
      <w:bookmarkEnd w:id="43"/>
      <w:r w:rsidR="00242B90" w:rsidRPr="00606E51">
        <w:rPr>
          <w:b/>
          <w:bCs/>
          <w:lang w:val="es-CO"/>
        </w:rPr>
        <w:t>:</w:t>
      </w:r>
      <w:r w:rsidRPr="00606E51">
        <w:rPr>
          <w:b/>
          <w:bCs/>
          <w:lang w:val="es-CO"/>
        </w:rPr>
        <w:t xml:space="preserve"> Fuentes de información para la medida de efectividad</w:t>
      </w:r>
      <w:bookmarkEnd w:id="44"/>
    </w:p>
    <w:tbl>
      <w:tblPr>
        <w:tblW w:w="5000" w:type="pct"/>
        <w:tblCellMar>
          <w:left w:w="70" w:type="dxa"/>
          <w:right w:w="70" w:type="dxa"/>
        </w:tblCellMar>
        <w:tblLook w:val="04A0" w:firstRow="1" w:lastRow="0" w:firstColumn="1" w:lastColumn="0" w:noHBand="0" w:noVBand="1"/>
      </w:tblPr>
      <w:tblGrid>
        <w:gridCol w:w="2552"/>
        <w:gridCol w:w="2977"/>
        <w:gridCol w:w="3309"/>
      </w:tblGrid>
      <w:tr w:rsidR="00BA4E60" w:rsidRPr="00606E51" w14:paraId="0668EA8A" w14:textId="77777777" w:rsidTr="00BA4E60">
        <w:trPr>
          <w:trHeight w:val="20"/>
          <w:tblHeader/>
        </w:trPr>
        <w:tc>
          <w:tcPr>
            <w:tcW w:w="1444" w:type="pct"/>
            <w:tcBorders>
              <w:top w:val="single" w:sz="12" w:space="0" w:color="auto"/>
              <w:left w:val="nil"/>
              <w:bottom w:val="single" w:sz="12" w:space="0" w:color="auto"/>
              <w:right w:val="nil"/>
            </w:tcBorders>
            <w:shd w:val="clear" w:color="auto" w:fill="auto"/>
            <w:noWrap/>
            <w:vAlign w:val="bottom"/>
            <w:hideMark/>
          </w:tcPr>
          <w:p w14:paraId="6AD0EF3D" w14:textId="77777777" w:rsidR="00BA4E60" w:rsidRPr="00606E51" w:rsidRDefault="00BA4E60" w:rsidP="00230768">
            <w:pPr>
              <w:jc w:val="both"/>
              <w:rPr>
                <w:sz w:val="18"/>
                <w:lang w:val="es-CO"/>
              </w:rPr>
            </w:pPr>
            <w:r w:rsidRPr="00606E51">
              <w:rPr>
                <w:sz w:val="18"/>
                <w:lang w:val="es-CO"/>
              </w:rPr>
              <w:t xml:space="preserve">  </w:t>
            </w:r>
          </w:p>
        </w:tc>
        <w:tc>
          <w:tcPr>
            <w:tcW w:w="1684" w:type="pct"/>
            <w:tcBorders>
              <w:top w:val="single" w:sz="12" w:space="0" w:color="auto"/>
              <w:left w:val="nil"/>
              <w:bottom w:val="single" w:sz="12" w:space="0" w:color="auto"/>
              <w:right w:val="single" w:sz="4" w:space="0" w:color="auto"/>
            </w:tcBorders>
            <w:shd w:val="clear" w:color="auto" w:fill="auto"/>
            <w:vAlign w:val="center"/>
            <w:hideMark/>
          </w:tcPr>
          <w:p w14:paraId="6C76E527" w14:textId="77777777" w:rsidR="00BA4E60" w:rsidRPr="00606E51" w:rsidRDefault="00BA4E60" w:rsidP="00230768">
            <w:pPr>
              <w:jc w:val="both"/>
              <w:rPr>
                <w:b/>
                <w:bCs/>
                <w:sz w:val="18"/>
                <w:lang w:val="es-CO"/>
              </w:rPr>
            </w:pPr>
            <w:r w:rsidRPr="00606E51">
              <w:rPr>
                <w:b/>
                <w:bCs/>
                <w:sz w:val="18"/>
                <w:lang w:val="es-CO"/>
              </w:rPr>
              <w:t>Fuente ideal</w:t>
            </w:r>
          </w:p>
        </w:tc>
        <w:tc>
          <w:tcPr>
            <w:tcW w:w="1872" w:type="pct"/>
            <w:tcBorders>
              <w:top w:val="single" w:sz="12" w:space="0" w:color="auto"/>
              <w:left w:val="single" w:sz="4" w:space="0" w:color="auto"/>
              <w:bottom w:val="single" w:sz="12" w:space="0" w:color="auto"/>
              <w:right w:val="nil"/>
            </w:tcBorders>
            <w:shd w:val="clear" w:color="auto" w:fill="auto"/>
            <w:vAlign w:val="center"/>
            <w:hideMark/>
          </w:tcPr>
          <w:p w14:paraId="2841FBE3" w14:textId="77777777" w:rsidR="00BA4E60" w:rsidRPr="00606E51" w:rsidRDefault="00BA4E60" w:rsidP="00230768">
            <w:pPr>
              <w:jc w:val="both"/>
              <w:rPr>
                <w:b/>
                <w:bCs/>
                <w:sz w:val="18"/>
                <w:lang w:val="es-CO"/>
              </w:rPr>
            </w:pPr>
            <w:r w:rsidRPr="00606E51">
              <w:rPr>
                <w:b/>
                <w:bCs/>
                <w:sz w:val="18"/>
                <w:lang w:val="es-CO"/>
              </w:rPr>
              <w:t>Fuente utilizada</w:t>
            </w:r>
          </w:p>
        </w:tc>
      </w:tr>
      <w:tr w:rsidR="00BA4E60" w:rsidRPr="00606E51" w14:paraId="3DAC4929" w14:textId="77777777" w:rsidTr="00BA4E60">
        <w:trPr>
          <w:trHeight w:val="20"/>
        </w:trPr>
        <w:tc>
          <w:tcPr>
            <w:tcW w:w="1444" w:type="pct"/>
            <w:tcBorders>
              <w:top w:val="single" w:sz="12" w:space="0" w:color="auto"/>
              <w:bottom w:val="single" w:sz="4" w:space="0" w:color="auto"/>
              <w:right w:val="single" w:sz="4" w:space="0" w:color="auto"/>
            </w:tcBorders>
            <w:shd w:val="clear" w:color="auto" w:fill="auto"/>
            <w:vAlign w:val="center"/>
            <w:hideMark/>
          </w:tcPr>
          <w:p w14:paraId="01FA7705" w14:textId="77777777" w:rsidR="00BA4E60" w:rsidRPr="00606E51" w:rsidRDefault="00BA4E60" w:rsidP="00230768">
            <w:pPr>
              <w:jc w:val="both"/>
              <w:rPr>
                <w:b/>
                <w:bCs/>
                <w:sz w:val="18"/>
                <w:lang w:val="es-CO"/>
              </w:rPr>
            </w:pPr>
            <w:r w:rsidRPr="00606E51">
              <w:rPr>
                <w:b/>
                <w:bCs/>
                <w:sz w:val="18"/>
                <w:lang w:val="es-CO"/>
              </w:rPr>
              <w:t>Proporción de niños y niñas recuperados</w:t>
            </w:r>
          </w:p>
        </w:tc>
        <w:tc>
          <w:tcPr>
            <w:tcW w:w="1684" w:type="pct"/>
            <w:tcBorders>
              <w:top w:val="single" w:sz="12" w:space="0" w:color="auto"/>
              <w:left w:val="single" w:sz="4" w:space="0" w:color="auto"/>
              <w:bottom w:val="single" w:sz="4" w:space="0" w:color="auto"/>
              <w:right w:val="single" w:sz="4" w:space="0" w:color="auto"/>
            </w:tcBorders>
            <w:shd w:val="clear" w:color="auto" w:fill="auto"/>
            <w:vAlign w:val="center"/>
            <w:hideMark/>
          </w:tcPr>
          <w:p w14:paraId="00B4A7DA" w14:textId="77777777" w:rsidR="00BA4E60" w:rsidRPr="00606E51" w:rsidRDefault="00BA4E60" w:rsidP="00230768">
            <w:pPr>
              <w:jc w:val="both"/>
              <w:rPr>
                <w:sz w:val="18"/>
                <w:lang w:val="es-CO"/>
              </w:rPr>
            </w:pPr>
            <w:r w:rsidRPr="00606E51">
              <w:rPr>
                <w:sz w:val="18"/>
                <w:lang w:val="es-CO"/>
              </w:rPr>
              <w:t>Información recole</w:t>
            </w:r>
            <w:r w:rsidR="0048098C" w:rsidRPr="00606E51">
              <w:rPr>
                <w:sz w:val="18"/>
                <w:lang w:val="es-CO"/>
              </w:rPr>
              <w:t>ctada de la implementación del L</w:t>
            </w:r>
            <w:r w:rsidRPr="00606E51">
              <w:rPr>
                <w:sz w:val="18"/>
                <w:lang w:val="es-CO"/>
              </w:rPr>
              <w:t>ineamiento</w:t>
            </w:r>
          </w:p>
        </w:tc>
        <w:tc>
          <w:tcPr>
            <w:tcW w:w="1872" w:type="pct"/>
            <w:tcBorders>
              <w:top w:val="single" w:sz="12" w:space="0" w:color="auto"/>
              <w:left w:val="single" w:sz="4" w:space="0" w:color="auto"/>
              <w:bottom w:val="single" w:sz="4" w:space="0" w:color="auto"/>
            </w:tcBorders>
            <w:shd w:val="clear" w:color="auto" w:fill="auto"/>
            <w:vAlign w:val="center"/>
            <w:hideMark/>
          </w:tcPr>
          <w:p w14:paraId="2D98100B" w14:textId="77777777" w:rsidR="00BA4E60" w:rsidRPr="00606E51" w:rsidRDefault="00BA4E60" w:rsidP="00230768">
            <w:pPr>
              <w:jc w:val="both"/>
              <w:rPr>
                <w:sz w:val="18"/>
                <w:lang w:val="es-CO"/>
              </w:rPr>
            </w:pPr>
            <w:r w:rsidRPr="00606E51">
              <w:rPr>
                <w:sz w:val="18"/>
                <w:lang w:val="es-CO"/>
              </w:rPr>
              <w:t>Elementos relevant</w:t>
            </w:r>
            <w:r w:rsidR="0048098C" w:rsidRPr="00606E51">
              <w:rPr>
                <w:sz w:val="18"/>
                <w:lang w:val="es-CO"/>
              </w:rPr>
              <w:t>es sobre la implementación del L</w:t>
            </w:r>
            <w:r w:rsidRPr="00606E51">
              <w:rPr>
                <w:sz w:val="18"/>
                <w:lang w:val="es-CO"/>
              </w:rPr>
              <w:t>ineamiento de la base de datos recolectada en el marco del Programa de Atención Integral en Salud y Nutrición con Enfoque Comunitario del MSPS. MSPS</w:t>
            </w:r>
          </w:p>
        </w:tc>
      </w:tr>
      <w:tr w:rsidR="00BA4E60" w:rsidRPr="00606E51" w14:paraId="1B880E01" w14:textId="77777777" w:rsidTr="00BA4E60">
        <w:trPr>
          <w:trHeight w:val="20"/>
        </w:trPr>
        <w:tc>
          <w:tcPr>
            <w:tcW w:w="1444" w:type="pct"/>
            <w:tcBorders>
              <w:top w:val="single" w:sz="4" w:space="0" w:color="auto"/>
              <w:bottom w:val="single" w:sz="4" w:space="0" w:color="auto"/>
              <w:right w:val="single" w:sz="4" w:space="0" w:color="auto"/>
            </w:tcBorders>
            <w:shd w:val="clear" w:color="auto" w:fill="auto"/>
            <w:vAlign w:val="center"/>
            <w:hideMark/>
          </w:tcPr>
          <w:p w14:paraId="157F886B" w14:textId="77777777" w:rsidR="00BA4E60" w:rsidRPr="00606E51" w:rsidRDefault="00BA4E60" w:rsidP="00230768">
            <w:pPr>
              <w:jc w:val="both"/>
              <w:rPr>
                <w:b/>
                <w:bCs/>
                <w:sz w:val="18"/>
                <w:lang w:val="es-CO"/>
              </w:rPr>
            </w:pPr>
            <w:r w:rsidRPr="00606E51">
              <w:rPr>
                <w:b/>
                <w:bCs/>
                <w:sz w:val="18"/>
                <w:lang w:val="es-CO"/>
              </w:rPr>
              <w:t>Proporción de niños y niñas que mejoraron (tomando como referencia el puntaje Z P/T)</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A13CD9" w14:textId="77777777" w:rsidR="00BA4E60" w:rsidRPr="00606E51" w:rsidRDefault="00BA4E60" w:rsidP="00230768">
            <w:pPr>
              <w:jc w:val="both"/>
              <w:rPr>
                <w:sz w:val="18"/>
                <w:lang w:val="es-CO"/>
              </w:rPr>
            </w:pPr>
            <w:r w:rsidRPr="00606E51">
              <w:rPr>
                <w:sz w:val="18"/>
                <w:lang w:val="es-CO"/>
              </w:rPr>
              <w:t>Información recole</w:t>
            </w:r>
            <w:r w:rsidR="0048098C" w:rsidRPr="00606E51">
              <w:rPr>
                <w:sz w:val="18"/>
                <w:lang w:val="es-CO"/>
              </w:rPr>
              <w:t>ctada de la implementación del L</w:t>
            </w:r>
            <w:r w:rsidRPr="00606E51">
              <w:rPr>
                <w:sz w:val="18"/>
                <w:lang w:val="es-CO"/>
              </w:rPr>
              <w:t>ineamiento</w:t>
            </w:r>
          </w:p>
        </w:tc>
        <w:tc>
          <w:tcPr>
            <w:tcW w:w="1872" w:type="pct"/>
            <w:tcBorders>
              <w:top w:val="single" w:sz="4" w:space="0" w:color="auto"/>
              <w:left w:val="single" w:sz="4" w:space="0" w:color="auto"/>
              <w:bottom w:val="single" w:sz="4" w:space="0" w:color="auto"/>
            </w:tcBorders>
            <w:shd w:val="clear" w:color="auto" w:fill="auto"/>
            <w:vAlign w:val="center"/>
            <w:hideMark/>
          </w:tcPr>
          <w:p w14:paraId="3CA831B7" w14:textId="77777777" w:rsidR="00BA4E60" w:rsidRPr="00606E51" w:rsidRDefault="00BA4E60" w:rsidP="00230768">
            <w:pPr>
              <w:jc w:val="both"/>
              <w:rPr>
                <w:sz w:val="18"/>
                <w:lang w:val="es-CO"/>
              </w:rPr>
            </w:pPr>
            <w:r w:rsidRPr="00606E51">
              <w:rPr>
                <w:sz w:val="18"/>
                <w:lang w:val="es-CO"/>
              </w:rPr>
              <w:t>Elementos relevant</w:t>
            </w:r>
            <w:r w:rsidR="0048098C" w:rsidRPr="00606E51">
              <w:rPr>
                <w:sz w:val="18"/>
                <w:lang w:val="es-CO"/>
              </w:rPr>
              <w:t>es sobre la implementación del L</w:t>
            </w:r>
            <w:r w:rsidRPr="00606E51">
              <w:rPr>
                <w:sz w:val="18"/>
                <w:lang w:val="es-CO"/>
              </w:rPr>
              <w:t>ineamiento de la base de datos recolectada en el marco del Programa de Atención Integral en Salud y Nutrición con Enfoque Comunitario del MSPS. MSPS</w:t>
            </w:r>
          </w:p>
        </w:tc>
      </w:tr>
      <w:tr w:rsidR="00BA4E60" w:rsidRPr="00606E51" w14:paraId="46D65772" w14:textId="77777777" w:rsidTr="00BA4E60">
        <w:trPr>
          <w:trHeight w:val="20"/>
        </w:trPr>
        <w:tc>
          <w:tcPr>
            <w:tcW w:w="1444" w:type="pct"/>
            <w:tcBorders>
              <w:top w:val="single" w:sz="4" w:space="0" w:color="auto"/>
              <w:bottom w:val="single" w:sz="4" w:space="0" w:color="auto"/>
              <w:right w:val="single" w:sz="4" w:space="0" w:color="auto"/>
            </w:tcBorders>
            <w:shd w:val="clear" w:color="auto" w:fill="auto"/>
            <w:vAlign w:val="center"/>
            <w:hideMark/>
          </w:tcPr>
          <w:p w14:paraId="4D8DEBA4" w14:textId="77777777" w:rsidR="00BA4E60" w:rsidRPr="00606E51" w:rsidRDefault="00BA4E60" w:rsidP="00230768">
            <w:pPr>
              <w:jc w:val="both"/>
              <w:rPr>
                <w:b/>
                <w:bCs/>
                <w:sz w:val="18"/>
                <w:lang w:val="es-CO"/>
              </w:rPr>
            </w:pPr>
            <w:r w:rsidRPr="00606E51">
              <w:rPr>
                <w:b/>
                <w:bCs/>
                <w:sz w:val="18"/>
                <w:lang w:val="es-CO"/>
              </w:rPr>
              <w:t>Tasa de mortalidad en hospitalización</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5E405" w14:textId="77777777" w:rsidR="00BA4E60" w:rsidRPr="00606E51" w:rsidRDefault="00BA4E60" w:rsidP="00230768">
            <w:pPr>
              <w:jc w:val="both"/>
              <w:rPr>
                <w:sz w:val="18"/>
                <w:lang w:val="es-CO"/>
              </w:rPr>
            </w:pPr>
            <w:r w:rsidRPr="00606E51">
              <w:rPr>
                <w:sz w:val="18"/>
                <w:lang w:val="es-CO"/>
              </w:rPr>
              <w:t>Información recole</w:t>
            </w:r>
            <w:r w:rsidR="003B2A8F" w:rsidRPr="00606E51">
              <w:rPr>
                <w:sz w:val="18"/>
                <w:lang w:val="es-CO"/>
              </w:rPr>
              <w:t>ctada de la implementación del L</w:t>
            </w:r>
            <w:r w:rsidRPr="00606E51">
              <w:rPr>
                <w:sz w:val="18"/>
                <w:lang w:val="es-CO"/>
              </w:rPr>
              <w:t>ineamiento y SIVIGILA</w:t>
            </w:r>
          </w:p>
        </w:tc>
        <w:tc>
          <w:tcPr>
            <w:tcW w:w="1872" w:type="pct"/>
            <w:tcBorders>
              <w:top w:val="single" w:sz="4" w:space="0" w:color="auto"/>
              <w:left w:val="single" w:sz="4" w:space="0" w:color="auto"/>
              <w:bottom w:val="single" w:sz="4" w:space="0" w:color="auto"/>
            </w:tcBorders>
            <w:shd w:val="clear" w:color="auto" w:fill="auto"/>
            <w:vAlign w:val="center"/>
            <w:hideMark/>
          </w:tcPr>
          <w:p w14:paraId="09596DCF" w14:textId="77777777" w:rsidR="00BA4E60" w:rsidRPr="00606E51" w:rsidRDefault="00BA4E60" w:rsidP="00230768">
            <w:pPr>
              <w:jc w:val="both"/>
              <w:rPr>
                <w:sz w:val="18"/>
                <w:lang w:val="es-CO"/>
              </w:rPr>
            </w:pPr>
            <w:r w:rsidRPr="00606E51">
              <w:rPr>
                <w:sz w:val="18"/>
                <w:lang w:val="es-CO"/>
              </w:rPr>
              <w:t>SIVIGILA (microdatos) en el escenario sin lineamiento. Para el escenario con lineamiento no hay una fuente que permita determinar este valor.</w:t>
            </w:r>
          </w:p>
        </w:tc>
      </w:tr>
      <w:tr w:rsidR="00BA4E60" w:rsidRPr="00606E51" w14:paraId="72AA5F59" w14:textId="77777777" w:rsidTr="00BA4E60">
        <w:trPr>
          <w:trHeight w:val="20"/>
        </w:trPr>
        <w:tc>
          <w:tcPr>
            <w:tcW w:w="1444" w:type="pct"/>
            <w:tcBorders>
              <w:top w:val="single" w:sz="4" w:space="0" w:color="auto"/>
              <w:bottom w:val="single" w:sz="4" w:space="0" w:color="auto"/>
              <w:right w:val="single" w:sz="4" w:space="0" w:color="auto"/>
            </w:tcBorders>
            <w:shd w:val="clear" w:color="auto" w:fill="auto"/>
            <w:vAlign w:val="center"/>
            <w:hideMark/>
          </w:tcPr>
          <w:p w14:paraId="27E58190" w14:textId="77777777" w:rsidR="00BA4E60" w:rsidRPr="00606E51" w:rsidRDefault="00BA4E60" w:rsidP="00230768">
            <w:pPr>
              <w:jc w:val="both"/>
              <w:rPr>
                <w:b/>
                <w:bCs/>
                <w:sz w:val="18"/>
                <w:lang w:val="es-CO"/>
              </w:rPr>
            </w:pPr>
            <w:r w:rsidRPr="00606E51">
              <w:rPr>
                <w:b/>
                <w:bCs/>
                <w:sz w:val="18"/>
                <w:lang w:val="es-CO"/>
              </w:rPr>
              <w:t>Proporción de casos que son remitidos a atención de mediana complejidad</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A8404A" w14:textId="77777777" w:rsidR="00BA4E60" w:rsidRPr="00606E51" w:rsidRDefault="00BA4E60" w:rsidP="00230768">
            <w:pPr>
              <w:jc w:val="both"/>
              <w:rPr>
                <w:sz w:val="18"/>
                <w:lang w:val="es-CO"/>
              </w:rPr>
            </w:pPr>
            <w:r w:rsidRPr="00606E51">
              <w:rPr>
                <w:sz w:val="18"/>
                <w:lang w:val="es-CO"/>
              </w:rPr>
              <w:t>Información recole</w:t>
            </w:r>
            <w:r w:rsidR="003B2A8F" w:rsidRPr="00606E51">
              <w:rPr>
                <w:sz w:val="18"/>
                <w:lang w:val="es-CO"/>
              </w:rPr>
              <w:t>ctada de la implementación del L</w:t>
            </w:r>
            <w:r w:rsidRPr="00606E51">
              <w:rPr>
                <w:sz w:val="18"/>
                <w:lang w:val="es-CO"/>
              </w:rPr>
              <w:t>ineamiento</w:t>
            </w:r>
          </w:p>
        </w:tc>
        <w:tc>
          <w:tcPr>
            <w:tcW w:w="1872" w:type="pct"/>
            <w:tcBorders>
              <w:top w:val="single" w:sz="4" w:space="0" w:color="auto"/>
              <w:left w:val="single" w:sz="4" w:space="0" w:color="auto"/>
              <w:bottom w:val="single" w:sz="4" w:space="0" w:color="auto"/>
            </w:tcBorders>
            <w:shd w:val="clear" w:color="auto" w:fill="auto"/>
            <w:vAlign w:val="center"/>
            <w:hideMark/>
          </w:tcPr>
          <w:p w14:paraId="13B71B98" w14:textId="77777777" w:rsidR="00BA4E60" w:rsidRPr="00606E51" w:rsidRDefault="00BA4E60" w:rsidP="00230768">
            <w:pPr>
              <w:jc w:val="both"/>
              <w:rPr>
                <w:sz w:val="18"/>
                <w:lang w:val="es-CO"/>
              </w:rPr>
            </w:pPr>
            <w:r w:rsidRPr="00606E51">
              <w:rPr>
                <w:sz w:val="18"/>
                <w:lang w:val="es-CO"/>
              </w:rPr>
              <w:t>Elementos relevant</w:t>
            </w:r>
            <w:r w:rsidR="003B2A8F" w:rsidRPr="00606E51">
              <w:rPr>
                <w:sz w:val="18"/>
                <w:lang w:val="es-CO"/>
              </w:rPr>
              <w:t>es sobre la implementación del L</w:t>
            </w:r>
            <w:r w:rsidRPr="00606E51">
              <w:rPr>
                <w:sz w:val="18"/>
                <w:lang w:val="es-CO"/>
              </w:rPr>
              <w:t>ineamiento de la base de datos recolectada en el marco del Programa de Atención Integral en Salud y Nutrición con Enfoque Comunitario del MSPS. MSPS</w:t>
            </w:r>
          </w:p>
        </w:tc>
      </w:tr>
      <w:tr w:rsidR="00BA4E60" w:rsidRPr="00606E51" w14:paraId="6A1AA28C" w14:textId="77777777" w:rsidTr="00BA4E60">
        <w:trPr>
          <w:trHeight w:val="20"/>
        </w:trPr>
        <w:tc>
          <w:tcPr>
            <w:tcW w:w="1444" w:type="pct"/>
            <w:tcBorders>
              <w:top w:val="single" w:sz="4" w:space="0" w:color="auto"/>
              <w:bottom w:val="single" w:sz="4" w:space="0" w:color="auto"/>
              <w:right w:val="single" w:sz="4" w:space="0" w:color="auto"/>
            </w:tcBorders>
            <w:shd w:val="clear" w:color="auto" w:fill="auto"/>
            <w:vAlign w:val="center"/>
            <w:hideMark/>
          </w:tcPr>
          <w:p w14:paraId="0D18BDF7" w14:textId="77777777" w:rsidR="00BA4E60" w:rsidRPr="00606E51" w:rsidRDefault="00BA4E60" w:rsidP="00230768">
            <w:pPr>
              <w:jc w:val="both"/>
              <w:rPr>
                <w:b/>
                <w:bCs/>
                <w:sz w:val="18"/>
                <w:lang w:val="es-CO"/>
              </w:rPr>
            </w:pPr>
            <w:r w:rsidRPr="00606E51">
              <w:rPr>
                <w:b/>
                <w:bCs/>
                <w:sz w:val="18"/>
                <w:lang w:val="es-CO"/>
              </w:rPr>
              <w:t>Tasa de hospitalización</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C5E1D" w14:textId="77777777" w:rsidR="00BA4E60" w:rsidRPr="00606E51" w:rsidRDefault="00BA4E60" w:rsidP="00230768">
            <w:pPr>
              <w:jc w:val="both"/>
              <w:rPr>
                <w:sz w:val="18"/>
                <w:lang w:val="es-CO"/>
              </w:rPr>
            </w:pPr>
            <w:r w:rsidRPr="00606E51">
              <w:rPr>
                <w:sz w:val="18"/>
                <w:lang w:val="es-CO"/>
              </w:rPr>
              <w:t>Información recole</w:t>
            </w:r>
            <w:r w:rsidR="003B2A8F" w:rsidRPr="00606E51">
              <w:rPr>
                <w:sz w:val="18"/>
                <w:lang w:val="es-CO"/>
              </w:rPr>
              <w:t>ctada de la implementación del L</w:t>
            </w:r>
            <w:r w:rsidRPr="00606E51">
              <w:rPr>
                <w:sz w:val="18"/>
                <w:lang w:val="es-CO"/>
              </w:rPr>
              <w:t>ineamiento y SIVIGILA</w:t>
            </w:r>
          </w:p>
        </w:tc>
        <w:tc>
          <w:tcPr>
            <w:tcW w:w="1872" w:type="pct"/>
            <w:tcBorders>
              <w:top w:val="single" w:sz="4" w:space="0" w:color="auto"/>
              <w:left w:val="single" w:sz="4" w:space="0" w:color="auto"/>
              <w:bottom w:val="single" w:sz="4" w:space="0" w:color="auto"/>
            </w:tcBorders>
            <w:shd w:val="clear" w:color="auto" w:fill="auto"/>
            <w:noWrap/>
            <w:vAlign w:val="center"/>
            <w:hideMark/>
          </w:tcPr>
          <w:p w14:paraId="6BF3268B" w14:textId="77777777" w:rsidR="00BA4E60" w:rsidRPr="00606E51" w:rsidRDefault="00BA4E60" w:rsidP="00230768">
            <w:pPr>
              <w:jc w:val="both"/>
              <w:rPr>
                <w:sz w:val="18"/>
                <w:lang w:val="es-CO"/>
              </w:rPr>
            </w:pPr>
            <w:r w:rsidRPr="00606E51">
              <w:rPr>
                <w:sz w:val="18"/>
                <w:lang w:val="es-CO"/>
              </w:rPr>
              <w:t>SIVIGILA (microdatos)</w:t>
            </w:r>
          </w:p>
        </w:tc>
      </w:tr>
      <w:tr w:rsidR="00BA4E60" w:rsidRPr="00606E51" w14:paraId="6573C94C" w14:textId="77777777" w:rsidTr="00BA4E60">
        <w:trPr>
          <w:trHeight w:val="20"/>
        </w:trPr>
        <w:tc>
          <w:tcPr>
            <w:tcW w:w="1444" w:type="pct"/>
            <w:tcBorders>
              <w:top w:val="single" w:sz="4" w:space="0" w:color="auto"/>
              <w:bottom w:val="single" w:sz="12" w:space="0" w:color="auto"/>
              <w:right w:val="single" w:sz="4" w:space="0" w:color="auto"/>
            </w:tcBorders>
            <w:shd w:val="clear" w:color="auto" w:fill="auto"/>
            <w:vAlign w:val="center"/>
            <w:hideMark/>
          </w:tcPr>
          <w:p w14:paraId="1ADABF09" w14:textId="77777777" w:rsidR="00BA4E60" w:rsidRPr="00606E51" w:rsidRDefault="00BA4E60" w:rsidP="00230768">
            <w:pPr>
              <w:jc w:val="both"/>
              <w:rPr>
                <w:b/>
                <w:bCs/>
                <w:sz w:val="18"/>
                <w:lang w:val="es-CO"/>
              </w:rPr>
            </w:pPr>
            <w:r w:rsidRPr="00606E51">
              <w:rPr>
                <w:b/>
                <w:bCs/>
                <w:sz w:val="18"/>
                <w:lang w:val="es-CO"/>
              </w:rPr>
              <w:t>Disminución esperada de la tasa de mortalidad</w:t>
            </w:r>
          </w:p>
        </w:tc>
        <w:tc>
          <w:tcPr>
            <w:tcW w:w="1684" w:type="pct"/>
            <w:tcBorders>
              <w:top w:val="single" w:sz="4" w:space="0" w:color="auto"/>
              <w:left w:val="single" w:sz="4" w:space="0" w:color="auto"/>
              <w:bottom w:val="single" w:sz="12" w:space="0" w:color="auto"/>
              <w:right w:val="single" w:sz="4" w:space="0" w:color="auto"/>
            </w:tcBorders>
            <w:shd w:val="clear" w:color="auto" w:fill="auto"/>
            <w:vAlign w:val="center"/>
            <w:hideMark/>
          </w:tcPr>
          <w:p w14:paraId="54DF7E81" w14:textId="77777777" w:rsidR="00BA4E60" w:rsidRPr="00606E51" w:rsidRDefault="00BA4E60" w:rsidP="00230768">
            <w:pPr>
              <w:jc w:val="both"/>
              <w:rPr>
                <w:sz w:val="18"/>
                <w:lang w:val="es-CO"/>
              </w:rPr>
            </w:pPr>
            <w:r w:rsidRPr="00606E51">
              <w:rPr>
                <w:sz w:val="18"/>
                <w:lang w:val="es-CO"/>
              </w:rPr>
              <w:t>Información recole</w:t>
            </w:r>
            <w:r w:rsidR="003B2A8F" w:rsidRPr="00606E51">
              <w:rPr>
                <w:sz w:val="18"/>
                <w:lang w:val="es-CO"/>
              </w:rPr>
              <w:t>ctada de la implementación del L</w:t>
            </w:r>
            <w:r w:rsidRPr="00606E51">
              <w:rPr>
                <w:sz w:val="18"/>
                <w:lang w:val="es-CO"/>
              </w:rPr>
              <w:t>ineamiento</w:t>
            </w:r>
          </w:p>
        </w:tc>
        <w:tc>
          <w:tcPr>
            <w:tcW w:w="1872" w:type="pct"/>
            <w:tcBorders>
              <w:top w:val="single" w:sz="4" w:space="0" w:color="auto"/>
              <w:left w:val="single" w:sz="4" w:space="0" w:color="auto"/>
              <w:bottom w:val="single" w:sz="12" w:space="0" w:color="auto"/>
            </w:tcBorders>
            <w:shd w:val="clear" w:color="auto" w:fill="auto"/>
            <w:vAlign w:val="center"/>
            <w:hideMark/>
          </w:tcPr>
          <w:p w14:paraId="1D050A95" w14:textId="77777777" w:rsidR="00BA4E60" w:rsidRPr="00606E51" w:rsidRDefault="00BA4E60" w:rsidP="00230768">
            <w:pPr>
              <w:jc w:val="both"/>
              <w:rPr>
                <w:sz w:val="18"/>
                <w:lang w:val="es-CO"/>
              </w:rPr>
            </w:pPr>
            <w:r w:rsidRPr="00606E51">
              <w:rPr>
                <w:sz w:val="18"/>
                <w:lang w:val="es-CO"/>
              </w:rPr>
              <w:t>Bachman. M. (2009)</w:t>
            </w:r>
          </w:p>
        </w:tc>
      </w:tr>
    </w:tbl>
    <w:p w14:paraId="25FE5A47" w14:textId="77777777" w:rsidR="00BA4E60" w:rsidRPr="00606E51" w:rsidRDefault="00BA4E60" w:rsidP="00230768">
      <w:pPr>
        <w:jc w:val="both"/>
        <w:rPr>
          <w:lang w:val="es-CO"/>
        </w:rPr>
      </w:pPr>
      <w:r w:rsidRPr="00606E51">
        <w:rPr>
          <w:sz w:val="20"/>
          <w:lang w:val="es-CO"/>
        </w:rPr>
        <w:t>Fuente: Elaboración propia a partir de las fuentes de información utilizadas</w:t>
      </w:r>
    </w:p>
    <w:p w14:paraId="29DA1E53" w14:textId="77777777" w:rsidR="00BA4E60" w:rsidRPr="00606E51" w:rsidRDefault="00BA4E60" w:rsidP="00230768">
      <w:pPr>
        <w:jc w:val="both"/>
        <w:rPr>
          <w:lang w:val="es-CO"/>
        </w:rPr>
      </w:pPr>
    </w:p>
    <w:p w14:paraId="2FCA2966" w14:textId="77777777" w:rsidR="00B63DA0" w:rsidRPr="00606E51" w:rsidRDefault="00B63DA0" w:rsidP="00230768">
      <w:pPr>
        <w:jc w:val="both"/>
        <w:rPr>
          <w:lang w:val="es-CO"/>
        </w:rPr>
      </w:pPr>
    </w:p>
    <w:p w14:paraId="79A30053" w14:textId="77777777" w:rsidR="00B63DA0" w:rsidRPr="00606E51" w:rsidRDefault="00B63DA0" w:rsidP="00B63DA0">
      <w:pPr>
        <w:pStyle w:val="Heading3"/>
        <w:rPr>
          <w:lang w:val="es-CO"/>
        </w:rPr>
      </w:pPr>
      <w:bookmarkStart w:id="45" w:name="_Ref486292196"/>
      <w:bookmarkStart w:id="46" w:name="_Ref486292228"/>
      <w:bookmarkStart w:id="47" w:name="_Toc505090946"/>
      <w:r w:rsidRPr="00606E51">
        <w:rPr>
          <w:lang w:val="es-CO"/>
        </w:rPr>
        <w:t>Los datos usados para la estimación de costo-efectividad</w:t>
      </w:r>
      <w:bookmarkEnd w:id="45"/>
      <w:bookmarkEnd w:id="46"/>
      <w:bookmarkEnd w:id="47"/>
    </w:p>
    <w:p w14:paraId="7D505AEC" w14:textId="77777777" w:rsidR="00B63DA0" w:rsidRPr="00606E51" w:rsidRDefault="00B63DA0" w:rsidP="00B63DA0">
      <w:pPr>
        <w:jc w:val="both"/>
        <w:rPr>
          <w:lang w:val="es-CO"/>
        </w:rPr>
      </w:pPr>
    </w:p>
    <w:p w14:paraId="0EBD09CC" w14:textId="77777777" w:rsidR="00B63DA0" w:rsidRPr="00606E51" w:rsidRDefault="00B63DA0" w:rsidP="00B63DA0">
      <w:pPr>
        <w:jc w:val="both"/>
        <w:rPr>
          <w:lang w:val="es-CO"/>
        </w:rPr>
      </w:pPr>
      <w:r w:rsidRPr="00606E51">
        <w:rPr>
          <w:lang w:val="es-CO"/>
        </w:rPr>
        <w:t xml:space="preserve">Considerando las dificultades sobre las fuentes de información y las alternativas que se consideraron para realizar una estimación ajustada, </w:t>
      </w:r>
      <w:r w:rsidR="000737ED" w:rsidRPr="00606E51">
        <w:rPr>
          <w:lang w:val="es-CO"/>
        </w:rPr>
        <w:t>a continuación,</w:t>
      </w:r>
      <w:r w:rsidRPr="00606E51">
        <w:rPr>
          <w:lang w:val="es-CO"/>
        </w:rPr>
        <w:t xml:space="preserve"> se presentan los elementos centrales de las bases de datos revisadas y los parámetros estimados, a partir de los cuales se realiza el cálculo de los resultados.</w:t>
      </w:r>
    </w:p>
    <w:p w14:paraId="052D868B" w14:textId="77777777" w:rsidR="00B63DA0" w:rsidRPr="00606E51" w:rsidRDefault="00B63DA0" w:rsidP="00B63DA0">
      <w:pPr>
        <w:jc w:val="both"/>
        <w:rPr>
          <w:lang w:val="es-CO"/>
        </w:rPr>
      </w:pPr>
    </w:p>
    <w:p w14:paraId="3E8F3526" w14:textId="77777777" w:rsidR="00B63DA0" w:rsidRPr="00606E51" w:rsidRDefault="00B63DA0" w:rsidP="00B63DA0">
      <w:pPr>
        <w:jc w:val="both"/>
        <w:rPr>
          <w:lang w:val="es-CO"/>
        </w:rPr>
      </w:pPr>
      <w:r w:rsidRPr="00606E51">
        <w:rPr>
          <w:lang w:val="es-CO"/>
        </w:rPr>
        <w:lastRenderedPageBreak/>
        <w:t xml:space="preserve">Como se informó en la sección de contexto de este documento, el </w:t>
      </w:r>
      <w:r w:rsidRPr="00606E51">
        <w:rPr>
          <w:lang w:val="es-CO"/>
        </w:rPr>
        <w:fldChar w:fldCharType="begin"/>
      </w:r>
      <w:r w:rsidRPr="00606E51">
        <w:rPr>
          <w:lang w:val="es-CO"/>
        </w:rPr>
        <w:instrText xml:space="preserve"> REF _Ref482894353 \h  \* MERGEFORMAT </w:instrText>
      </w:r>
      <w:r w:rsidRPr="00606E51">
        <w:rPr>
          <w:lang w:val="es-CO"/>
        </w:rPr>
      </w:r>
      <w:r w:rsidRPr="00606E51">
        <w:rPr>
          <w:lang w:val="es-CO"/>
        </w:rPr>
        <w:fldChar w:fldCharType="separate"/>
      </w:r>
      <w:r w:rsidRPr="00606E51">
        <w:rPr>
          <w:lang w:val="es-CO"/>
        </w:rPr>
        <w:t>Cuadro 1</w:t>
      </w:r>
      <w:r w:rsidRPr="00606E51">
        <w:rPr>
          <w:lang w:val="es-CO"/>
        </w:rPr>
        <w:noBreakHyphen/>
        <w:t>3</w:t>
      </w:r>
      <w:r w:rsidRPr="00606E51">
        <w:rPr>
          <w:lang w:val="es-CO"/>
        </w:rPr>
        <w:fldChar w:fldCharType="end"/>
      </w:r>
      <w:r w:rsidRPr="00606E51">
        <w:rPr>
          <w:lang w:val="es-CO"/>
        </w:rPr>
        <w:t xml:space="preserve"> muestra las características de la información sobre el evento 112 de SIVIGILA</w:t>
      </w:r>
      <w:r w:rsidRPr="00606E51">
        <w:rPr>
          <w:b/>
          <w:bCs/>
          <w:vertAlign w:val="superscript"/>
          <w:lang w:val="es-CO"/>
        </w:rPr>
        <w:footnoteReference w:id="43"/>
      </w:r>
      <w:r w:rsidRPr="00606E51">
        <w:rPr>
          <w:lang w:val="es-CO"/>
        </w:rPr>
        <w:t xml:space="preserve">  (Mortalidad por desnutrición aguda) para el año 2016. Según el protocolo de vigilancia en salud pública del Instituto Nacional de Salud (INS), los casos identificados en esta base corresponden a “toda defunción de un niño o niña menor de cinco años cuya causa o causas de muerte incluyan la desnutrición y/o deficiencias nutricionales. Se excluye dentro de esta clasificación las muertes en la que la desnutrición se presenta como patología secundaria”; para realizar esta identificación se utilizan los siguientes códigos CIE-10.</w:t>
      </w:r>
    </w:p>
    <w:p w14:paraId="16F6C48E" w14:textId="77777777" w:rsidR="000737ED" w:rsidRPr="00606E51" w:rsidRDefault="000737ED" w:rsidP="00B63DA0">
      <w:pPr>
        <w:jc w:val="both"/>
        <w:rPr>
          <w:lang w:val="es-CO"/>
        </w:rPr>
      </w:pPr>
    </w:p>
    <w:p w14:paraId="13DF3595" w14:textId="77777777" w:rsidR="000737ED" w:rsidRPr="00606E51" w:rsidRDefault="000737ED" w:rsidP="00B63DA0">
      <w:pPr>
        <w:jc w:val="both"/>
        <w:rPr>
          <w:lang w:val="es-CO"/>
        </w:rPr>
      </w:pPr>
    </w:p>
    <w:p w14:paraId="75175F3B" w14:textId="77777777" w:rsidR="00B63DA0" w:rsidRPr="00606E51" w:rsidRDefault="00B63DA0" w:rsidP="00B63DA0">
      <w:pPr>
        <w:jc w:val="center"/>
        <w:rPr>
          <w:lang w:val="es-CO"/>
        </w:rPr>
      </w:pPr>
      <w:bookmarkStart w:id="48" w:name="_Toc490045704"/>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VI</w:t>
      </w:r>
      <w:r w:rsidR="00F1370E" w:rsidRPr="00606E51">
        <w:rPr>
          <w:b/>
          <w:bCs/>
          <w:lang w:val="es-CO"/>
        </w:rPr>
        <w:fldChar w:fldCharType="end"/>
      </w:r>
      <w:r w:rsidRPr="00606E51">
        <w:rPr>
          <w:b/>
          <w:bCs/>
          <w:lang w:val="es-CO"/>
        </w:rPr>
        <w:t>: Códigos CIE-10 del evento 112 de SIVIGILA</w:t>
      </w:r>
      <w:bookmarkEnd w:id="48"/>
    </w:p>
    <w:tbl>
      <w:tblPr>
        <w:tblW w:w="4289" w:type="pct"/>
        <w:jc w:val="center"/>
        <w:tblLayout w:type="fixed"/>
        <w:tblCellMar>
          <w:left w:w="70" w:type="dxa"/>
          <w:right w:w="70" w:type="dxa"/>
        </w:tblCellMar>
        <w:tblLook w:val="04A0" w:firstRow="1" w:lastRow="0" w:firstColumn="1" w:lastColumn="0" w:noHBand="0" w:noVBand="1"/>
      </w:tblPr>
      <w:tblGrid>
        <w:gridCol w:w="1216"/>
        <w:gridCol w:w="6365"/>
      </w:tblGrid>
      <w:tr w:rsidR="00B63DA0" w:rsidRPr="00606E51" w14:paraId="50225BDD" w14:textId="77777777" w:rsidTr="00EC5CC6">
        <w:trPr>
          <w:trHeight w:val="27"/>
          <w:jc w:val="center"/>
        </w:trPr>
        <w:tc>
          <w:tcPr>
            <w:tcW w:w="802" w:type="pct"/>
            <w:tcBorders>
              <w:top w:val="single" w:sz="4" w:space="0" w:color="auto"/>
              <w:left w:val="nil"/>
              <w:bottom w:val="single" w:sz="4" w:space="0" w:color="auto"/>
              <w:right w:val="nil"/>
            </w:tcBorders>
            <w:shd w:val="clear" w:color="auto" w:fill="auto"/>
            <w:noWrap/>
            <w:vAlign w:val="bottom"/>
            <w:hideMark/>
          </w:tcPr>
          <w:p w14:paraId="1CAD4CED" w14:textId="77777777" w:rsidR="00B63DA0" w:rsidRPr="00606E51" w:rsidRDefault="00B63DA0" w:rsidP="00EC5CC6">
            <w:pPr>
              <w:jc w:val="both"/>
              <w:rPr>
                <w:b/>
                <w:bCs/>
                <w:sz w:val="18"/>
                <w:lang w:val="es-CO"/>
              </w:rPr>
            </w:pPr>
            <w:r w:rsidRPr="00606E51">
              <w:rPr>
                <w:b/>
                <w:bCs/>
                <w:sz w:val="18"/>
                <w:lang w:val="es-CO"/>
              </w:rPr>
              <w:t>Código CIE-10</w:t>
            </w:r>
          </w:p>
        </w:tc>
        <w:tc>
          <w:tcPr>
            <w:tcW w:w="4198" w:type="pct"/>
            <w:tcBorders>
              <w:top w:val="single" w:sz="4" w:space="0" w:color="auto"/>
              <w:left w:val="nil"/>
              <w:bottom w:val="single" w:sz="4" w:space="0" w:color="auto"/>
              <w:right w:val="nil"/>
            </w:tcBorders>
            <w:shd w:val="clear" w:color="auto" w:fill="auto"/>
            <w:noWrap/>
            <w:vAlign w:val="center"/>
            <w:hideMark/>
          </w:tcPr>
          <w:p w14:paraId="3F6CE88E" w14:textId="77777777" w:rsidR="00B63DA0" w:rsidRPr="00606E51" w:rsidRDefault="00B63DA0" w:rsidP="00EC5CC6">
            <w:pPr>
              <w:jc w:val="both"/>
              <w:rPr>
                <w:b/>
                <w:bCs/>
                <w:sz w:val="18"/>
                <w:lang w:val="es-CO"/>
              </w:rPr>
            </w:pPr>
            <w:r w:rsidRPr="00606E51">
              <w:rPr>
                <w:b/>
                <w:bCs/>
                <w:sz w:val="18"/>
                <w:lang w:val="es-CO"/>
              </w:rPr>
              <w:t>Descripción de la enfermedad</w:t>
            </w:r>
          </w:p>
        </w:tc>
      </w:tr>
      <w:tr w:rsidR="00B63DA0" w:rsidRPr="00606E51" w14:paraId="7518BE07"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512B03AD" w14:textId="77777777" w:rsidR="00B63DA0" w:rsidRPr="00606E51" w:rsidRDefault="00B63DA0" w:rsidP="00EC5CC6">
            <w:pPr>
              <w:jc w:val="both"/>
              <w:rPr>
                <w:b/>
                <w:bCs/>
                <w:sz w:val="18"/>
                <w:lang w:val="es-CO"/>
              </w:rPr>
            </w:pPr>
            <w:r w:rsidRPr="00606E51">
              <w:rPr>
                <w:sz w:val="18"/>
                <w:lang w:val="es-CO"/>
              </w:rPr>
              <w:t>D50</w:t>
            </w:r>
          </w:p>
        </w:tc>
        <w:tc>
          <w:tcPr>
            <w:tcW w:w="4198" w:type="pct"/>
            <w:tcBorders>
              <w:top w:val="nil"/>
              <w:left w:val="nil"/>
              <w:bottom w:val="nil"/>
              <w:right w:val="nil"/>
            </w:tcBorders>
            <w:shd w:val="clear" w:color="auto" w:fill="auto"/>
            <w:noWrap/>
            <w:vAlign w:val="center"/>
            <w:hideMark/>
          </w:tcPr>
          <w:p w14:paraId="7A38EE3E" w14:textId="77777777" w:rsidR="00B63DA0" w:rsidRPr="00606E51" w:rsidRDefault="00B63DA0" w:rsidP="00EC5CC6">
            <w:pPr>
              <w:jc w:val="both"/>
              <w:rPr>
                <w:sz w:val="18"/>
                <w:lang w:val="es-CO"/>
              </w:rPr>
            </w:pPr>
            <w:r w:rsidRPr="00606E51">
              <w:rPr>
                <w:sz w:val="18"/>
                <w:lang w:val="es-CO"/>
              </w:rPr>
              <w:t>Anemias por deficiencia de hierro</w:t>
            </w:r>
          </w:p>
        </w:tc>
      </w:tr>
      <w:tr w:rsidR="00B63DA0" w:rsidRPr="00606E51" w14:paraId="7F1651B1"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513EF5F9" w14:textId="77777777" w:rsidR="00B63DA0" w:rsidRPr="00606E51" w:rsidRDefault="00B63DA0" w:rsidP="00EC5CC6">
            <w:pPr>
              <w:jc w:val="both"/>
              <w:rPr>
                <w:b/>
                <w:bCs/>
                <w:sz w:val="18"/>
                <w:lang w:val="es-CO"/>
              </w:rPr>
            </w:pPr>
            <w:r w:rsidRPr="00606E51">
              <w:rPr>
                <w:sz w:val="18"/>
                <w:lang w:val="es-CO"/>
              </w:rPr>
              <w:t>D52</w:t>
            </w:r>
          </w:p>
        </w:tc>
        <w:tc>
          <w:tcPr>
            <w:tcW w:w="4198" w:type="pct"/>
            <w:tcBorders>
              <w:top w:val="nil"/>
              <w:left w:val="nil"/>
              <w:bottom w:val="nil"/>
              <w:right w:val="nil"/>
            </w:tcBorders>
            <w:shd w:val="clear" w:color="auto" w:fill="auto"/>
            <w:noWrap/>
            <w:vAlign w:val="center"/>
            <w:hideMark/>
          </w:tcPr>
          <w:p w14:paraId="776F2CCB" w14:textId="77777777" w:rsidR="00B63DA0" w:rsidRPr="00606E51" w:rsidRDefault="00B63DA0" w:rsidP="00EC5CC6">
            <w:pPr>
              <w:jc w:val="both"/>
              <w:rPr>
                <w:sz w:val="18"/>
                <w:lang w:val="es-CO"/>
              </w:rPr>
            </w:pPr>
            <w:r w:rsidRPr="00606E51">
              <w:rPr>
                <w:sz w:val="18"/>
                <w:lang w:val="es-CO"/>
              </w:rPr>
              <w:t>Anemia por deficiencia de folatos</w:t>
            </w:r>
          </w:p>
        </w:tc>
      </w:tr>
      <w:tr w:rsidR="00B63DA0" w:rsidRPr="00606E51" w14:paraId="6D22C2C6"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1648ED83" w14:textId="77777777" w:rsidR="00B63DA0" w:rsidRPr="00606E51" w:rsidRDefault="00B63DA0" w:rsidP="00EC5CC6">
            <w:pPr>
              <w:jc w:val="both"/>
              <w:rPr>
                <w:b/>
                <w:bCs/>
                <w:sz w:val="18"/>
                <w:lang w:val="es-CO"/>
              </w:rPr>
            </w:pPr>
            <w:r w:rsidRPr="00606E51">
              <w:rPr>
                <w:sz w:val="18"/>
                <w:lang w:val="es-CO"/>
              </w:rPr>
              <w:t>D53</w:t>
            </w:r>
          </w:p>
        </w:tc>
        <w:tc>
          <w:tcPr>
            <w:tcW w:w="4198" w:type="pct"/>
            <w:tcBorders>
              <w:top w:val="nil"/>
              <w:left w:val="nil"/>
              <w:bottom w:val="nil"/>
              <w:right w:val="nil"/>
            </w:tcBorders>
            <w:shd w:val="clear" w:color="auto" w:fill="auto"/>
            <w:noWrap/>
            <w:vAlign w:val="center"/>
            <w:hideMark/>
          </w:tcPr>
          <w:p w14:paraId="06CC77F6" w14:textId="77777777" w:rsidR="00B63DA0" w:rsidRPr="00606E51" w:rsidRDefault="00B63DA0" w:rsidP="00EC5CC6">
            <w:pPr>
              <w:jc w:val="both"/>
              <w:rPr>
                <w:sz w:val="18"/>
                <w:lang w:val="es-CO"/>
              </w:rPr>
            </w:pPr>
            <w:r w:rsidRPr="00606E51">
              <w:rPr>
                <w:sz w:val="18"/>
                <w:lang w:val="es-CO"/>
              </w:rPr>
              <w:t>Otras anemias nutricionales</w:t>
            </w:r>
          </w:p>
        </w:tc>
      </w:tr>
      <w:tr w:rsidR="00B63DA0" w:rsidRPr="00606E51" w14:paraId="3B14EE28"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69971EC9" w14:textId="77777777" w:rsidR="00B63DA0" w:rsidRPr="00606E51" w:rsidRDefault="00B63DA0" w:rsidP="00EC5CC6">
            <w:pPr>
              <w:jc w:val="both"/>
              <w:rPr>
                <w:b/>
                <w:bCs/>
                <w:sz w:val="18"/>
                <w:lang w:val="es-CO"/>
              </w:rPr>
            </w:pPr>
            <w:r w:rsidRPr="00606E51">
              <w:rPr>
                <w:sz w:val="18"/>
                <w:lang w:val="es-CO"/>
              </w:rPr>
              <w:t>E40</w:t>
            </w:r>
          </w:p>
        </w:tc>
        <w:tc>
          <w:tcPr>
            <w:tcW w:w="4198" w:type="pct"/>
            <w:tcBorders>
              <w:top w:val="nil"/>
              <w:left w:val="nil"/>
              <w:bottom w:val="nil"/>
              <w:right w:val="nil"/>
            </w:tcBorders>
            <w:shd w:val="clear" w:color="auto" w:fill="auto"/>
            <w:noWrap/>
            <w:vAlign w:val="center"/>
            <w:hideMark/>
          </w:tcPr>
          <w:p w14:paraId="658504C5" w14:textId="77777777" w:rsidR="00B63DA0" w:rsidRPr="00606E51" w:rsidRDefault="00B63DA0" w:rsidP="00EC5CC6">
            <w:pPr>
              <w:jc w:val="both"/>
              <w:rPr>
                <w:sz w:val="18"/>
                <w:lang w:val="es-CO"/>
              </w:rPr>
            </w:pPr>
            <w:r w:rsidRPr="00606E51">
              <w:rPr>
                <w:sz w:val="18"/>
                <w:lang w:val="es-CO"/>
              </w:rPr>
              <w:t>Kwashiorkor</w:t>
            </w:r>
          </w:p>
        </w:tc>
      </w:tr>
      <w:tr w:rsidR="00B63DA0" w:rsidRPr="00606E51" w14:paraId="7AE27504"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2D014049" w14:textId="77777777" w:rsidR="00B63DA0" w:rsidRPr="00606E51" w:rsidRDefault="00B63DA0" w:rsidP="00EC5CC6">
            <w:pPr>
              <w:jc w:val="both"/>
              <w:rPr>
                <w:b/>
                <w:bCs/>
                <w:sz w:val="18"/>
                <w:lang w:val="es-CO"/>
              </w:rPr>
            </w:pPr>
            <w:r w:rsidRPr="00606E51">
              <w:rPr>
                <w:sz w:val="18"/>
                <w:lang w:val="es-CO"/>
              </w:rPr>
              <w:t>E41</w:t>
            </w:r>
          </w:p>
        </w:tc>
        <w:tc>
          <w:tcPr>
            <w:tcW w:w="4198" w:type="pct"/>
            <w:tcBorders>
              <w:top w:val="nil"/>
              <w:left w:val="nil"/>
              <w:bottom w:val="nil"/>
              <w:right w:val="nil"/>
            </w:tcBorders>
            <w:shd w:val="clear" w:color="auto" w:fill="auto"/>
            <w:noWrap/>
            <w:vAlign w:val="center"/>
            <w:hideMark/>
          </w:tcPr>
          <w:p w14:paraId="240BFC80" w14:textId="77777777" w:rsidR="00B63DA0" w:rsidRPr="00606E51" w:rsidRDefault="00B63DA0" w:rsidP="00EC5CC6">
            <w:pPr>
              <w:jc w:val="both"/>
              <w:rPr>
                <w:sz w:val="18"/>
                <w:lang w:val="es-CO"/>
              </w:rPr>
            </w:pPr>
            <w:r w:rsidRPr="00606E51">
              <w:rPr>
                <w:sz w:val="18"/>
                <w:lang w:val="es-CO"/>
              </w:rPr>
              <w:t>Marasmo nutricional</w:t>
            </w:r>
          </w:p>
        </w:tc>
      </w:tr>
      <w:tr w:rsidR="00B63DA0" w:rsidRPr="00606E51" w14:paraId="3598248B"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5CB01556" w14:textId="77777777" w:rsidR="00B63DA0" w:rsidRPr="00606E51" w:rsidRDefault="00B63DA0" w:rsidP="00EC5CC6">
            <w:pPr>
              <w:jc w:val="both"/>
              <w:rPr>
                <w:b/>
                <w:bCs/>
                <w:sz w:val="18"/>
                <w:lang w:val="es-CO"/>
              </w:rPr>
            </w:pPr>
            <w:r w:rsidRPr="00606E51">
              <w:rPr>
                <w:sz w:val="18"/>
                <w:lang w:val="es-CO"/>
              </w:rPr>
              <w:t>E42</w:t>
            </w:r>
          </w:p>
        </w:tc>
        <w:tc>
          <w:tcPr>
            <w:tcW w:w="4198" w:type="pct"/>
            <w:tcBorders>
              <w:top w:val="nil"/>
              <w:left w:val="nil"/>
              <w:bottom w:val="nil"/>
              <w:right w:val="nil"/>
            </w:tcBorders>
            <w:shd w:val="clear" w:color="auto" w:fill="auto"/>
            <w:noWrap/>
            <w:vAlign w:val="center"/>
            <w:hideMark/>
          </w:tcPr>
          <w:p w14:paraId="6A2F59E2" w14:textId="77777777" w:rsidR="00B63DA0" w:rsidRPr="00606E51" w:rsidRDefault="00B63DA0" w:rsidP="00EC5CC6">
            <w:pPr>
              <w:jc w:val="both"/>
              <w:rPr>
                <w:sz w:val="18"/>
                <w:lang w:val="es-CO"/>
              </w:rPr>
            </w:pPr>
            <w:r w:rsidRPr="00606E51">
              <w:rPr>
                <w:sz w:val="18"/>
                <w:lang w:val="es-CO"/>
              </w:rPr>
              <w:t>Kwashiorkor marasmático</w:t>
            </w:r>
          </w:p>
        </w:tc>
      </w:tr>
      <w:tr w:rsidR="00B63DA0" w:rsidRPr="00606E51" w14:paraId="31CB742E" w14:textId="77777777" w:rsidTr="00EC5CC6">
        <w:trPr>
          <w:trHeight w:val="27"/>
          <w:jc w:val="center"/>
        </w:trPr>
        <w:tc>
          <w:tcPr>
            <w:tcW w:w="802" w:type="pct"/>
            <w:tcBorders>
              <w:top w:val="nil"/>
              <w:left w:val="nil"/>
              <w:bottom w:val="nil"/>
              <w:right w:val="nil"/>
            </w:tcBorders>
            <w:shd w:val="clear" w:color="auto" w:fill="auto"/>
            <w:noWrap/>
            <w:vAlign w:val="bottom"/>
            <w:hideMark/>
          </w:tcPr>
          <w:p w14:paraId="28BEC27D" w14:textId="77777777" w:rsidR="00B63DA0" w:rsidRPr="00606E51" w:rsidRDefault="00B63DA0" w:rsidP="00EC5CC6">
            <w:pPr>
              <w:jc w:val="both"/>
              <w:rPr>
                <w:b/>
                <w:bCs/>
                <w:sz w:val="18"/>
                <w:lang w:val="es-CO"/>
              </w:rPr>
            </w:pPr>
            <w:r w:rsidRPr="00606E51">
              <w:rPr>
                <w:sz w:val="18"/>
                <w:lang w:val="es-CO"/>
              </w:rPr>
              <w:t>E43</w:t>
            </w:r>
          </w:p>
        </w:tc>
        <w:tc>
          <w:tcPr>
            <w:tcW w:w="4198" w:type="pct"/>
            <w:tcBorders>
              <w:top w:val="nil"/>
              <w:left w:val="nil"/>
              <w:bottom w:val="nil"/>
              <w:right w:val="nil"/>
            </w:tcBorders>
            <w:shd w:val="clear" w:color="auto" w:fill="auto"/>
            <w:noWrap/>
            <w:vAlign w:val="center"/>
            <w:hideMark/>
          </w:tcPr>
          <w:p w14:paraId="3937EEA8" w14:textId="77777777" w:rsidR="00B63DA0" w:rsidRPr="00606E51" w:rsidRDefault="00B63DA0" w:rsidP="00EC5CC6">
            <w:pPr>
              <w:jc w:val="both"/>
              <w:rPr>
                <w:sz w:val="18"/>
                <w:lang w:val="es-CO"/>
              </w:rPr>
            </w:pPr>
            <w:r w:rsidRPr="00606E51">
              <w:rPr>
                <w:sz w:val="18"/>
                <w:lang w:val="es-CO"/>
              </w:rPr>
              <w:t>Desnutrición proteico calórica severa no especificada</w:t>
            </w:r>
          </w:p>
        </w:tc>
      </w:tr>
      <w:tr w:rsidR="00B63DA0" w:rsidRPr="00606E51" w14:paraId="29ED8C70" w14:textId="77777777" w:rsidTr="00EC5CC6">
        <w:trPr>
          <w:trHeight w:val="27"/>
          <w:jc w:val="center"/>
        </w:trPr>
        <w:tc>
          <w:tcPr>
            <w:tcW w:w="802" w:type="pct"/>
            <w:tcBorders>
              <w:top w:val="nil"/>
              <w:left w:val="nil"/>
              <w:bottom w:val="nil"/>
              <w:right w:val="nil"/>
            </w:tcBorders>
            <w:shd w:val="clear" w:color="auto" w:fill="auto"/>
            <w:noWrap/>
            <w:vAlign w:val="bottom"/>
          </w:tcPr>
          <w:p w14:paraId="6534D7AF" w14:textId="77777777" w:rsidR="00B63DA0" w:rsidRPr="00606E51" w:rsidRDefault="00B63DA0" w:rsidP="00EC5CC6">
            <w:pPr>
              <w:jc w:val="both"/>
              <w:rPr>
                <w:b/>
                <w:bCs/>
                <w:sz w:val="18"/>
                <w:lang w:val="es-CO"/>
              </w:rPr>
            </w:pPr>
            <w:r w:rsidRPr="00606E51">
              <w:rPr>
                <w:sz w:val="18"/>
                <w:lang w:val="es-CO"/>
              </w:rPr>
              <w:t>E46</w:t>
            </w:r>
          </w:p>
        </w:tc>
        <w:tc>
          <w:tcPr>
            <w:tcW w:w="4198" w:type="pct"/>
            <w:tcBorders>
              <w:top w:val="nil"/>
              <w:left w:val="nil"/>
              <w:bottom w:val="nil"/>
              <w:right w:val="nil"/>
            </w:tcBorders>
            <w:shd w:val="clear" w:color="auto" w:fill="auto"/>
            <w:noWrap/>
            <w:vAlign w:val="center"/>
          </w:tcPr>
          <w:p w14:paraId="37433FA6" w14:textId="77777777" w:rsidR="00B63DA0" w:rsidRPr="00606E51" w:rsidRDefault="00B63DA0" w:rsidP="00EC5CC6">
            <w:pPr>
              <w:jc w:val="both"/>
              <w:rPr>
                <w:sz w:val="18"/>
                <w:lang w:val="es-CO"/>
              </w:rPr>
            </w:pPr>
            <w:r w:rsidRPr="00606E51">
              <w:rPr>
                <w:sz w:val="18"/>
                <w:lang w:val="es-CO"/>
              </w:rPr>
              <w:t>Desnutrición proteico calórica no especificada</w:t>
            </w:r>
          </w:p>
        </w:tc>
      </w:tr>
      <w:tr w:rsidR="00B63DA0" w:rsidRPr="00606E51" w14:paraId="2C9B581B" w14:textId="77777777" w:rsidTr="00EC5CC6">
        <w:trPr>
          <w:trHeight w:val="27"/>
          <w:jc w:val="center"/>
        </w:trPr>
        <w:tc>
          <w:tcPr>
            <w:tcW w:w="802" w:type="pct"/>
            <w:tcBorders>
              <w:top w:val="nil"/>
              <w:left w:val="nil"/>
              <w:bottom w:val="nil"/>
              <w:right w:val="nil"/>
            </w:tcBorders>
            <w:shd w:val="clear" w:color="auto" w:fill="auto"/>
            <w:noWrap/>
            <w:vAlign w:val="bottom"/>
          </w:tcPr>
          <w:p w14:paraId="193162F5" w14:textId="77777777" w:rsidR="00B63DA0" w:rsidRPr="00606E51" w:rsidRDefault="00B63DA0" w:rsidP="00EC5CC6">
            <w:pPr>
              <w:jc w:val="both"/>
              <w:rPr>
                <w:b/>
                <w:bCs/>
                <w:sz w:val="18"/>
                <w:lang w:val="es-CO"/>
              </w:rPr>
            </w:pPr>
            <w:r w:rsidRPr="00606E51">
              <w:rPr>
                <w:sz w:val="18"/>
                <w:lang w:val="es-CO"/>
              </w:rPr>
              <w:t>E63</w:t>
            </w:r>
          </w:p>
        </w:tc>
        <w:tc>
          <w:tcPr>
            <w:tcW w:w="4198" w:type="pct"/>
            <w:tcBorders>
              <w:top w:val="nil"/>
              <w:left w:val="nil"/>
              <w:bottom w:val="nil"/>
              <w:right w:val="nil"/>
            </w:tcBorders>
            <w:shd w:val="clear" w:color="auto" w:fill="auto"/>
            <w:noWrap/>
            <w:vAlign w:val="center"/>
          </w:tcPr>
          <w:p w14:paraId="16AE024F" w14:textId="77777777" w:rsidR="00B63DA0" w:rsidRPr="00606E51" w:rsidRDefault="00B63DA0" w:rsidP="00EC5CC6">
            <w:pPr>
              <w:jc w:val="both"/>
              <w:rPr>
                <w:sz w:val="18"/>
                <w:lang w:val="es-CO"/>
              </w:rPr>
            </w:pPr>
            <w:r w:rsidRPr="00606E51">
              <w:rPr>
                <w:sz w:val="18"/>
                <w:lang w:val="es-CO"/>
              </w:rPr>
              <w:t>Otras deficiencias nutricionales</w:t>
            </w:r>
          </w:p>
        </w:tc>
      </w:tr>
      <w:tr w:rsidR="00B63DA0" w:rsidRPr="00606E51" w14:paraId="3CDB0E6A" w14:textId="77777777" w:rsidTr="00EC5CC6">
        <w:trPr>
          <w:trHeight w:val="27"/>
          <w:jc w:val="center"/>
        </w:trPr>
        <w:tc>
          <w:tcPr>
            <w:tcW w:w="802" w:type="pct"/>
            <w:tcBorders>
              <w:top w:val="nil"/>
              <w:left w:val="nil"/>
              <w:right w:val="nil"/>
            </w:tcBorders>
            <w:shd w:val="clear" w:color="auto" w:fill="auto"/>
            <w:noWrap/>
            <w:vAlign w:val="bottom"/>
          </w:tcPr>
          <w:p w14:paraId="5E8FE19E" w14:textId="77777777" w:rsidR="00B63DA0" w:rsidRPr="00606E51" w:rsidRDefault="00B63DA0" w:rsidP="00EC5CC6">
            <w:pPr>
              <w:jc w:val="both"/>
              <w:rPr>
                <w:b/>
                <w:bCs/>
                <w:sz w:val="18"/>
                <w:lang w:val="es-CO"/>
              </w:rPr>
            </w:pPr>
            <w:r w:rsidRPr="00606E51">
              <w:rPr>
                <w:sz w:val="18"/>
                <w:lang w:val="es-CO"/>
              </w:rPr>
              <w:t>E64.0 a 9</w:t>
            </w:r>
          </w:p>
        </w:tc>
        <w:tc>
          <w:tcPr>
            <w:tcW w:w="4198" w:type="pct"/>
            <w:tcBorders>
              <w:top w:val="nil"/>
              <w:left w:val="nil"/>
              <w:right w:val="nil"/>
            </w:tcBorders>
            <w:shd w:val="clear" w:color="auto" w:fill="auto"/>
            <w:noWrap/>
            <w:vAlign w:val="center"/>
          </w:tcPr>
          <w:p w14:paraId="50CF541F" w14:textId="77777777" w:rsidR="00B63DA0" w:rsidRPr="00606E51" w:rsidRDefault="00B63DA0" w:rsidP="00EC5CC6">
            <w:pPr>
              <w:jc w:val="both"/>
              <w:rPr>
                <w:sz w:val="18"/>
                <w:lang w:val="es-CO"/>
              </w:rPr>
            </w:pPr>
            <w:r w:rsidRPr="00606E51">
              <w:rPr>
                <w:sz w:val="18"/>
                <w:lang w:val="es-CO"/>
              </w:rPr>
              <w:t>Secuelas de la desnutrición y otras deficiencias nutricionales</w:t>
            </w:r>
          </w:p>
        </w:tc>
      </w:tr>
      <w:tr w:rsidR="00B63DA0" w:rsidRPr="00606E51" w14:paraId="5951E9B9" w14:textId="77777777" w:rsidTr="00EC5CC6">
        <w:trPr>
          <w:trHeight w:val="27"/>
          <w:jc w:val="center"/>
        </w:trPr>
        <w:tc>
          <w:tcPr>
            <w:tcW w:w="802" w:type="pct"/>
            <w:tcBorders>
              <w:top w:val="nil"/>
              <w:left w:val="nil"/>
              <w:bottom w:val="single" w:sz="4" w:space="0" w:color="auto"/>
              <w:right w:val="nil"/>
            </w:tcBorders>
            <w:shd w:val="clear" w:color="auto" w:fill="auto"/>
            <w:noWrap/>
            <w:vAlign w:val="bottom"/>
          </w:tcPr>
          <w:p w14:paraId="3AC4DA97" w14:textId="77777777" w:rsidR="00B63DA0" w:rsidRPr="00606E51" w:rsidRDefault="00B63DA0" w:rsidP="00EC5CC6">
            <w:pPr>
              <w:jc w:val="both"/>
              <w:rPr>
                <w:b/>
                <w:bCs/>
                <w:sz w:val="18"/>
                <w:lang w:val="es-CO"/>
              </w:rPr>
            </w:pPr>
            <w:r w:rsidRPr="00606E51">
              <w:rPr>
                <w:sz w:val="18"/>
                <w:lang w:val="es-CO"/>
              </w:rPr>
              <w:t>P07</w:t>
            </w:r>
          </w:p>
        </w:tc>
        <w:tc>
          <w:tcPr>
            <w:tcW w:w="4198" w:type="pct"/>
            <w:tcBorders>
              <w:top w:val="nil"/>
              <w:left w:val="nil"/>
              <w:bottom w:val="single" w:sz="4" w:space="0" w:color="auto"/>
              <w:right w:val="nil"/>
            </w:tcBorders>
            <w:shd w:val="clear" w:color="auto" w:fill="auto"/>
            <w:noWrap/>
            <w:vAlign w:val="center"/>
          </w:tcPr>
          <w:p w14:paraId="2D02A3C8" w14:textId="77777777" w:rsidR="00B63DA0" w:rsidRPr="00606E51" w:rsidRDefault="00B63DA0" w:rsidP="00EC5CC6">
            <w:pPr>
              <w:jc w:val="both"/>
              <w:rPr>
                <w:sz w:val="18"/>
                <w:lang w:val="es-CO"/>
              </w:rPr>
            </w:pPr>
            <w:r w:rsidRPr="00606E51">
              <w:rPr>
                <w:sz w:val="18"/>
                <w:lang w:val="es-CO"/>
              </w:rPr>
              <w:t>Trastornos relacionados con la duración corta de la gestación y con bajo peso al nacer</w:t>
            </w:r>
          </w:p>
        </w:tc>
      </w:tr>
    </w:tbl>
    <w:p w14:paraId="368055A5" w14:textId="77777777" w:rsidR="00B63DA0" w:rsidRPr="00606E51" w:rsidRDefault="00B63DA0" w:rsidP="00B63DA0">
      <w:pPr>
        <w:jc w:val="center"/>
        <w:rPr>
          <w:lang w:val="es-CO"/>
        </w:rPr>
      </w:pPr>
      <w:r w:rsidRPr="00606E51">
        <w:rPr>
          <w:sz w:val="20"/>
          <w:lang w:val="es-CO"/>
        </w:rPr>
        <w:t>Fuente: INS</w:t>
      </w:r>
    </w:p>
    <w:p w14:paraId="746262F2" w14:textId="77777777" w:rsidR="00B63DA0" w:rsidRPr="00606E51" w:rsidRDefault="00B63DA0" w:rsidP="00B63DA0">
      <w:pPr>
        <w:jc w:val="both"/>
        <w:rPr>
          <w:lang w:val="es-CO"/>
        </w:rPr>
      </w:pPr>
    </w:p>
    <w:p w14:paraId="7D7ACD1B" w14:textId="77777777" w:rsidR="00B63DA0" w:rsidRPr="00606E51" w:rsidRDefault="00177606" w:rsidP="00B63DA0">
      <w:pPr>
        <w:jc w:val="both"/>
        <w:rPr>
          <w:lang w:val="es-CO"/>
        </w:rPr>
      </w:pPr>
      <w:r>
        <w:rPr>
          <w:lang w:val="es-CO"/>
        </w:rPr>
        <w:t>D</w:t>
      </w:r>
      <w:r w:rsidR="00B63DA0" w:rsidRPr="00606E51">
        <w:rPr>
          <w:lang w:val="es-CO"/>
        </w:rPr>
        <w:t>e las 74 defunciones, 42 ocurrieron zonas rurales (57%). Lo anterior es relevante, si se considera que la estrategia de equipos extramurales está enfocada principalmente a estas poblaciones.</w:t>
      </w:r>
    </w:p>
    <w:p w14:paraId="6B1B73ED" w14:textId="77777777" w:rsidR="00B63DA0" w:rsidRPr="00606E51" w:rsidRDefault="00B63DA0" w:rsidP="00B63DA0">
      <w:pPr>
        <w:jc w:val="both"/>
        <w:rPr>
          <w:lang w:val="es-CO"/>
        </w:rPr>
      </w:pPr>
    </w:p>
    <w:p w14:paraId="173B3353" w14:textId="77777777" w:rsidR="00B63DA0" w:rsidRPr="00606E51" w:rsidRDefault="00B63DA0" w:rsidP="00B63DA0">
      <w:pPr>
        <w:jc w:val="both"/>
        <w:rPr>
          <w:lang w:val="es-CO"/>
        </w:rPr>
      </w:pPr>
      <w:r w:rsidRPr="00606E51">
        <w:rPr>
          <w:lang w:val="es-CO"/>
        </w:rPr>
        <w:t xml:space="preserve">Por otra parte, del análisis del capítulo de contexto el </w:t>
      </w:r>
      <w:r w:rsidRPr="00606E51">
        <w:rPr>
          <w:lang w:val="es-CO"/>
        </w:rPr>
        <w:fldChar w:fldCharType="begin"/>
      </w:r>
      <w:r w:rsidRPr="00606E51">
        <w:rPr>
          <w:lang w:val="es-CO"/>
        </w:rPr>
        <w:instrText xml:space="preserve"> REF _Ref483605182 \h  \* MERGEFORMAT </w:instrText>
      </w:r>
      <w:r w:rsidRPr="00606E51">
        <w:rPr>
          <w:lang w:val="es-CO"/>
        </w:rPr>
      </w:r>
      <w:r w:rsidRPr="00606E51">
        <w:rPr>
          <w:lang w:val="es-CO"/>
        </w:rPr>
        <w:fldChar w:fldCharType="separate"/>
      </w:r>
      <w:r w:rsidRPr="00606E51">
        <w:rPr>
          <w:lang w:val="es-CO"/>
        </w:rPr>
        <w:t>Cuadro 1</w:t>
      </w:r>
      <w:r w:rsidRPr="00606E51">
        <w:rPr>
          <w:lang w:val="es-CO"/>
        </w:rPr>
        <w:noBreakHyphen/>
        <w:t>2</w:t>
      </w:r>
      <w:r w:rsidRPr="00606E51">
        <w:rPr>
          <w:lang w:val="es-CO"/>
        </w:rPr>
        <w:fldChar w:fldCharType="end"/>
      </w:r>
      <w:r w:rsidRPr="00606E51">
        <w:rPr>
          <w:lang w:val="es-CO"/>
        </w:rPr>
        <w:t xml:space="preserve"> muestra las características de la información del evento 113 de SIVIGILA (desnutrición aguda moderada y severa en menores de cinco años). Según el protocolo de vigilancia en salud pública del INS, “se define un caso de desnutrición aguda al menor de cinco años que en su indicador peso para la talla tiene un puntaje Z por debajo de -2DE”. Al igual que para el evento 112, la mayor proporción de casos se encuentran en zonas rurales e incluso mayor en los casos de desnutrición, ya que corresponde al 70% de los 1.904 casos reportados en los municipios de Maicao, Manaure, Riohacha y Uribia. Por otro lado, se observa que un tercio de los casos fueron hospitalizados.</w:t>
      </w:r>
    </w:p>
    <w:p w14:paraId="552CC41A" w14:textId="77777777" w:rsidR="00B63DA0" w:rsidRPr="00606E51" w:rsidRDefault="00B63DA0" w:rsidP="00B63DA0">
      <w:pPr>
        <w:jc w:val="both"/>
        <w:rPr>
          <w:lang w:val="es-CO"/>
        </w:rPr>
      </w:pPr>
    </w:p>
    <w:p w14:paraId="316C0831" w14:textId="77777777" w:rsidR="00893891" w:rsidRPr="00893891" w:rsidRDefault="00B63DA0" w:rsidP="00893891">
      <w:pPr>
        <w:jc w:val="both"/>
        <w:rPr>
          <w:lang w:val="es-CO"/>
        </w:rPr>
      </w:pPr>
      <w:r w:rsidRPr="00606E51">
        <w:rPr>
          <w:lang w:val="es-CO"/>
        </w:rPr>
        <w:t xml:space="preserve">El </w:t>
      </w:r>
      <w:r w:rsidRPr="00606E51">
        <w:rPr>
          <w:lang w:val="es-CO"/>
        </w:rPr>
        <w:fldChar w:fldCharType="begin"/>
      </w:r>
      <w:r w:rsidRPr="00606E51">
        <w:rPr>
          <w:lang w:val="es-CO"/>
        </w:rPr>
        <w:instrText xml:space="preserve"> REF  _Ref477945659 \* Lower \h  \* MERGEFORMAT </w:instrText>
      </w:r>
      <w:r w:rsidRPr="00606E51">
        <w:rPr>
          <w:lang w:val="es-CO"/>
        </w:rPr>
      </w:r>
      <w:r w:rsidRPr="00606E51">
        <w:rPr>
          <w:lang w:val="es-CO"/>
        </w:rPr>
        <w:fldChar w:fldCharType="separate"/>
      </w:r>
      <w:r w:rsidRPr="00606E51">
        <w:rPr>
          <w:lang w:val="es-CO"/>
        </w:rPr>
        <w:t>cuadro 4</w:t>
      </w:r>
      <w:r w:rsidRPr="00606E51">
        <w:rPr>
          <w:lang w:val="es-CO"/>
        </w:rPr>
        <w:noBreakHyphen/>
        <w:t>7</w:t>
      </w:r>
      <w:r w:rsidRPr="00606E51">
        <w:rPr>
          <w:lang w:val="es-CO"/>
        </w:rPr>
        <w:fldChar w:fldCharType="end"/>
      </w:r>
      <w:r w:rsidRPr="00606E51">
        <w:rPr>
          <w:lang w:val="es-CO"/>
        </w:rPr>
        <w:t xml:space="preserve"> muestra las caracterizas de la información recolectada y compilada por los equipos extramurales y MSPS y depurada por el equipo de UNICEF</w:t>
      </w:r>
      <w:r w:rsidRPr="00606E51">
        <w:rPr>
          <w:vertAlign w:val="superscript"/>
          <w:lang w:val="es-CO"/>
        </w:rPr>
        <w:footnoteReference w:id="44"/>
      </w:r>
      <w:r w:rsidRPr="00606E51">
        <w:rPr>
          <w:lang w:val="es-CO"/>
        </w:rPr>
        <w:t xml:space="preserve">, sobre los niños atendidos por dichos equipos durante el año 2016. Esta información es la principal fuente para la estimación del efecto de la implementación del Lineamiento y contiene el registro individual de cada niño, de tal manera que es posible identificar el número de visitas que recibió, su estado en cada visita y el manejo que recibió </w:t>
      </w:r>
      <w:r w:rsidRPr="00606E51">
        <w:rPr>
          <w:lang w:val="es-CO"/>
        </w:rPr>
        <w:lastRenderedPageBreak/>
        <w:t>por parte de la IPS de baja complejidad</w:t>
      </w:r>
      <w:r w:rsidRPr="00606E51">
        <w:rPr>
          <w:vertAlign w:val="superscript"/>
          <w:lang w:val="es-CO"/>
        </w:rPr>
        <w:footnoteReference w:id="45"/>
      </w:r>
      <w:r w:rsidRPr="00606E51">
        <w:rPr>
          <w:lang w:val="es-CO"/>
        </w:rPr>
        <w:t xml:space="preserve">. </w:t>
      </w:r>
      <w:r w:rsidR="00893891" w:rsidRPr="00893891">
        <w:rPr>
          <w:lang w:val="es-CO"/>
        </w:rPr>
        <w:t>Cada niño o niña fue clasificado según los siguientes criterios:</w:t>
      </w:r>
    </w:p>
    <w:p w14:paraId="1883051D" w14:textId="77777777" w:rsidR="00893891" w:rsidRPr="00893891" w:rsidRDefault="00893891" w:rsidP="00893891">
      <w:pPr>
        <w:jc w:val="both"/>
        <w:rPr>
          <w:lang w:val="es-CO"/>
        </w:rPr>
      </w:pPr>
    </w:p>
    <w:p w14:paraId="7567DDAF" w14:textId="77777777" w:rsidR="00893891" w:rsidRPr="00893891" w:rsidRDefault="00893891" w:rsidP="00BB1D7B">
      <w:pPr>
        <w:pStyle w:val="ListParagraph"/>
        <w:numPr>
          <w:ilvl w:val="0"/>
          <w:numId w:val="28"/>
        </w:numPr>
        <w:jc w:val="both"/>
        <w:rPr>
          <w:lang w:val="es-CO"/>
        </w:rPr>
      </w:pPr>
      <w:r w:rsidRPr="00893891">
        <w:rPr>
          <w:lang w:val="es-CO"/>
        </w:rPr>
        <w:t>En seguimiento: niño o niñ</w:t>
      </w:r>
      <w:r w:rsidR="00496D14">
        <w:rPr>
          <w:lang w:val="es-CO"/>
        </w:rPr>
        <w:t xml:space="preserve">a que recibió más de una visita, </w:t>
      </w:r>
      <w:r w:rsidR="00496D14" w:rsidRPr="00606E51">
        <w:rPr>
          <w:lang w:val="es-CO"/>
        </w:rPr>
        <w:t>de tal manera que toma el valor de 1 (Sí) si recibió más de una visita y 0 (No) si recibió solamente una visita</w:t>
      </w:r>
      <w:r w:rsidR="00496D14">
        <w:rPr>
          <w:lang w:val="es-CO"/>
        </w:rPr>
        <w:t>.</w:t>
      </w:r>
    </w:p>
    <w:p w14:paraId="2CB06C99" w14:textId="77777777" w:rsidR="00893891" w:rsidRPr="00893891" w:rsidRDefault="00893891" w:rsidP="00BB1D7B">
      <w:pPr>
        <w:pStyle w:val="ListParagraph"/>
        <w:numPr>
          <w:ilvl w:val="0"/>
          <w:numId w:val="28"/>
        </w:numPr>
        <w:jc w:val="both"/>
        <w:rPr>
          <w:lang w:val="es-CO"/>
        </w:rPr>
      </w:pPr>
      <w:r w:rsidRPr="00893891">
        <w:rPr>
          <w:lang w:val="es-CO"/>
        </w:rPr>
        <w:t>En Tratamiento: niños y niñas diagnosticados con desnutrición aguda que recibieron más de una visita.</w:t>
      </w:r>
    </w:p>
    <w:p w14:paraId="07430453" w14:textId="77777777" w:rsidR="00893891" w:rsidRPr="00893891" w:rsidRDefault="00893891" w:rsidP="00BB1D7B">
      <w:pPr>
        <w:pStyle w:val="ListParagraph"/>
        <w:numPr>
          <w:ilvl w:val="0"/>
          <w:numId w:val="28"/>
        </w:numPr>
        <w:jc w:val="both"/>
        <w:rPr>
          <w:lang w:val="es-CO"/>
        </w:rPr>
      </w:pPr>
      <w:r w:rsidRPr="00893891">
        <w:rPr>
          <w:lang w:val="es-CO"/>
        </w:rPr>
        <w:t xml:space="preserve">En recuperación: niño o niña que en alguna visita se encontraba con desnutrición aguda y luego se encontraba en riesgo o con un puntaje Z Peso para laTalla adecuado. </w:t>
      </w:r>
    </w:p>
    <w:p w14:paraId="3109965B" w14:textId="77777777" w:rsidR="00893891" w:rsidRPr="00893891" w:rsidRDefault="00893891" w:rsidP="00BB1D7B">
      <w:pPr>
        <w:pStyle w:val="ListParagraph"/>
        <w:numPr>
          <w:ilvl w:val="0"/>
          <w:numId w:val="28"/>
        </w:numPr>
        <w:jc w:val="both"/>
        <w:rPr>
          <w:lang w:val="es-CO"/>
        </w:rPr>
      </w:pPr>
      <w:r w:rsidRPr="00893891">
        <w:rPr>
          <w:lang w:val="es-CO"/>
        </w:rPr>
        <w:t>En mejora: niño o niña cuyo puntaje Z del indicador Peso para la Talla aumentó entre visitas, sin importar si seguía, o no, con desnutrición aguda.</w:t>
      </w:r>
    </w:p>
    <w:p w14:paraId="57D9EF5C" w14:textId="77777777" w:rsidR="00B63DA0" w:rsidRPr="00606E51" w:rsidRDefault="00B63DA0" w:rsidP="00B63DA0">
      <w:pPr>
        <w:jc w:val="both"/>
        <w:rPr>
          <w:lang w:val="es-CO"/>
        </w:rPr>
      </w:pPr>
    </w:p>
    <w:p w14:paraId="5EC06F24" w14:textId="77777777" w:rsidR="00B63DA0" w:rsidRPr="00606E51" w:rsidRDefault="00B63DA0" w:rsidP="00B63DA0">
      <w:pPr>
        <w:jc w:val="center"/>
        <w:rPr>
          <w:lang w:val="es-CO"/>
        </w:rPr>
      </w:pPr>
      <w:bookmarkStart w:id="50" w:name="_Ref477945659"/>
      <w:bookmarkStart w:id="51" w:name="_Ref486348157"/>
      <w:bookmarkStart w:id="52" w:name="_Toc490045705"/>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VII</w:t>
      </w:r>
      <w:r w:rsidR="00F1370E" w:rsidRPr="00606E51">
        <w:rPr>
          <w:b/>
          <w:bCs/>
          <w:lang w:val="es-CO"/>
        </w:rPr>
        <w:fldChar w:fldCharType="end"/>
      </w:r>
      <w:bookmarkEnd w:id="50"/>
      <w:r w:rsidRPr="00606E51">
        <w:rPr>
          <w:b/>
          <w:bCs/>
          <w:lang w:val="es-CO"/>
        </w:rPr>
        <w:t>: Niños y niñas tratados por equipos extramurales, por municipio. 2016</w:t>
      </w:r>
      <w:bookmarkEnd w:id="51"/>
      <w:bookmarkEnd w:id="52"/>
    </w:p>
    <w:tbl>
      <w:tblPr>
        <w:tblW w:w="5000" w:type="pct"/>
        <w:tblCellMar>
          <w:left w:w="70" w:type="dxa"/>
          <w:right w:w="70" w:type="dxa"/>
        </w:tblCellMar>
        <w:tblLook w:val="04A0" w:firstRow="1" w:lastRow="0" w:firstColumn="1" w:lastColumn="0" w:noHBand="0" w:noVBand="1"/>
      </w:tblPr>
      <w:tblGrid>
        <w:gridCol w:w="1692"/>
        <w:gridCol w:w="486"/>
        <w:gridCol w:w="963"/>
        <w:gridCol w:w="589"/>
        <w:gridCol w:w="795"/>
        <w:gridCol w:w="486"/>
        <w:gridCol w:w="946"/>
        <w:gridCol w:w="486"/>
        <w:gridCol w:w="947"/>
        <w:gridCol w:w="486"/>
        <w:gridCol w:w="962"/>
      </w:tblGrid>
      <w:tr w:rsidR="00B63DA0" w:rsidRPr="00606E51" w14:paraId="777A1C4C" w14:textId="77777777" w:rsidTr="00EC5CC6">
        <w:trPr>
          <w:trHeight w:val="20"/>
        </w:trPr>
        <w:tc>
          <w:tcPr>
            <w:tcW w:w="957" w:type="pct"/>
            <w:tcBorders>
              <w:top w:val="nil"/>
              <w:left w:val="nil"/>
              <w:bottom w:val="nil"/>
              <w:right w:val="nil"/>
            </w:tcBorders>
            <w:shd w:val="clear" w:color="auto" w:fill="auto"/>
            <w:noWrap/>
            <w:vAlign w:val="bottom"/>
            <w:hideMark/>
          </w:tcPr>
          <w:p w14:paraId="1774A64D"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820" w:type="pct"/>
            <w:gridSpan w:val="2"/>
            <w:tcBorders>
              <w:top w:val="single" w:sz="4" w:space="0" w:color="auto"/>
              <w:left w:val="nil"/>
              <w:bottom w:val="nil"/>
              <w:right w:val="nil"/>
            </w:tcBorders>
            <w:shd w:val="clear" w:color="auto" w:fill="auto"/>
            <w:noWrap/>
            <w:vAlign w:val="center"/>
            <w:hideMark/>
          </w:tcPr>
          <w:p w14:paraId="711C92DD"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Maicao      </w:t>
            </w:r>
          </w:p>
        </w:tc>
        <w:tc>
          <w:tcPr>
            <w:tcW w:w="782" w:type="pct"/>
            <w:gridSpan w:val="2"/>
            <w:tcBorders>
              <w:top w:val="single" w:sz="4" w:space="0" w:color="auto"/>
              <w:left w:val="nil"/>
              <w:bottom w:val="nil"/>
              <w:right w:val="nil"/>
            </w:tcBorders>
            <w:shd w:val="clear" w:color="auto" w:fill="auto"/>
            <w:noWrap/>
            <w:vAlign w:val="center"/>
            <w:hideMark/>
          </w:tcPr>
          <w:p w14:paraId="703B1FA5"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Manaure     </w:t>
            </w:r>
          </w:p>
        </w:tc>
        <w:tc>
          <w:tcPr>
            <w:tcW w:w="810" w:type="pct"/>
            <w:gridSpan w:val="2"/>
            <w:tcBorders>
              <w:top w:val="single" w:sz="4" w:space="0" w:color="auto"/>
              <w:left w:val="nil"/>
              <w:bottom w:val="nil"/>
              <w:right w:val="nil"/>
            </w:tcBorders>
            <w:shd w:val="clear" w:color="auto" w:fill="auto"/>
            <w:noWrap/>
            <w:vAlign w:val="center"/>
            <w:hideMark/>
          </w:tcPr>
          <w:p w14:paraId="2739E46B"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Riohacha    </w:t>
            </w:r>
          </w:p>
        </w:tc>
        <w:tc>
          <w:tcPr>
            <w:tcW w:w="811" w:type="pct"/>
            <w:gridSpan w:val="2"/>
            <w:tcBorders>
              <w:top w:val="single" w:sz="4" w:space="0" w:color="auto"/>
              <w:left w:val="nil"/>
              <w:bottom w:val="nil"/>
              <w:right w:val="nil"/>
            </w:tcBorders>
            <w:shd w:val="clear" w:color="auto" w:fill="auto"/>
            <w:noWrap/>
            <w:vAlign w:val="center"/>
            <w:hideMark/>
          </w:tcPr>
          <w:p w14:paraId="72FCB0DD"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Uribia      </w:t>
            </w:r>
          </w:p>
        </w:tc>
        <w:tc>
          <w:tcPr>
            <w:tcW w:w="820" w:type="pct"/>
            <w:gridSpan w:val="2"/>
            <w:tcBorders>
              <w:top w:val="single" w:sz="4" w:space="0" w:color="auto"/>
              <w:left w:val="single" w:sz="4" w:space="0" w:color="auto"/>
              <w:bottom w:val="nil"/>
              <w:right w:val="nil"/>
            </w:tcBorders>
            <w:shd w:val="clear" w:color="auto" w:fill="auto"/>
            <w:noWrap/>
            <w:vAlign w:val="center"/>
            <w:hideMark/>
          </w:tcPr>
          <w:p w14:paraId="6319FFE0"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Total</w:t>
            </w:r>
          </w:p>
        </w:tc>
      </w:tr>
      <w:tr w:rsidR="00B63DA0" w:rsidRPr="00606E51" w14:paraId="0367D147" w14:textId="77777777" w:rsidTr="00EC5CC6">
        <w:trPr>
          <w:trHeight w:val="20"/>
        </w:trPr>
        <w:tc>
          <w:tcPr>
            <w:tcW w:w="957" w:type="pct"/>
            <w:tcBorders>
              <w:top w:val="nil"/>
              <w:left w:val="nil"/>
              <w:bottom w:val="nil"/>
              <w:right w:val="nil"/>
            </w:tcBorders>
            <w:shd w:val="clear" w:color="auto" w:fill="auto"/>
            <w:noWrap/>
            <w:vAlign w:val="bottom"/>
            <w:hideMark/>
          </w:tcPr>
          <w:p w14:paraId="229C8D57"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                     </w:t>
            </w:r>
          </w:p>
        </w:tc>
        <w:tc>
          <w:tcPr>
            <w:tcW w:w="275" w:type="pct"/>
            <w:tcBorders>
              <w:top w:val="nil"/>
              <w:left w:val="nil"/>
              <w:bottom w:val="single" w:sz="4" w:space="0" w:color="auto"/>
              <w:right w:val="nil"/>
            </w:tcBorders>
            <w:shd w:val="clear" w:color="auto" w:fill="auto"/>
            <w:noWrap/>
            <w:vAlign w:val="center"/>
            <w:hideMark/>
          </w:tcPr>
          <w:p w14:paraId="6AE714A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545" w:type="pct"/>
            <w:tcBorders>
              <w:top w:val="nil"/>
              <w:left w:val="nil"/>
              <w:bottom w:val="single" w:sz="4" w:space="0" w:color="auto"/>
              <w:right w:val="nil"/>
            </w:tcBorders>
            <w:shd w:val="clear" w:color="auto" w:fill="auto"/>
            <w:noWrap/>
            <w:vAlign w:val="center"/>
            <w:hideMark/>
          </w:tcPr>
          <w:p w14:paraId="3E10208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(N=2.346)</w:t>
            </w:r>
          </w:p>
        </w:tc>
        <w:tc>
          <w:tcPr>
            <w:tcW w:w="333" w:type="pct"/>
            <w:tcBorders>
              <w:top w:val="nil"/>
              <w:left w:val="nil"/>
              <w:bottom w:val="single" w:sz="4" w:space="0" w:color="auto"/>
              <w:right w:val="nil"/>
            </w:tcBorders>
            <w:shd w:val="clear" w:color="auto" w:fill="auto"/>
            <w:noWrap/>
            <w:vAlign w:val="center"/>
            <w:hideMark/>
          </w:tcPr>
          <w:p w14:paraId="0BBD07E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450" w:type="pct"/>
            <w:tcBorders>
              <w:top w:val="nil"/>
              <w:left w:val="nil"/>
              <w:bottom w:val="single" w:sz="4" w:space="0" w:color="auto"/>
              <w:right w:val="nil"/>
            </w:tcBorders>
            <w:shd w:val="clear" w:color="auto" w:fill="auto"/>
            <w:noWrap/>
            <w:vAlign w:val="center"/>
            <w:hideMark/>
          </w:tcPr>
          <w:p w14:paraId="6DE5047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(N=945)</w:t>
            </w:r>
          </w:p>
        </w:tc>
        <w:tc>
          <w:tcPr>
            <w:tcW w:w="275" w:type="pct"/>
            <w:tcBorders>
              <w:top w:val="nil"/>
              <w:left w:val="nil"/>
              <w:bottom w:val="single" w:sz="4" w:space="0" w:color="auto"/>
              <w:right w:val="nil"/>
            </w:tcBorders>
            <w:shd w:val="clear" w:color="auto" w:fill="auto"/>
            <w:noWrap/>
            <w:vAlign w:val="center"/>
            <w:hideMark/>
          </w:tcPr>
          <w:p w14:paraId="05E9BB2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535" w:type="pct"/>
            <w:tcBorders>
              <w:top w:val="nil"/>
              <w:left w:val="nil"/>
              <w:bottom w:val="single" w:sz="4" w:space="0" w:color="auto"/>
              <w:right w:val="nil"/>
            </w:tcBorders>
            <w:shd w:val="clear" w:color="auto" w:fill="auto"/>
            <w:noWrap/>
            <w:vAlign w:val="center"/>
            <w:hideMark/>
          </w:tcPr>
          <w:p w14:paraId="72BE74C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(N=2.567)</w:t>
            </w:r>
          </w:p>
        </w:tc>
        <w:tc>
          <w:tcPr>
            <w:tcW w:w="275" w:type="pct"/>
            <w:tcBorders>
              <w:top w:val="nil"/>
              <w:left w:val="nil"/>
              <w:bottom w:val="single" w:sz="4" w:space="0" w:color="auto"/>
              <w:right w:val="nil"/>
            </w:tcBorders>
            <w:shd w:val="clear" w:color="auto" w:fill="auto"/>
            <w:noWrap/>
            <w:vAlign w:val="center"/>
            <w:hideMark/>
          </w:tcPr>
          <w:p w14:paraId="0F91EDE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536" w:type="pct"/>
            <w:tcBorders>
              <w:top w:val="nil"/>
              <w:left w:val="nil"/>
              <w:bottom w:val="single" w:sz="4" w:space="0" w:color="auto"/>
              <w:right w:val="nil"/>
            </w:tcBorders>
            <w:shd w:val="clear" w:color="auto" w:fill="auto"/>
            <w:noWrap/>
            <w:vAlign w:val="center"/>
            <w:hideMark/>
          </w:tcPr>
          <w:p w14:paraId="6C61607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(N=4.034)</w:t>
            </w:r>
          </w:p>
        </w:tc>
        <w:tc>
          <w:tcPr>
            <w:tcW w:w="275" w:type="pct"/>
            <w:tcBorders>
              <w:top w:val="nil"/>
              <w:left w:val="single" w:sz="4" w:space="0" w:color="auto"/>
              <w:bottom w:val="single" w:sz="4" w:space="0" w:color="auto"/>
              <w:right w:val="nil"/>
            </w:tcBorders>
            <w:shd w:val="clear" w:color="auto" w:fill="auto"/>
            <w:noWrap/>
            <w:vAlign w:val="center"/>
            <w:hideMark/>
          </w:tcPr>
          <w:p w14:paraId="6EBE4DA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545" w:type="pct"/>
            <w:tcBorders>
              <w:top w:val="nil"/>
              <w:left w:val="nil"/>
              <w:bottom w:val="single" w:sz="4" w:space="0" w:color="auto"/>
              <w:right w:val="nil"/>
            </w:tcBorders>
            <w:shd w:val="clear" w:color="auto" w:fill="auto"/>
            <w:noWrap/>
            <w:vAlign w:val="center"/>
            <w:hideMark/>
          </w:tcPr>
          <w:p w14:paraId="15B6084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(N=9.892)</w:t>
            </w:r>
          </w:p>
        </w:tc>
      </w:tr>
      <w:tr w:rsidR="00B63DA0" w:rsidRPr="00606E51" w14:paraId="5AC910C1" w14:textId="77777777" w:rsidTr="00EC5CC6">
        <w:trPr>
          <w:trHeight w:val="20"/>
        </w:trPr>
        <w:tc>
          <w:tcPr>
            <w:tcW w:w="957" w:type="pct"/>
            <w:tcBorders>
              <w:top w:val="nil"/>
              <w:left w:val="nil"/>
              <w:bottom w:val="nil"/>
              <w:right w:val="nil"/>
            </w:tcBorders>
            <w:shd w:val="clear" w:color="auto" w:fill="auto"/>
            <w:noWrap/>
            <w:vAlign w:val="bottom"/>
            <w:hideMark/>
          </w:tcPr>
          <w:p w14:paraId="40D44997"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Número de visitas</w:t>
            </w:r>
          </w:p>
        </w:tc>
        <w:tc>
          <w:tcPr>
            <w:tcW w:w="275" w:type="pct"/>
            <w:tcBorders>
              <w:top w:val="nil"/>
              <w:left w:val="nil"/>
              <w:bottom w:val="nil"/>
              <w:right w:val="nil"/>
            </w:tcBorders>
            <w:shd w:val="clear" w:color="auto" w:fill="auto"/>
            <w:noWrap/>
            <w:vAlign w:val="bottom"/>
            <w:hideMark/>
          </w:tcPr>
          <w:p w14:paraId="2B17F38F"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bottom"/>
            <w:hideMark/>
          </w:tcPr>
          <w:p w14:paraId="50E77649" w14:textId="77777777" w:rsidR="00B63DA0" w:rsidRPr="00606E51" w:rsidRDefault="00B63DA0" w:rsidP="00EC5CC6">
            <w:pP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bottom"/>
            <w:hideMark/>
          </w:tcPr>
          <w:p w14:paraId="5AB1B758" w14:textId="77777777" w:rsidR="00B63DA0" w:rsidRPr="00606E51" w:rsidRDefault="00B63DA0" w:rsidP="00EC5CC6">
            <w:pP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bottom"/>
            <w:hideMark/>
          </w:tcPr>
          <w:p w14:paraId="6ED3893A" w14:textId="77777777" w:rsidR="00B63DA0" w:rsidRPr="00606E51" w:rsidRDefault="00B63DA0" w:rsidP="00EC5CC6">
            <w:pP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bottom"/>
            <w:hideMark/>
          </w:tcPr>
          <w:p w14:paraId="4444633E" w14:textId="77777777" w:rsidR="00B63DA0" w:rsidRPr="00606E51" w:rsidRDefault="00B63DA0" w:rsidP="00EC5CC6">
            <w:pP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bottom"/>
            <w:hideMark/>
          </w:tcPr>
          <w:p w14:paraId="0EA00E07" w14:textId="77777777" w:rsidR="00B63DA0" w:rsidRPr="00606E51" w:rsidRDefault="00B63DA0" w:rsidP="00EC5CC6">
            <w:pP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bottom"/>
            <w:hideMark/>
          </w:tcPr>
          <w:p w14:paraId="2D46E77A" w14:textId="77777777" w:rsidR="00B63DA0" w:rsidRPr="00606E51" w:rsidRDefault="00B63DA0" w:rsidP="00EC5CC6">
            <w:pP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bottom"/>
            <w:hideMark/>
          </w:tcPr>
          <w:p w14:paraId="142B115C" w14:textId="77777777" w:rsidR="00B63DA0" w:rsidRPr="00606E51" w:rsidRDefault="00B63DA0" w:rsidP="00EC5CC6">
            <w:pP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bottom"/>
            <w:hideMark/>
          </w:tcPr>
          <w:p w14:paraId="5345A853"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bottom"/>
            <w:hideMark/>
          </w:tcPr>
          <w:p w14:paraId="325750F2" w14:textId="77777777" w:rsidR="00B63DA0" w:rsidRPr="00606E51" w:rsidRDefault="00B63DA0" w:rsidP="00EC5CC6">
            <w:pPr>
              <w:rPr>
                <w:rFonts w:eastAsia="Times New Roman" w:cs="Times New Roman"/>
                <w:color w:val="000000"/>
                <w:sz w:val="16"/>
                <w:szCs w:val="16"/>
                <w:lang w:val="es-CO" w:eastAsia="es-CO"/>
              </w:rPr>
            </w:pPr>
          </w:p>
        </w:tc>
      </w:tr>
      <w:tr w:rsidR="00B63DA0" w:rsidRPr="00606E51" w14:paraId="66310084" w14:textId="77777777" w:rsidTr="00EC5CC6">
        <w:trPr>
          <w:trHeight w:val="20"/>
        </w:trPr>
        <w:tc>
          <w:tcPr>
            <w:tcW w:w="957" w:type="pct"/>
            <w:tcBorders>
              <w:top w:val="nil"/>
              <w:left w:val="nil"/>
              <w:bottom w:val="nil"/>
              <w:right w:val="nil"/>
            </w:tcBorders>
            <w:shd w:val="clear" w:color="auto" w:fill="auto"/>
            <w:noWrap/>
            <w:vAlign w:val="bottom"/>
            <w:hideMark/>
          </w:tcPr>
          <w:p w14:paraId="6E94A8D5"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581DE2B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82%</w:t>
            </w:r>
          </w:p>
        </w:tc>
        <w:tc>
          <w:tcPr>
            <w:tcW w:w="545" w:type="pct"/>
            <w:tcBorders>
              <w:top w:val="nil"/>
              <w:left w:val="nil"/>
              <w:bottom w:val="nil"/>
              <w:right w:val="nil"/>
            </w:tcBorders>
            <w:shd w:val="clear" w:color="auto" w:fill="auto"/>
            <w:noWrap/>
            <w:vAlign w:val="center"/>
            <w:hideMark/>
          </w:tcPr>
          <w:p w14:paraId="0D8FAA0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1.928</w:t>
            </w:r>
          </w:p>
        </w:tc>
        <w:tc>
          <w:tcPr>
            <w:tcW w:w="333" w:type="pct"/>
            <w:tcBorders>
              <w:top w:val="nil"/>
              <w:left w:val="nil"/>
              <w:bottom w:val="nil"/>
              <w:right w:val="nil"/>
            </w:tcBorders>
            <w:shd w:val="clear" w:color="auto" w:fill="auto"/>
            <w:noWrap/>
            <w:vAlign w:val="center"/>
            <w:hideMark/>
          </w:tcPr>
          <w:p w14:paraId="5B7B7C3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450" w:type="pct"/>
            <w:tcBorders>
              <w:top w:val="nil"/>
              <w:left w:val="nil"/>
              <w:bottom w:val="nil"/>
              <w:right w:val="nil"/>
            </w:tcBorders>
            <w:shd w:val="clear" w:color="auto" w:fill="auto"/>
            <w:noWrap/>
            <w:vAlign w:val="center"/>
            <w:hideMark/>
          </w:tcPr>
          <w:p w14:paraId="2B58BBA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942</w:t>
            </w:r>
          </w:p>
        </w:tc>
        <w:tc>
          <w:tcPr>
            <w:tcW w:w="275" w:type="pct"/>
            <w:tcBorders>
              <w:top w:val="nil"/>
              <w:left w:val="nil"/>
              <w:bottom w:val="nil"/>
              <w:right w:val="nil"/>
            </w:tcBorders>
            <w:shd w:val="clear" w:color="auto" w:fill="auto"/>
            <w:noWrap/>
            <w:vAlign w:val="center"/>
            <w:hideMark/>
          </w:tcPr>
          <w:p w14:paraId="062474B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w:t>
            </w:r>
          </w:p>
        </w:tc>
        <w:tc>
          <w:tcPr>
            <w:tcW w:w="535" w:type="pct"/>
            <w:tcBorders>
              <w:top w:val="nil"/>
              <w:left w:val="nil"/>
              <w:bottom w:val="nil"/>
              <w:right w:val="nil"/>
            </w:tcBorders>
            <w:shd w:val="clear" w:color="auto" w:fill="auto"/>
            <w:noWrap/>
            <w:vAlign w:val="center"/>
            <w:hideMark/>
          </w:tcPr>
          <w:p w14:paraId="3F9EC2B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2.404</w:t>
            </w:r>
          </w:p>
        </w:tc>
        <w:tc>
          <w:tcPr>
            <w:tcW w:w="275" w:type="pct"/>
            <w:tcBorders>
              <w:top w:val="nil"/>
              <w:left w:val="nil"/>
              <w:bottom w:val="nil"/>
              <w:right w:val="nil"/>
            </w:tcBorders>
            <w:shd w:val="clear" w:color="auto" w:fill="auto"/>
            <w:noWrap/>
            <w:vAlign w:val="center"/>
            <w:hideMark/>
          </w:tcPr>
          <w:p w14:paraId="48A184D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85%</w:t>
            </w:r>
          </w:p>
        </w:tc>
        <w:tc>
          <w:tcPr>
            <w:tcW w:w="536" w:type="pct"/>
            <w:tcBorders>
              <w:top w:val="nil"/>
              <w:left w:val="nil"/>
              <w:bottom w:val="nil"/>
              <w:right w:val="nil"/>
            </w:tcBorders>
            <w:shd w:val="clear" w:color="auto" w:fill="auto"/>
            <w:noWrap/>
            <w:vAlign w:val="center"/>
            <w:hideMark/>
          </w:tcPr>
          <w:p w14:paraId="7772A83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3.411</w:t>
            </w:r>
          </w:p>
        </w:tc>
        <w:tc>
          <w:tcPr>
            <w:tcW w:w="275" w:type="pct"/>
            <w:tcBorders>
              <w:top w:val="nil"/>
              <w:left w:val="single" w:sz="4" w:space="0" w:color="auto"/>
              <w:bottom w:val="nil"/>
              <w:right w:val="nil"/>
            </w:tcBorders>
            <w:shd w:val="clear" w:color="auto" w:fill="auto"/>
            <w:noWrap/>
            <w:vAlign w:val="center"/>
            <w:hideMark/>
          </w:tcPr>
          <w:p w14:paraId="04AD0E7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w:t>
            </w:r>
          </w:p>
        </w:tc>
        <w:tc>
          <w:tcPr>
            <w:tcW w:w="545" w:type="pct"/>
            <w:tcBorders>
              <w:top w:val="nil"/>
              <w:left w:val="nil"/>
              <w:bottom w:val="nil"/>
              <w:right w:val="nil"/>
            </w:tcBorders>
            <w:shd w:val="clear" w:color="auto" w:fill="auto"/>
            <w:noWrap/>
            <w:vAlign w:val="center"/>
            <w:hideMark/>
          </w:tcPr>
          <w:p w14:paraId="7E10D10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8.685</w:t>
            </w:r>
          </w:p>
        </w:tc>
      </w:tr>
      <w:tr w:rsidR="00B63DA0" w:rsidRPr="00606E51" w14:paraId="4FF9CC9F" w14:textId="77777777" w:rsidTr="00EC5CC6">
        <w:trPr>
          <w:trHeight w:val="20"/>
        </w:trPr>
        <w:tc>
          <w:tcPr>
            <w:tcW w:w="957" w:type="pct"/>
            <w:tcBorders>
              <w:top w:val="nil"/>
              <w:left w:val="nil"/>
              <w:bottom w:val="nil"/>
              <w:right w:val="nil"/>
            </w:tcBorders>
            <w:shd w:val="clear" w:color="auto" w:fill="auto"/>
            <w:noWrap/>
            <w:vAlign w:val="bottom"/>
            <w:hideMark/>
          </w:tcPr>
          <w:p w14:paraId="00EDC0AB"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3C05052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w:t>
            </w:r>
          </w:p>
        </w:tc>
        <w:tc>
          <w:tcPr>
            <w:tcW w:w="545" w:type="pct"/>
            <w:tcBorders>
              <w:top w:val="nil"/>
              <w:left w:val="nil"/>
              <w:bottom w:val="nil"/>
              <w:right w:val="nil"/>
            </w:tcBorders>
            <w:shd w:val="clear" w:color="auto" w:fill="auto"/>
            <w:noWrap/>
            <w:vAlign w:val="center"/>
            <w:hideMark/>
          </w:tcPr>
          <w:p w14:paraId="27A2DF3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374</w:t>
            </w:r>
          </w:p>
        </w:tc>
        <w:tc>
          <w:tcPr>
            <w:tcW w:w="333" w:type="pct"/>
            <w:tcBorders>
              <w:top w:val="nil"/>
              <w:left w:val="nil"/>
              <w:bottom w:val="nil"/>
              <w:right w:val="nil"/>
            </w:tcBorders>
            <w:shd w:val="clear" w:color="auto" w:fill="auto"/>
            <w:noWrap/>
            <w:vAlign w:val="center"/>
            <w:hideMark/>
          </w:tcPr>
          <w:p w14:paraId="2E5A1B9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51E07AA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2BCEC8A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535" w:type="pct"/>
            <w:tcBorders>
              <w:top w:val="nil"/>
              <w:left w:val="nil"/>
              <w:bottom w:val="nil"/>
              <w:right w:val="nil"/>
            </w:tcBorders>
            <w:shd w:val="clear" w:color="auto" w:fill="auto"/>
            <w:noWrap/>
            <w:vAlign w:val="center"/>
            <w:hideMark/>
          </w:tcPr>
          <w:p w14:paraId="36F4F3B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95</w:t>
            </w:r>
          </w:p>
        </w:tc>
        <w:tc>
          <w:tcPr>
            <w:tcW w:w="275" w:type="pct"/>
            <w:tcBorders>
              <w:top w:val="nil"/>
              <w:left w:val="nil"/>
              <w:bottom w:val="nil"/>
              <w:right w:val="nil"/>
            </w:tcBorders>
            <w:shd w:val="clear" w:color="auto" w:fill="auto"/>
            <w:noWrap/>
            <w:vAlign w:val="center"/>
            <w:hideMark/>
          </w:tcPr>
          <w:p w14:paraId="6E371BD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536" w:type="pct"/>
            <w:tcBorders>
              <w:top w:val="nil"/>
              <w:left w:val="nil"/>
              <w:bottom w:val="nil"/>
              <w:right w:val="nil"/>
            </w:tcBorders>
            <w:shd w:val="clear" w:color="auto" w:fill="auto"/>
            <w:noWrap/>
            <w:vAlign w:val="center"/>
            <w:hideMark/>
          </w:tcPr>
          <w:p w14:paraId="53339E7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507</w:t>
            </w:r>
          </w:p>
        </w:tc>
        <w:tc>
          <w:tcPr>
            <w:tcW w:w="275" w:type="pct"/>
            <w:tcBorders>
              <w:top w:val="nil"/>
              <w:left w:val="single" w:sz="4" w:space="0" w:color="auto"/>
              <w:bottom w:val="nil"/>
              <w:right w:val="nil"/>
            </w:tcBorders>
            <w:shd w:val="clear" w:color="auto" w:fill="auto"/>
            <w:noWrap/>
            <w:vAlign w:val="center"/>
            <w:hideMark/>
          </w:tcPr>
          <w:p w14:paraId="7E53C84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45" w:type="pct"/>
            <w:tcBorders>
              <w:top w:val="nil"/>
              <w:left w:val="nil"/>
              <w:bottom w:val="nil"/>
              <w:right w:val="nil"/>
            </w:tcBorders>
            <w:shd w:val="clear" w:color="auto" w:fill="auto"/>
            <w:noWrap/>
            <w:vAlign w:val="center"/>
            <w:hideMark/>
          </w:tcPr>
          <w:p w14:paraId="6F37EFD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979</w:t>
            </w:r>
          </w:p>
        </w:tc>
      </w:tr>
      <w:tr w:rsidR="00B63DA0" w:rsidRPr="00606E51" w14:paraId="3E326137" w14:textId="77777777" w:rsidTr="00EC5CC6">
        <w:trPr>
          <w:trHeight w:val="20"/>
        </w:trPr>
        <w:tc>
          <w:tcPr>
            <w:tcW w:w="957" w:type="pct"/>
            <w:tcBorders>
              <w:top w:val="nil"/>
              <w:left w:val="nil"/>
              <w:bottom w:val="nil"/>
              <w:right w:val="nil"/>
            </w:tcBorders>
            <w:shd w:val="clear" w:color="auto" w:fill="auto"/>
            <w:noWrap/>
            <w:vAlign w:val="bottom"/>
            <w:hideMark/>
          </w:tcPr>
          <w:p w14:paraId="3D2BD9C9"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564ECEA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285BE12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35</w:t>
            </w:r>
          </w:p>
        </w:tc>
        <w:tc>
          <w:tcPr>
            <w:tcW w:w="333" w:type="pct"/>
            <w:tcBorders>
              <w:top w:val="nil"/>
              <w:left w:val="nil"/>
              <w:bottom w:val="nil"/>
              <w:right w:val="nil"/>
            </w:tcBorders>
            <w:shd w:val="clear" w:color="auto" w:fill="auto"/>
            <w:noWrap/>
            <w:vAlign w:val="center"/>
            <w:hideMark/>
          </w:tcPr>
          <w:p w14:paraId="67DA276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3726932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5DE7245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5" w:type="pct"/>
            <w:tcBorders>
              <w:top w:val="nil"/>
              <w:left w:val="nil"/>
              <w:bottom w:val="nil"/>
              <w:right w:val="nil"/>
            </w:tcBorders>
            <w:shd w:val="clear" w:color="auto" w:fill="auto"/>
            <w:noWrap/>
            <w:vAlign w:val="center"/>
            <w:hideMark/>
          </w:tcPr>
          <w:p w14:paraId="076AF9A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37</w:t>
            </w:r>
          </w:p>
        </w:tc>
        <w:tc>
          <w:tcPr>
            <w:tcW w:w="275" w:type="pct"/>
            <w:tcBorders>
              <w:top w:val="nil"/>
              <w:left w:val="nil"/>
              <w:bottom w:val="nil"/>
              <w:right w:val="nil"/>
            </w:tcBorders>
            <w:shd w:val="clear" w:color="auto" w:fill="auto"/>
            <w:noWrap/>
            <w:vAlign w:val="center"/>
            <w:hideMark/>
          </w:tcPr>
          <w:p w14:paraId="2DF8246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536" w:type="pct"/>
            <w:tcBorders>
              <w:top w:val="nil"/>
              <w:left w:val="nil"/>
              <w:bottom w:val="nil"/>
              <w:right w:val="nil"/>
            </w:tcBorders>
            <w:shd w:val="clear" w:color="auto" w:fill="auto"/>
            <w:noWrap/>
            <w:vAlign w:val="center"/>
            <w:hideMark/>
          </w:tcPr>
          <w:p w14:paraId="239A629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110</w:t>
            </w:r>
          </w:p>
        </w:tc>
        <w:tc>
          <w:tcPr>
            <w:tcW w:w="275" w:type="pct"/>
            <w:tcBorders>
              <w:top w:val="nil"/>
              <w:left w:val="single" w:sz="4" w:space="0" w:color="auto"/>
              <w:bottom w:val="nil"/>
              <w:right w:val="nil"/>
            </w:tcBorders>
            <w:shd w:val="clear" w:color="auto" w:fill="auto"/>
            <w:noWrap/>
            <w:vAlign w:val="center"/>
            <w:hideMark/>
          </w:tcPr>
          <w:p w14:paraId="74C5BB8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545" w:type="pct"/>
            <w:tcBorders>
              <w:top w:val="nil"/>
              <w:left w:val="nil"/>
              <w:bottom w:val="nil"/>
              <w:right w:val="nil"/>
            </w:tcBorders>
            <w:shd w:val="clear" w:color="auto" w:fill="auto"/>
            <w:noWrap/>
            <w:vAlign w:val="center"/>
            <w:hideMark/>
          </w:tcPr>
          <w:p w14:paraId="60B9425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182</w:t>
            </w:r>
          </w:p>
        </w:tc>
      </w:tr>
      <w:tr w:rsidR="00B63DA0" w:rsidRPr="00606E51" w14:paraId="03DBEBB4" w14:textId="77777777" w:rsidTr="00EC5CC6">
        <w:trPr>
          <w:trHeight w:val="20"/>
        </w:trPr>
        <w:tc>
          <w:tcPr>
            <w:tcW w:w="957" w:type="pct"/>
            <w:tcBorders>
              <w:top w:val="nil"/>
              <w:left w:val="nil"/>
              <w:bottom w:val="nil"/>
              <w:right w:val="nil"/>
            </w:tcBorders>
            <w:shd w:val="clear" w:color="auto" w:fill="auto"/>
            <w:noWrap/>
            <w:vAlign w:val="bottom"/>
            <w:hideMark/>
          </w:tcPr>
          <w:p w14:paraId="2DC84682"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7745C6A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4AE32EA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333" w:type="pct"/>
            <w:tcBorders>
              <w:top w:val="nil"/>
              <w:left w:val="nil"/>
              <w:bottom w:val="nil"/>
              <w:right w:val="nil"/>
            </w:tcBorders>
            <w:shd w:val="clear" w:color="auto" w:fill="auto"/>
            <w:noWrap/>
            <w:vAlign w:val="center"/>
            <w:hideMark/>
          </w:tcPr>
          <w:p w14:paraId="08811D2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5C471C6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2F199C1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5" w:type="pct"/>
            <w:tcBorders>
              <w:top w:val="nil"/>
              <w:left w:val="nil"/>
              <w:bottom w:val="nil"/>
              <w:right w:val="nil"/>
            </w:tcBorders>
            <w:shd w:val="clear" w:color="auto" w:fill="auto"/>
            <w:noWrap/>
            <w:vAlign w:val="center"/>
            <w:hideMark/>
          </w:tcPr>
          <w:p w14:paraId="048533A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275" w:type="pct"/>
            <w:tcBorders>
              <w:top w:val="nil"/>
              <w:left w:val="nil"/>
              <w:bottom w:val="nil"/>
              <w:right w:val="nil"/>
            </w:tcBorders>
            <w:shd w:val="clear" w:color="auto" w:fill="auto"/>
            <w:noWrap/>
            <w:vAlign w:val="center"/>
            <w:hideMark/>
          </w:tcPr>
          <w:p w14:paraId="051B9B1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0F185EE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single" w:sz="4" w:space="0" w:color="auto"/>
              <w:bottom w:val="nil"/>
              <w:right w:val="nil"/>
            </w:tcBorders>
            <w:shd w:val="clear" w:color="auto" w:fill="auto"/>
            <w:noWrap/>
            <w:vAlign w:val="center"/>
            <w:hideMark/>
          </w:tcPr>
          <w:p w14:paraId="34FE60B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1DD15CA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w:t>
            </w:r>
          </w:p>
        </w:tc>
      </w:tr>
      <w:tr w:rsidR="00B63DA0" w:rsidRPr="00606E51" w14:paraId="0825DD33" w14:textId="77777777" w:rsidTr="00EC5CC6">
        <w:trPr>
          <w:trHeight w:val="20"/>
        </w:trPr>
        <w:tc>
          <w:tcPr>
            <w:tcW w:w="957" w:type="pct"/>
            <w:tcBorders>
              <w:top w:val="nil"/>
              <w:left w:val="nil"/>
              <w:bottom w:val="nil"/>
              <w:right w:val="nil"/>
            </w:tcBorders>
            <w:shd w:val="clear" w:color="auto" w:fill="auto"/>
            <w:noWrap/>
            <w:vAlign w:val="bottom"/>
            <w:hideMark/>
          </w:tcPr>
          <w:p w14:paraId="26EE0FFD"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w:t>
            </w:r>
          </w:p>
        </w:tc>
        <w:tc>
          <w:tcPr>
            <w:tcW w:w="275" w:type="pct"/>
            <w:tcBorders>
              <w:top w:val="nil"/>
              <w:left w:val="nil"/>
              <w:bottom w:val="nil"/>
              <w:right w:val="nil"/>
            </w:tcBorders>
            <w:shd w:val="clear" w:color="auto" w:fill="auto"/>
            <w:noWrap/>
            <w:vAlign w:val="center"/>
            <w:hideMark/>
          </w:tcPr>
          <w:p w14:paraId="15E82E3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0741842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333" w:type="pct"/>
            <w:tcBorders>
              <w:top w:val="nil"/>
              <w:left w:val="nil"/>
              <w:bottom w:val="nil"/>
              <w:right w:val="nil"/>
            </w:tcBorders>
            <w:shd w:val="clear" w:color="auto" w:fill="auto"/>
            <w:noWrap/>
            <w:vAlign w:val="center"/>
            <w:hideMark/>
          </w:tcPr>
          <w:p w14:paraId="7778221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56C0963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3550598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5" w:type="pct"/>
            <w:tcBorders>
              <w:top w:val="nil"/>
              <w:left w:val="nil"/>
              <w:bottom w:val="nil"/>
              <w:right w:val="nil"/>
            </w:tcBorders>
            <w:shd w:val="clear" w:color="auto" w:fill="auto"/>
            <w:noWrap/>
            <w:vAlign w:val="center"/>
            <w:hideMark/>
          </w:tcPr>
          <w:p w14:paraId="6687992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7B0BA32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087F8A5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single" w:sz="4" w:space="0" w:color="auto"/>
              <w:bottom w:val="nil"/>
              <w:right w:val="nil"/>
            </w:tcBorders>
            <w:shd w:val="clear" w:color="auto" w:fill="auto"/>
            <w:noWrap/>
            <w:vAlign w:val="center"/>
            <w:hideMark/>
          </w:tcPr>
          <w:p w14:paraId="1FEA8CF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042E880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w:t>
            </w:r>
          </w:p>
        </w:tc>
      </w:tr>
      <w:tr w:rsidR="00B63DA0" w:rsidRPr="00606E51" w14:paraId="5E2481D1" w14:textId="77777777" w:rsidTr="00EC5CC6">
        <w:trPr>
          <w:trHeight w:val="20"/>
        </w:trPr>
        <w:tc>
          <w:tcPr>
            <w:tcW w:w="957" w:type="pct"/>
            <w:tcBorders>
              <w:top w:val="nil"/>
              <w:left w:val="nil"/>
              <w:bottom w:val="nil"/>
              <w:right w:val="nil"/>
            </w:tcBorders>
            <w:shd w:val="clear" w:color="auto" w:fill="auto"/>
            <w:noWrap/>
            <w:vAlign w:val="bottom"/>
            <w:hideMark/>
          </w:tcPr>
          <w:p w14:paraId="2FA3A0C8"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275" w:type="pct"/>
            <w:tcBorders>
              <w:top w:val="nil"/>
              <w:left w:val="nil"/>
              <w:bottom w:val="nil"/>
              <w:right w:val="nil"/>
            </w:tcBorders>
            <w:shd w:val="clear" w:color="auto" w:fill="auto"/>
            <w:noWrap/>
            <w:vAlign w:val="center"/>
            <w:hideMark/>
          </w:tcPr>
          <w:p w14:paraId="335BD56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651775F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333" w:type="pct"/>
            <w:tcBorders>
              <w:top w:val="nil"/>
              <w:left w:val="nil"/>
              <w:bottom w:val="nil"/>
              <w:right w:val="nil"/>
            </w:tcBorders>
            <w:shd w:val="clear" w:color="auto" w:fill="auto"/>
            <w:noWrap/>
            <w:vAlign w:val="center"/>
            <w:hideMark/>
          </w:tcPr>
          <w:p w14:paraId="5016380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7F6FA16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88FF63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5" w:type="pct"/>
            <w:tcBorders>
              <w:top w:val="nil"/>
              <w:left w:val="nil"/>
              <w:bottom w:val="nil"/>
              <w:right w:val="nil"/>
            </w:tcBorders>
            <w:shd w:val="clear" w:color="auto" w:fill="auto"/>
            <w:noWrap/>
            <w:vAlign w:val="center"/>
            <w:hideMark/>
          </w:tcPr>
          <w:p w14:paraId="45E550F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095F8AA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3157766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single" w:sz="4" w:space="0" w:color="auto"/>
              <w:bottom w:val="nil"/>
              <w:right w:val="nil"/>
            </w:tcBorders>
            <w:shd w:val="clear" w:color="auto" w:fill="auto"/>
            <w:noWrap/>
            <w:vAlign w:val="center"/>
            <w:hideMark/>
          </w:tcPr>
          <w:p w14:paraId="0366DED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1C7F63C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r>
      <w:tr w:rsidR="00B63DA0" w:rsidRPr="00606E51" w14:paraId="7CCBC816" w14:textId="77777777" w:rsidTr="00EC5CC6">
        <w:trPr>
          <w:trHeight w:val="20"/>
        </w:trPr>
        <w:tc>
          <w:tcPr>
            <w:tcW w:w="957" w:type="pct"/>
            <w:tcBorders>
              <w:top w:val="nil"/>
              <w:left w:val="nil"/>
              <w:bottom w:val="nil"/>
              <w:right w:val="nil"/>
            </w:tcBorders>
            <w:shd w:val="clear" w:color="auto" w:fill="auto"/>
            <w:noWrap/>
            <w:vAlign w:val="bottom"/>
            <w:hideMark/>
          </w:tcPr>
          <w:p w14:paraId="399520AB"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29130F9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5B4B15E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333" w:type="pct"/>
            <w:tcBorders>
              <w:top w:val="nil"/>
              <w:left w:val="nil"/>
              <w:bottom w:val="nil"/>
              <w:right w:val="nil"/>
            </w:tcBorders>
            <w:shd w:val="clear" w:color="auto" w:fill="auto"/>
            <w:noWrap/>
            <w:vAlign w:val="center"/>
            <w:hideMark/>
          </w:tcPr>
          <w:p w14:paraId="6A93781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3673B16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0F6A619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5" w:type="pct"/>
            <w:tcBorders>
              <w:top w:val="nil"/>
              <w:left w:val="nil"/>
              <w:bottom w:val="nil"/>
              <w:right w:val="nil"/>
            </w:tcBorders>
            <w:shd w:val="clear" w:color="auto" w:fill="auto"/>
            <w:noWrap/>
            <w:vAlign w:val="center"/>
            <w:hideMark/>
          </w:tcPr>
          <w:p w14:paraId="7F2F94A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5F66DBF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0811014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single" w:sz="4" w:space="0" w:color="auto"/>
              <w:bottom w:val="nil"/>
              <w:right w:val="nil"/>
            </w:tcBorders>
            <w:shd w:val="clear" w:color="auto" w:fill="auto"/>
            <w:noWrap/>
            <w:vAlign w:val="center"/>
            <w:hideMark/>
          </w:tcPr>
          <w:p w14:paraId="0F6AA7E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09B8421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r>
      <w:tr w:rsidR="00B63DA0" w:rsidRPr="00606E51" w14:paraId="2A5CD0D4" w14:textId="77777777" w:rsidTr="00EC5CC6">
        <w:trPr>
          <w:trHeight w:val="20"/>
        </w:trPr>
        <w:tc>
          <w:tcPr>
            <w:tcW w:w="957" w:type="pct"/>
            <w:tcBorders>
              <w:top w:val="nil"/>
              <w:left w:val="nil"/>
              <w:bottom w:val="nil"/>
              <w:right w:val="nil"/>
            </w:tcBorders>
            <w:shd w:val="clear" w:color="auto" w:fill="auto"/>
            <w:noWrap/>
            <w:vAlign w:val="bottom"/>
            <w:hideMark/>
          </w:tcPr>
          <w:p w14:paraId="30C7F77E"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Sexo</w:t>
            </w:r>
          </w:p>
        </w:tc>
        <w:tc>
          <w:tcPr>
            <w:tcW w:w="275" w:type="pct"/>
            <w:tcBorders>
              <w:top w:val="nil"/>
              <w:left w:val="nil"/>
              <w:bottom w:val="nil"/>
              <w:right w:val="nil"/>
            </w:tcBorders>
            <w:shd w:val="clear" w:color="auto" w:fill="auto"/>
            <w:noWrap/>
            <w:vAlign w:val="center"/>
            <w:hideMark/>
          </w:tcPr>
          <w:p w14:paraId="026E6E39"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61874531"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1D764365"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5D0434F5"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05708ED9"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4A24C744"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7FFD4A86"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3320FA2E"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132A882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61B65161"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13F5EE9A" w14:textId="77777777" w:rsidTr="00EC5CC6">
        <w:trPr>
          <w:trHeight w:val="20"/>
        </w:trPr>
        <w:tc>
          <w:tcPr>
            <w:tcW w:w="957" w:type="pct"/>
            <w:tcBorders>
              <w:top w:val="nil"/>
              <w:left w:val="nil"/>
              <w:bottom w:val="nil"/>
              <w:right w:val="nil"/>
            </w:tcBorders>
            <w:shd w:val="clear" w:color="auto" w:fill="auto"/>
            <w:noWrap/>
            <w:vAlign w:val="bottom"/>
            <w:hideMark/>
          </w:tcPr>
          <w:p w14:paraId="45C41FA5"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F</w:t>
            </w:r>
          </w:p>
        </w:tc>
        <w:tc>
          <w:tcPr>
            <w:tcW w:w="275" w:type="pct"/>
            <w:tcBorders>
              <w:top w:val="nil"/>
              <w:left w:val="nil"/>
              <w:bottom w:val="nil"/>
              <w:right w:val="nil"/>
            </w:tcBorders>
            <w:shd w:val="clear" w:color="auto" w:fill="auto"/>
            <w:noWrap/>
            <w:vAlign w:val="center"/>
            <w:hideMark/>
          </w:tcPr>
          <w:p w14:paraId="0FFED37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w:t>
            </w:r>
          </w:p>
        </w:tc>
        <w:tc>
          <w:tcPr>
            <w:tcW w:w="545" w:type="pct"/>
            <w:tcBorders>
              <w:top w:val="nil"/>
              <w:left w:val="nil"/>
              <w:bottom w:val="nil"/>
              <w:right w:val="nil"/>
            </w:tcBorders>
            <w:shd w:val="clear" w:color="auto" w:fill="auto"/>
            <w:noWrap/>
            <w:vAlign w:val="center"/>
            <w:hideMark/>
          </w:tcPr>
          <w:p w14:paraId="3E040E0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1.153</w:t>
            </w:r>
          </w:p>
        </w:tc>
        <w:tc>
          <w:tcPr>
            <w:tcW w:w="333" w:type="pct"/>
            <w:tcBorders>
              <w:top w:val="nil"/>
              <w:left w:val="nil"/>
              <w:bottom w:val="nil"/>
              <w:right w:val="nil"/>
            </w:tcBorders>
            <w:shd w:val="clear" w:color="auto" w:fill="auto"/>
            <w:noWrap/>
            <w:vAlign w:val="center"/>
            <w:hideMark/>
          </w:tcPr>
          <w:p w14:paraId="3C9AA4B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450" w:type="pct"/>
            <w:tcBorders>
              <w:top w:val="nil"/>
              <w:left w:val="nil"/>
              <w:bottom w:val="nil"/>
              <w:right w:val="nil"/>
            </w:tcBorders>
            <w:shd w:val="clear" w:color="auto" w:fill="auto"/>
            <w:noWrap/>
            <w:vAlign w:val="center"/>
            <w:hideMark/>
          </w:tcPr>
          <w:p w14:paraId="13ADE49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482</w:t>
            </w:r>
          </w:p>
        </w:tc>
        <w:tc>
          <w:tcPr>
            <w:tcW w:w="275" w:type="pct"/>
            <w:tcBorders>
              <w:top w:val="nil"/>
              <w:left w:val="nil"/>
              <w:bottom w:val="nil"/>
              <w:right w:val="nil"/>
            </w:tcBorders>
            <w:shd w:val="clear" w:color="auto" w:fill="auto"/>
            <w:noWrap/>
            <w:vAlign w:val="center"/>
            <w:hideMark/>
          </w:tcPr>
          <w:p w14:paraId="11271BB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53%</w:t>
            </w:r>
          </w:p>
        </w:tc>
        <w:tc>
          <w:tcPr>
            <w:tcW w:w="535" w:type="pct"/>
            <w:tcBorders>
              <w:top w:val="nil"/>
              <w:left w:val="nil"/>
              <w:bottom w:val="nil"/>
              <w:right w:val="nil"/>
            </w:tcBorders>
            <w:shd w:val="clear" w:color="auto" w:fill="auto"/>
            <w:noWrap/>
            <w:vAlign w:val="center"/>
            <w:hideMark/>
          </w:tcPr>
          <w:p w14:paraId="24602C4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1.359</w:t>
            </w:r>
          </w:p>
        </w:tc>
        <w:tc>
          <w:tcPr>
            <w:tcW w:w="275" w:type="pct"/>
            <w:tcBorders>
              <w:top w:val="nil"/>
              <w:left w:val="nil"/>
              <w:bottom w:val="nil"/>
              <w:right w:val="nil"/>
            </w:tcBorders>
            <w:shd w:val="clear" w:color="auto" w:fill="auto"/>
            <w:noWrap/>
            <w:vAlign w:val="center"/>
            <w:hideMark/>
          </w:tcPr>
          <w:p w14:paraId="188F7AF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w:t>
            </w:r>
          </w:p>
        </w:tc>
        <w:tc>
          <w:tcPr>
            <w:tcW w:w="536" w:type="pct"/>
            <w:tcBorders>
              <w:top w:val="nil"/>
              <w:left w:val="nil"/>
              <w:bottom w:val="nil"/>
              <w:right w:val="nil"/>
            </w:tcBorders>
            <w:shd w:val="clear" w:color="auto" w:fill="auto"/>
            <w:noWrap/>
            <w:vAlign w:val="center"/>
            <w:hideMark/>
          </w:tcPr>
          <w:p w14:paraId="536DCB3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1.984</w:t>
            </w:r>
          </w:p>
        </w:tc>
        <w:tc>
          <w:tcPr>
            <w:tcW w:w="275" w:type="pct"/>
            <w:tcBorders>
              <w:top w:val="nil"/>
              <w:left w:val="single" w:sz="4" w:space="0" w:color="auto"/>
              <w:bottom w:val="nil"/>
              <w:right w:val="nil"/>
            </w:tcBorders>
            <w:shd w:val="clear" w:color="auto" w:fill="auto"/>
            <w:noWrap/>
            <w:vAlign w:val="center"/>
            <w:hideMark/>
          </w:tcPr>
          <w:p w14:paraId="3619191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50%</w:t>
            </w:r>
          </w:p>
        </w:tc>
        <w:tc>
          <w:tcPr>
            <w:tcW w:w="545" w:type="pct"/>
            <w:tcBorders>
              <w:top w:val="nil"/>
              <w:left w:val="nil"/>
              <w:bottom w:val="nil"/>
              <w:right w:val="nil"/>
            </w:tcBorders>
            <w:shd w:val="clear" w:color="auto" w:fill="auto"/>
            <w:noWrap/>
            <w:vAlign w:val="center"/>
            <w:hideMark/>
          </w:tcPr>
          <w:p w14:paraId="7BE4CF6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4.978</w:t>
            </w:r>
          </w:p>
        </w:tc>
      </w:tr>
      <w:tr w:rsidR="00B63DA0" w:rsidRPr="00606E51" w14:paraId="00210586" w14:textId="77777777" w:rsidTr="00EC5CC6">
        <w:trPr>
          <w:trHeight w:val="20"/>
        </w:trPr>
        <w:tc>
          <w:tcPr>
            <w:tcW w:w="957" w:type="pct"/>
            <w:tcBorders>
              <w:top w:val="nil"/>
              <w:left w:val="nil"/>
              <w:bottom w:val="nil"/>
              <w:right w:val="nil"/>
            </w:tcBorders>
            <w:shd w:val="clear" w:color="auto" w:fill="auto"/>
            <w:noWrap/>
            <w:vAlign w:val="bottom"/>
            <w:hideMark/>
          </w:tcPr>
          <w:p w14:paraId="5CCF3C5F"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M</w:t>
            </w:r>
          </w:p>
        </w:tc>
        <w:tc>
          <w:tcPr>
            <w:tcW w:w="275" w:type="pct"/>
            <w:tcBorders>
              <w:top w:val="nil"/>
              <w:left w:val="nil"/>
              <w:bottom w:val="nil"/>
              <w:right w:val="nil"/>
            </w:tcBorders>
            <w:shd w:val="clear" w:color="auto" w:fill="auto"/>
            <w:noWrap/>
            <w:vAlign w:val="center"/>
            <w:hideMark/>
          </w:tcPr>
          <w:p w14:paraId="154BEBB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545" w:type="pct"/>
            <w:tcBorders>
              <w:top w:val="nil"/>
              <w:left w:val="nil"/>
              <w:bottom w:val="nil"/>
              <w:right w:val="nil"/>
            </w:tcBorders>
            <w:shd w:val="clear" w:color="auto" w:fill="auto"/>
            <w:noWrap/>
            <w:vAlign w:val="center"/>
            <w:hideMark/>
          </w:tcPr>
          <w:p w14:paraId="1C9EB83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1.193</w:t>
            </w:r>
          </w:p>
        </w:tc>
        <w:tc>
          <w:tcPr>
            <w:tcW w:w="333" w:type="pct"/>
            <w:tcBorders>
              <w:top w:val="nil"/>
              <w:left w:val="nil"/>
              <w:bottom w:val="nil"/>
              <w:right w:val="nil"/>
            </w:tcBorders>
            <w:shd w:val="clear" w:color="auto" w:fill="auto"/>
            <w:noWrap/>
            <w:vAlign w:val="center"/>
            <w:hideMark/>
          </w:tcPr>
          <w:p w14:paraId="100D6BE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w:t>
            </w:r>
          </w:p>
        </w:tc>
        <w:tc>
          <w:tcPr>
            <w:tcW w:w="450" w:type="pct"/>
            <w:tcBorders>
              <w:top w:val="nil"/>
              <w:left w:val="nil"/>
              <w:bottom w:val="nil"/>
              <w:right w:val="nil"/>
            </w:tcBorders>
            <w:shd w:val="clear" w:color="auto" w:fill="auto"/>
            <w:noWrap/>
            <w:vAlign w:val="center"/>
            <w:hideMark/>
          </w:tcPr>
          <w:p w14:paraId="6DF020B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463</w:t>
            </w:r>
          </w:p>
        </w:tc>
        <w:tc>
          <w:tcPr>
            <w:tcW w:w="275" w:type="pct"/>
            <w:tcBorders>
              <w:top w:val="nil"/>
              <w:left w:val="nil"/>
              <w:bottom w:val="nil"/>
              <w:right w:val="nil"/>
            </w:tcBorders>
            <w:shd w:val="clear" w:color="auto" w:fill="auto"/>
            <w:noWrap/>
            <w:vAlign w:val="center"/>
            <w:hideMark/>
          </w:tcPr>
          <w:p w14:paraId="3023794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47%</w:t>
            </w:r>
          </w:p>
        </w:tc>
        <w:tc>
          <w:tcPr>
            <w:tcW w:w="535" w:type="pct"/>
            <w:tcBorders>
              <w:top w:val="nil"/>
              <w:left w:val="nil"/>
              <w:bottom w:val="nil"/>
              <w:right w:val="nil"/>
            </w:tcBorders>
            <w:shd w:val="clear" w:color="auto" w:fill="auto"/>
            <w:noWrap/>
            <w:vAlign w:val="center"/>
            <w:hideMark/>
          </w:tcPr>
          <w:p w14:paraId="5BF145A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1.208</w:t>
            </w:r>
          </w:p>
        </w:tc>
        <w:tc>
          <w:tcPr>
            <w:tcW w:w="275" w:type="pct"/>
            <w:tcBorders>
              <w:top w:val="nil"/>
              <w:left w:val="nil"/>
              <w:bottom w:val="nil"/>
              <w:right w:val="nil"/>
            </w:tcBorders>
            <w:shd w:val="clear" w:color="auto" w:fill="auto"/>
            <w:noWrap/>
            <w:vAlign w:val="center"/>
            <w:hideMark/>
          </w:tcPr>
          <w:p w14:paraId="5209165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w:t>
            </w:r>
          </w:p>
        </w:tc>
        <w:tc>
          <w:tcPr>
            <w:tcW w:w="536" w:type="pct"/>
            <w:tcBorders>
              <w:top w:val="nil"/>
              <w:left w:val="nil"/>
              <w:bottom w:val="nil"/>
              <w:right w:val="nil"/>
            </w:tcBorders>
            <w:shd w:val="clear" w:color="auto" w:fill="auto"/>
            <w:noWrap/>
            <w:vAlign w:val="center"/>
            <w:hideMark/>
          </w:tcPr>
          <w:p w14:paraId="41AAF42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2.050</w:t>
            </w:r>
          </w:p>
        </w:tc>
        <w:tc>
          <w:tcPr>
            <w:tcW w:w="275" w:type="pct"/>
            <w:tcBorders>
              <w:top w:val="nil"/>
              <w:left w:val="single" w:sz="4" w:space="0" w:color="auto"/>
              <w:bottom w:val="nil"/>
              <w:right w:val="nil"/>
            </w:tcBorders>
            <w:shd w:val="clear" w:color="auto" w:fill="auto"/>
            <w:noWrap/>
            <w:vAlign w:val="center"/>
            <w:hideMark/>
          </w:tcPr>
          <w:p w14:paraId="566643C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50%</w:t>
            </w:r>
          </w:p>
        </w:tc>
        <w:tc>
          <w:tcPr>
            <w:tcW w:w="545" w:type="pct"/>
            <w:tcBorders>
              <w:top w:val="nil"/>
              <w:left w:val="nil"/>
              <w:bottom w:val="nil"/>
              <w:right w:val="nil"/>
            </w:tcBorders>
            <w:shd w:val="clear" w:color="auto" w:fill="auto"/>
            <w:noWrap/>
            <w:vAlign w:val="center"/>
            <w:hideMark/>
          </w:tcPr>
          <w:p w14:paraId="2C42220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4.914</w:t>
            </w:r>
          </w:p>
        </w:tc>
      </w:tr>
      <w:tr w:rsidR="00B63DA0" w:rsidRPr="00606E51" w14:paraId="143BBDBC" w14:textId="77777777" w:rsidTr="00EC5CC6">
        <w:trPr>
          <w:trHeight w:val="20"/>
        </w:trPr>
        <w:tc>
          <w:tcPr>
            <w:tcW w:w="957" w:type="pct"/>
            <w:tcBorders>
              <w:top w:val="nil"/>
              <w:left w:val="nil"/>
              <w:bottom w:val="nil"/>
              <w:right w:val="nil"/>
            </w:tcBorders>
            <w:shd w:val="clear" w:color="auto" w:fill="auto"/>
            <w:noWrap/>
            <w:vAlign w:val="bottom"/>
            <w:hideMark/>
          </w:tcPr>
          <w:p w14:paraId="0DDD8D05"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Manejo</w:t>
            </w:r>
          </w:p>
        </w:tc>
        <w:tc>
          <w:tcPr>
            <w:tcW w:w="275" w:type="pct"/>
            <w:tcBorders>
              <w:top w:val="nil"/>
              <w:left w:val="nil"/>
              <w:bottom w:val="nil"/>
              <w:right w:val="nil"/>
            </w:tcBorders>
            <w:shd w:val="clear" w:color="auto" w:fill="auto"/>
            <w:noWrap/>
            <w:vAlign w:val="center"/>
            <w:hideMark/>
          </w:tcPr>
          <w:p w14:paraId="0777BA29"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172D615D"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42FCE7BC"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7B52F71C"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38DEDB18"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5887ED2D"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71A2BFCC"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0BA4D6E5"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4DD4C45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767C28F2"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0102EC72" w14:textId="77777777" w:rsidTr="00EC5CC6">
        <w:trPr>
          <w:trHeight w:val="20"/>
        </w:trPr>
        <w:tc>
          <w:tcPr>
            <w:tcW w:w="957" w:type="pct"/>
            <w:tcBorders>
              <w:top w:val="nil"/>
              <w:left w:val="nil"/>
              <w:bottom w:val="nil"/>
              <w:right w:val="nil"/>
            </w:tcBorders>
            <w:shd w:val="clear" w:color="auto" w:fill="auto"/>
            <w:noWrap/>
            <w:vAlign w:val="bottom"/>
            <w:hideMark/>
          </w:tcPr>
          <w:p w14:paraId="52EA857A"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Hogar</w:t>
            </w:r>
          </w:p>
        </w:tc>
        <w:tc>
          <w:tcPr>
            <w:tcW w:w="275" w:type="pct"/>
            <w:tcBorders>
              <w:top w:val="nil"/>
              <w:left w:val="nil"/>
              <w:bottom w:val="nil"/>
              <w:right w:val="nil"/>
            </w:tcBorders>
            <w:shd w:val="clear" w:color="auto" w:fill="auto"/>
            <w:noWrap/>
            <w:vAlign w:val="center"/>
            <w:hideMark/>
          </w:tcPr>
          <w:p w14:paraId="0A0F6B4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90%</w:t>
            </w:r>
          </w:p>
        </w:tc>
        <w:tc>
          <w:tcPr>
            <w:tcW w:w="545" w:type="pct"/>
            <w:tcBorders>
              <w:top w:val="nil"/>
              <w:left w:val="nil"/>
              <w:bottom w:val="nil"/>
              <w:right w:val="nil"/>
            </w:tcBorders>
            <w:shd w:val="clear" w:color="auto" w:fill="auto"/>
            <w:noWrap/>
            <w:vAlign w:val="center"/>
            <w:hideMark/>
          </w:tcPr>
          <w:p w14:paraId="0C93EB2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2.104</w:t>
            </w:r>
          </w:p>
        </w:tc>
        <w:tc>
          <w:tcPr>
            <w:tcW w:w="333" w:type="pct"/>
            <w:tcBorders>
              <w:top w:val="nil"/>
              <w:left w:val="nil"/>
              <w:bottom w:val="nil"/>
              <w:right w:val="nil"/>
            </w:tcBorders>
            <w:shd w:val="clear" w:color="auto" w:fill="auto"/>
            <w:noWrap/>
            <w:vAlign w:val="center"/>
            <w:hideMark/>
          </w:tcPr>
          <w:p w14:paraId="21B0CE8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42%</w:t>
            </w:r>
          </w:p>
        </w:tc>
        <w:tc>
          <w:tcPr>
            <w:tcW w:w="450" w:type="pct"/>
            <w:tcBorders>
              <w:top w:val="nil"/>
              <w:left w:val="nil"/>
              <w:bottom w:val="nil"/>
              <w:right w:val="nil"/>
            </w:tcBorders>
            <w:shd w:val="clear" w:color="auto" w:fill="auto"/>
            <w:noWrap/>
            <w:vAlign w:val="center"/>
            <w:hideMark/>
          </w:tcPr>
          <w:p w14:paraId="16F09E1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393</w:t>
            </w:r>
          </w:p>
        </w:tc>
        <w:tc>
          <w:tcPr>
            <w:tcW w:w="275" w:type="pct"/>
            <w:tcBorders>
              <w:top w:val="nil"/>
              <w:left w:val="nil"/>
              <w:bottom w:val="nil"/>
              <w:right w:val="nil"/>
            </w:tcBorders>
            <w:shd w:val="clear" w:color="auto" w:fill="auto"/>
            <w:noWrap/>
            <w:vAlign w:val="center"/>
            <w:hideMark/>
          </w:tcPr>
          <w:p w14:paraId="27EE7C6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68%</w:t>
            </w:r>
          </w:p>
        </w:tc>
        <w:tc>
          <w:tcPr>
            <w:tcW w:w="535" w:type="pct"/>
            <w:tcBorders>
              <w:top w:val="nil"/>
              <w:left w:val="nil"/>
              <w:bottom w:val="nil"/>
              <w:right w:val="nil"/>
            </w:tcBorders>
            <w:shd w:val="clear" w:color="auto" w:fill="auto"/>
            <w:noWrap/>
            <w:vAlign w:val="center"/>
            <w:hideMark/>
          </w:tcPr>
          <w:p w14:paraId="03283CC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1.750</w:t>
            </w:r>
          </w:p>
        </w:tc>
        <w:tc>
          <w:tcPr>
            <w:tcW w:w="275" w:type="pct"/>
            <w:tcBorders>
              <w:top w:val="nil"/>
              <w:left w:val="nil"/>
              <w:bottom w:val="nil"/>
              <w:right w:val="nil"/>
            </w:tcBorders>
            <w:shd w:val="clear" w:color="auto" w:fill="auto"/>
            <w:noWrap/>
            <w:vAlign w:val="center"/>
            <w:hideMark/>
          </w:tcPr>
          <w:p w14:paraId="39B0C70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36" w:type="pct"/>
            <w:tcBorders>
              <w:top w:val="nil"/>
              <w:left w:val="nil"/>
              <w:bottom w:val="nil"/>
              <w:right w:val="nil"/>
            </w:tcBorders>
            <w:shd w:val="clear" w:color="auto" w:fill="auto"/>
            <w:noWrap/>
            <w:vAlign w:val="center"/>
            <w:hideMark/>
          </w:tcPr>
          <w:p w14:paraId="4DD059D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823</w:t>
            </w:r>
          </w:p>
        </w:tc>
        <w:tc>
          <w:tcPr>
            <w:tcW w:w="275" w:type="pct"/>
            <w:tcBorders>
              <w:top w:val="nil"/>
              <w:left w:val="single" w:sz="4" w:space="0" w:color="auto"/>
              <w:bottom w:val="nil"/>
              <w:right w:val="nil"/>
            </w:tcBorders>
            <w:shd w:val="clear" w:color="auto" w:fill="auto"/>
            <w:noWrap/>
            <w:vAlign w:val="center"/>
            <w:hideMark/>
          </w:tcPr>
          <w:p w14:paraId="4D139F7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52%</w:t>
            </w:r>
          </w:p>
        </w:tc>
        <w:tc>
          <w:tcPr>
            <w:tcW w:w="545" w:type="pct"/>
            <w:tcBorders>
              <w:top w:val="nil"/>
              <w:left w:val="nil"/>
              <w:bottom w:val="nil"/>
              <w:right w:val="nil"/>
            </w:tcBorders>
            <w:shd w:val="clear" w:color="auto" w:fill="auto"/>
            <w:noWrap/>
            <w:vAlign w:val="center"/>
            <w:hideMark/>
          </w:tcPr>
          <w:p w14:paraId="04D8821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5.070</w:t>
            </w:r>
          </w:p>
        </w:tc>
      </w:tr>
      <w:tr w:rsidR="00B63DA0" w:rsidRPr="00606E51" w14:paraId="1B85419F" w14:textId="77777777" w:rsidTr="00EC5CC6">
        <w:trPr>
          <w:trHeight w:val="20"/>
        </w:trPr>
        <w:tc>
          <w:tcPr>
            <w:tcW w:w="957" w:type="pct"/>
            <w:tcBorders>
              <w:top w:val="nil"/>
              <w:left w:val="nil"/>
              <w:bottom w:val="nil"/>
              <w:right w:val="nil"/>
            </w:tcBorders>
            <w:shd w:val="clear" w:color="auto" w:fill="auto"/>
            <w:noWrap/>
            <w:vAlign w:val="bottom"/>
            <w:hideMark/>
          </w:tcPr>
          <w:p w14:paraId="68358736"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Remisión II Nivel</w:t>
            </w:r>
          </w:p>
        </w:tc>
        <w:tc>
          <w:tcPr>
            <w:tcW w:w="275" w:type="pct"/>
            <w:tcBorders>
              <w:top w:val="nil"/>
              <w:left w:val="nil"/>
              <w:bottom w:val="nil"/>
              <w:right w:val="nil"/>
            </w:tcBorders>
            <w:shd w:val="clear" w:color="auto" w:fill="auto"/>
            <w:noWrap/>
            <w:vAlign w:val="center"/>
            <w:hideMark/>
          </w:tcPr>
          <w:p w14:paraId="68910C7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1F9915F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333" w:type="pct"/>
            <w:tcBorders>
              <w:top w:val="nil"/>
              <w:left w:val="nil"/>
              <w:bottom w:val="nil"/>
              <w:right w:val="nil"/>
            </w:tcBorders>
            <w:shd w:val="clear" w:color="auto" w:fill="auto"/>
            <w:noWrap/>
            <w:vAlign w:val="center"/>
            <w:hideMark/>
          </w:tcPr>
          <w:p w14:paraId="4EEC768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608CE68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1875753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5" w:type="pct"/>
            <w:tcBorders>
              <w:top w:val="nil"/>
              <w:left w:val="nil"/>
              <w:bottom w:val="nil"/>
              <w:right w:val="nil"/>
            </w:tcBorders>
            <w:shd w:val="clear" w:color="auto" w:fill="auto"/>
            <w:noWrap/>
            <w:vAlign w:val="center"/>
            <w:hideMark/>
          </w:tcPr>
          <w:p w14:paraId="6D1E3EC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275" w:type="pct"/>
            <w:tcBorders>
              <w:top w:val="nil"/>
              <w:left w:val="nil"/>
              <w:bottom w:val="nil"/>
              <w:right w:val="nil"/>
            </w:tcBorders>
            <w:shd w:val="clear" w:color="auto" w:fill="auto"/>
            <w:noWrap/>
            <w:vAlign w:val="center"/>
            <w:hideMark/>
          </w:tcPr>
          <w:p w14:paraId="3C5A5D6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71BE632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275" w:type="pct"/>
            <w:tcBorders>
              <w:top w:val="nil"/>
              <w:left w:val="single" w:sz="4" w:space="0" w:color="auto"/>
              <w:bottom w:val="nil"/>
              <w:right w:val="nil"/>
            </w:tcBorders>
            <w:shd w:val="clear" w:color="auto" w:fill="auto"/>
            <w:noWrap/>
            <w:vAlign w:val="center"/>
            <w:hideMark/>
          </w:tcPr>
          <w:p w14:paraId="2FEFB3F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19D856C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r>
      <w:tr w:rsidR="00B63DA0" w:rsidRPr="00606E51" w14:paraId="4D9C6238" w14:textId="77777777" w:rsidTr="00EF3E08">
        <w:trPr>
          <w:trHeight w:val="203"/>
        </w:trPr>
        <w:tc>
          <w:tcPr>
            <w:tcW w:w="957" w:type="pct"/>
            <w:tcBorders>
              <w:top w:val="nil"/>
              <w:left w:val="nil"/>
              <w:bottom w:val="nil"/>
              <w:right w:val="nil"/>
            </w:tcBorders>
            <w:shd w:val="clear" w:color="auto" w:fill="auto"/>
            <w:noWrap/>
            <w:vAlign w:val="bottom"/>
            <w:hideMark/>
          </w:tcPr>
          <w:p w14:paraId="62332EE0"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Sin datos</w:t>
            </w:r>
          </w:p>
        </w:tc>
        <w:tc>
          <w:tcPr>
            <w:tcW w:w="275" w:type="pct"/>
            <w:tcBorders>
              <w:top w:val="nil"/>
              <w:left w:val="nil"/>
              <w:bottom w:val="nil"/>
              <w:right w:val="nil"/>
            </w:tcBorders>
            <w:shd w:val="clear" w:color="auto" w:fill="auto"/>
            <w:noWrap/>
            <w:vAlign w:val="center"/>
            <w:hideMark/>
          </w:tcPr>
          <w:p w14:paraId="609A377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w:t>
            </w:r>
          </w:p>
        </w:tc>
        <w:tc>
          <w:tcPr>
            <w:tcW w:w="545" w:type="pct"/>
            <w:tcBorders>
              <w:top w:val="nil"/>
              <w:left w:val="nil"/>
              <w:bottom w:val="nil"/>
              <w:right w:val="nil"/>
            </w:tcBorders>
            <w:shd w:val="clear" w:color="auto" w:fill="auto"/>
            <w:noWrap/>
            <w:vAlign w:val="center"/>
            <w:hideMark/>
          </w:tcPr>
          <w:p w14:paraId="174EC63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236</w:t>
            </w:r>
          </w:p>
        </w:tc>
        <w:tc>
          <w:tcPr>
            <w:tcW w:w="333" w:type="pct"/>
            <w:tcBorders>
              <w:top w:val="nil"/>
              <w:left w:val="nil"/>
              <w:bottom w:val="nil"/>
              <w:right w:val="nil"/>
            </w:tcBorders>
            <w:shd w:val="clear" w:color="auto" w:fill="auto"/>
            <w:noWrap/>
            <w:vAlign w:val="center"/>
            <w:hideMark/>
          </w:tcPr>
          <w:p w14:paraId="4418159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58%</w:t>
            </w:r>
          </w:p>
        </w:tc>
        <w:tc>
          <w:tcPr>
            <w:tcW w:w="450" w:type="pct"/>
            <w:tcBorders>
              <w:top w:val="nil"/>
              <w:left w:val="nil"/>
              <w:bottom w:val="nil"/>
              <w:right w:val="nil"/>
            </w:tcBorders>
            <w:shd w:val="clear" w:color="auto" w:fill="auto"/>
            <w:noWrap/>
            <w:vAlign w:val="center"/>
            <w:hideMark/>
          </w:tcPr>
          <w:p w14:paraId="6B00E5E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552</w:t>
            </w:r>
          </w:p>
        </w:tc>
        <w:tc>
          <w:tcPr>
            <w:tcW w:w="275" w:type="pct"/>
            <w:tcBorders>
              <w:top w:val="nil"/>
              <w:left w:val="nil"/>
              <w:bottom w:val="nil"/>
              <w:right w:val="nil"/>
            </w:tcBorders>
            <w:shd w:val="clear" w:color="auto" w:fill="auto"/>
            <w:noWrap/>
            <w:vAlign w:val="center"/>
            <w:hideMark/>
          </w:tcPr>
          <w:p w14:paraId="1C806A3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w:t>
            </w:r>
          </w:p>
        </w:tc>
        <w:tc>
          <w:tcPr>
            <w:tcW w:w="535" w:type="pct"/>
            <w:tcBorders>
              <w:top w:val="nil"/>
              <w:left w:val="nil"/>
              <w:bottom w:val="nil"/>
              <w:right w:val="nil"/>
            </w:tcBorders>
            <w:shd w:val="clear" w:color="auto" w:fill="auto"/>
            <w:noWrap/>
            <w:vAlign w:val="center"/>
            <w:hideMark/>
          </w:tcPr>
          <w:p w14:paraId="0576B82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810</w:t>
            </w:r>
          </w:p>
        </w:tc>
        <w:tc>
          <w:tcPr>
            <w:tcW w:w="275" w:type="pct"/>
            <w:tcBorders>
              <w:top w:val="nil"/>
              <w:left w:val="nil"/>
              <w:bottom w:val="nil"/>
              <w:right w:val="nil"/>
            </w:tcBorders>
            <w:shd w:val="clear" w:color="auto" w:fill="auto"/>
            <w:noWrap/>
            <w:vAlign w:val="center"/>
            <w:hideMark/>
          </w:tcPr>
          <w:p w14:paraId="3682E47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80%</w:t>
            </w:r>
          </w:p>
        </w:tc>
        <w:tc>
          <w:tcPr>
            <w:tcW w:w="536" w:type="pct"/>
            <w:tcBorders>
              <w:top w:val="nil"/>
              <w:left w:val="nil"/>
              <w:bottom w:val="nil"/>
              <w:right w:val="nil"/>
            </w:tcBorders>
            <w:shd w:val="clear" w:color="auto" w:fill="auto"/>
            <w:noWrap/>
            <w:vAlign w:val="center"/>
            <w:hideMark/>
          </w:tcPr>
          <w:p w14:paraId="56847E1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3.202</w:t>
            </w:r>
          </w:p>
        </w:tc>
        <w:tc>
          <w:tcPr>
            <w:tcW w:w="275" w:type="pct"/>
            <w:tcBorders>
              <w:top w:val="nil"/>
              <w:left w:val="single" w:sz="4" w:space="0" w:color="auto"/>
              <w:bottom w:val="nil"/>
              <w:right w:val="nil"/>
            </w:tcBorders>
            <w:shd w:val="clear" w:color="auto" w:fill="auto"/>
            <w:noWrap/>
            <w:vAlign w:val="center"/>
            <w:hideMark/>
          </w:tcPr>
          <w:p w14:paraId="33E5A9F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w:t>
            </w:r>
          </w:p>
        </w:tc>
        <w:tc>
          <w:tcPr>
            <w:tcW w:w="545" w:type="pct"/>
            <w:tcBorders>
              <w:top w:val="nil"/>
              <w:left w:val="nil"/>
              <w:bottom w:val="nil"/>
              <w:right w:val="nil"/>
            </w:tcBorders>
            <w:shd w:val="clear" w:color="auto" w:fill="auto"/>
            <w:noWrap/>
            <w:vAlign w:val="center"/>
            <w:hideMark/>
          </w:tcPr>
          <w:p w14:paraId="0CB66DB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4.800</w:t>
            </w:r>
          </w:p>
        </w:tc>
      </w:tr>
      <w:tr w:rsidR="00B63DA0" w:rsidRPr="00606E51" w14:paraId="66338B8B" w14:textId="77777777" w:rsidTr="00EC5CC6">
        <w:trPr>
          <w:trHeight w:val="20"/>
        </w:trPr>
        <w:tc>
          <w:tcPr>
            <w:tcW w:w="957" w:type="pct"/>
            <w:tcBorders>
              <w:top w:val="nil"/>
              <w:left w:val="nil"/>
              <w:bottom w:val="nil"/>
              <w:right w:val="nil"/>
            </w:tcBorders>
            <w:shd w:val="clear" w:color="auto" w:fill="auto"/>
            <w:noWrap/>
            <w:vAlign w:val="bottom"/>
            <w:hideMark/>
          </w:tcPr>
          <w:p w14:paraId="0370DC88"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Seguimiento</w:t>
            </w:r>
          </w:p>
        </w:tc>
        <w:tc>
          <w:tcPr>
            <w:tcW w:w="275" w:type="pct"/>
            <w:tcBorders>
              <w:top w:val="nil"/>
              <w:left w:val="nil"/>
              <w:bottom w:val="nil"/>
              <w:right w:val="nil"/>
            </w:tcBorders>
            <w:shd w:val="clear" w:color="auto" w:fill="auto"/>
            <w:noWrap/>
            <w:vAlign w:val="center"/>
            <w:hideMark/>
          </w:tcPr>
          <w:p w14:paraId="1BC90D3F"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0B0DFA70"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324D5848"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5C408178"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31B3C517"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589CDDCB"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4F597CE"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2CCD7242"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60A51F3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39AABD79"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3F0A3BCD" w14:textId="77777777" w:rsidTr="00EC5CC6">
        <w:trPr>
          <w:trHeight w:val="20"/>
        </w:trPr>
        <w:tc>
          <w:tcPr>
            <w:tcW w:w="957" w:type="pct"/>
            <w:tcBorders>
              <w:top w:val="nil"/>
              <w:left w:val="nil"/>
              <w:bottom w:val="nil"/>
              <w:right w:val="nil"/>
            </w:tcBorders>
            <w:shd w:val="clear" w:color="auto" w:fill="auto"/>
            <w:noWrap/>
            <w:vAlign w:val="bottom"/>
            <w:hideMark/>
          </w:tcPr>
          <w:p w14:paraId="627D435D"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275" w:type="pct"/>
            <w:tcBorders>
              <w:top w:val="nil"/>
              <w:left w:val="nil"/>
              <w:bottom w:val="nil"/>
              <w:right w:val="nil"/>
            </w:tcBorders>
            <w:shd w:val="clear" w:color="auto" w:fill="auto"/>
            <w:noWrap/>
            <w:vAlign w:val="center"/>
            <w:hideMark/>
          </w:tcPr>
          <w:p w14:paraId="7A8E27E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82%</w:t>
            </w:r>
          </w:p>
        </w:tc>
        <w:tc>
          <w:tcPr>
            <w:tcW w:w="545" w:type="pct"/>
            <w:tcBorders>
              <w:top w:val="nil"/>
              <w:left w:val="nil"/>
              <w:bottom w:val="nil"/>
              <w:right w:val="nil"/>
            </w:tcBorders>
            <w:shd w:val="clear" w:color="auto" w:fill="auto"/>
            <w:noWrap/>
            <w:vAlign w:val="center"/>
            <w:hideMark/>
          </w:tcPr>
          <w:p w14:paraId="3A9D3F4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1.928</w:t>
            </w:r>
          </w:p>
        </w:tc>
        <w:tc>
          <w:tcPr>
            <w:tcW w:w="333" w:type="pct"/>
            <w:tcBorders>
              <w:top w:val="nil"/>
              <w:left w:val="nil"/>
              <w:bottom w:val="nil"/>
              <w:right w:val="nil"/>
            </w:tcBorders>
            <w:shd w:val="clear" w:color="auto" w:fill="auto"/>
            <w:noWrap/>
            <w:vAlign w:val="center"/>
            <w:hideMark/>
          </w:tcPr>
          <w:p w14:paraId="3D9069F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450" w:type="pct"/>
            <w:tcBorders>
              <w:top w:val="nil"/>
              <w:left w:val="nil"/>
              <w:bottom w:val="nil"/>
              <w:right w:val="nil"/>
            </w:tcBorders>
            <w:shd w:val="clear" w:color="auto" w:fill="auto"/>
            <w:noWrap/>
            <w:vAlign w:val="center"/>
            <w:hideMark/>
          </w:tcPr>
          <w:p w14:paraId="683E224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942</w:t>
            </w:r>
          </w:p>
        </w:tc>
        <w:tc>
          <w:tcPr>
            <w:tcW w:w="275" w:type="pct"/>
            <w:tcBorders>
              <w:top w:val="nil"/>
              <w:left w:val="nil"/>
              <w:bottom w:val="nil"/>
              <w:right w:val="nil"/>
            </w:tcBorders>
            <w:shd w:val="clear" w:color="auto" w:fill="auto"/>
            <w:noWrap/>
            <w:vAlign w:val="center"/>
            <w:hideMark/>
          </w:tcPr>
          <w:p w14:paraId="32B5560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w:t>
            </w:r>
          </w:p>
        </w:tc>
        <w:tc>
          <w:tcPr>
            <w:tcW w:w="535" w:type="pct"/>
            <w:tcBorders>
              <w:top w:val="nil"/>
              <w:left w:val="nil"/>
              <w:bottom w:val="nil"/>
              <w:right w:val="nil"/>
            </w:tcBorders>
            <w:shd w:val="clear" w:color="auto" w:fill="auto"/>
            <w:noWrap/>
            <w:vAlign w:val="center"/>
            <w:hideMark/>
          </w:tcPr>
          <w:p w14:paraId="71B1534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2.404</w:t>
            </w:r>
          </w:p>
        </w:tc>
        <w:tc>
          <w:tcPr>
            <w:tcW w:w="275" w:type="pct"/>
            <w:tcBorders>
              <w:top w:val="nil"/>
              <w:left w:val="nil"/>
              <w:bottom w:val="nil"/>
              <w:right w:val="nil"/>
            </w:tcBorders>
            <w:shd w:val="clear" w:color="auto" w:fill="auto"/>
            <w:noWrap/>
            <w:vAlign w:val="center"/>
            <w:hideMark/>
          </w:tcPr>
          <w:p w14:paraId="3AD3DE3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85%</w:t>
            </w:r>
          </w:p>
        </w:tc>
        <w:tc>
          <w:tcPr>
            <w:tcW w:w="536" w:type="pct"/>
            <w:tcBorders>
              <w:top w:val="nil"/>
              <w:left w:val="nil"/>
              <w:bottom w:val="nil"/>
              <w:right w:val="nil"/>
            </w:tcBorders>
            <w:shd w:val="clear" w:color="auto" w:fill="auto"/>
            <w:noWrap/>
            <w:vAlign w:val="center"/>
            <w:hideMark/>
          </w:tcPr>
          <w:p w14:paraId="6D01030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3.411</w:t>
            </w:r>
          </w:p>
        </w:tc>
        <w:tc>
          <w:tcPr>
            <w:tcW w:w="275" w:type="pct"/>
            <w:tcBorders>
              <w:top w:val="nil"/>
              <w:left w:val="single" w:sz="4" w:space="0" w:color="auto"/>
              <w:bottom w:val="nil"/>
              <w:right w:val="nil"/>
            </w:tcBorders>
            <w:shd w:val="clear" w:color="auto" w:fill="auto"/>
            <w:noWrap/>
            <w:vAlign w:val="center"/>
            <w:hideMark/>
          </w:tcPr>
          <w:p w14:paraId="5ADEFB7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w:t>
            </w:r>
          </w:p>
        </w:tc>
        <w:tc>
          <w:tcPr>
            <w:tcW w:w="545" w:type="pct"/>
            <w:tcBorders>
              <w:top w:val="nil"/>
              <w:left w:val="nil"/>
              <w:bottom w:val="nil"/>
              <w:right w:val="nil"/>
            </w:tcBorders>
            <w:shd w:val="clear" w:color="auto" w:fill="auto"/>
            <w:noWrap/>
            <w:vAlign w:val="center"/>
            <w:hideMark/>
          </w:tcPr>
          <w:p w14:paraId="3761D3E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8.685</w:t>
            </w:r>
          </w:p>
        </w:tc>
      </w:tr>
      <w:tr w:rsidR="00B63DA0" w:rsidRPr="00606E51" w14:paraId="59C655B4" w14:textId="77777777" w:rsidTr="00EC5CC6">
        <w:trPr>
          <w:trHeight w:val="20"/>
        </w:trPr>
        <w:tc>
          <w:tcPr>
            <w:tcW w:w="957" w:type="pct"/>
            <w:tcBorders>
              <w:top w:val="nil"/>
              <w:left w:val="nil"/>
              <w:bottom w:val="nil"/>
              <w:right w:val="nil"/>
            </w:tcBorders>
            <w:shd w:val="clear" w:color="auto" w:fill="auto"/>
            <w:noWrap/>
            <w:vAlign w:val="bottom"/>
            <w:hideMark/>
          </w:tcPr>
          <w:p w14:paraId="06A4F1E1"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5" w:type="pct"/>
            <w:tcBorders>
              <w:top w:val="nil"/>
              <w:left w:val="nil"/>
              <w:bottom w:val="nil"/>
              <w:right w:val="nil"/>
            </w:tcBorders>
            <w:shd w:val="clear" w:color="auto" w:fill="auto"/>
            <w:noWrap/>
            <w:vAlign w:val="center"/>
            <w:hideMark/>
          </w:tcPr>
          <w:p w14:paraId="00E0066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w:t>
            </w:r>
          </w:p>
        </w:tc>
        <w:tc>
          <w:tcPr>
            <w:tcW w:w="545" w:type="pct"/>
            <w:tcBorders>
              <w:top w:val="nil"/>
              <w:left w:val="nil"/>
              <w:bottom w:val="nil"/>
              <w:right w:val="nil"/>
            </w:tcBorders>
            <w:shd w:val="clear" w:color="auto" w:fill="auto"/>
            <w:noWrap/>
            <w:vAlign w:val="center"/>
            <w:hideMark/>
          </w:tcPr>
          <w:p w14:paraId="2D616F3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418</w:t>
            </w:r>
          </w:p>
        </w:tc>
        <w:tc>
          <w:tcPr>
            <w:tcW w:w="333" w:type="pct"/>
            <w:tcBorders>
              <w:top w:val="nil"/>
              <w:left w:val="nil"/>
              <w:bottom w:val="nil"/>
              <w:right w:val="nil"/>
            </w:tcBorders>
            <w:shd w:val="clear" w:color="auto" w:fill="auto"/>
            <w:noWrap/>
            <w:vAlign w:val="center"/>
            <w:hideMark/>
          </w:tcPr>
          <w:p w14:paraId="0DF4386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6D244E7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24E4517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535" w:type="pct"/>
            <w:tcBorders>
              <w:top w:val="nil"/>
              <w:left w:val="nil"/>
              <w:bottom w:val="nil"/>
              <w:right w:val="nil"/>
            </w:tcBorders>
            <w:shd w:val="clear" w:color="auto" w:fill="auto"/>
            <w:noWrap/>
            <w:vAlign w:val="center"/>
            <w:hideMark/>
          </w:tcPr>
          <w:p w14:paraId="6617077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163</w:t>
            </w:r>
          </w:p>
        </w:tc>
        <w:tc>
          <w:tcPr>
            <w:tcW w:w="275" w:type="pct"/>
            <w:tcBorders>
              <w:top w:val="nil"/>
              <w:left w:val="nil"/>
              <w:bottom w:val="nil"/>
              <w:right w:val="nil"/>
            </w:tcBorders>
            <w:shd w:val="clear" w:color="auto" w:fill="auto"/>
            <w:noWrap/>
            <w:vAlign w:val="center"/>
            <w:hideMark/>
          </w:tcPr>
          <w:p w14:paraId="1C8759D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536" w:type="pct"/>
            <w:tcBorders>
              <w:top w:val="nil"/>
              <w:left w:val="nil"/>
              <w:bottom w:val="nil"/>
              <w:right w:val="nil"/>
            </w:tcBorders>
            <w:shd w:val="clear" w:color="auto" w:fill="auto"/>
            <w:noWrap/>
            <w:vAlign w:val="center"/>
            <w:hideMark/>
          </w:tcPr>
          <w:p w14:paraId="0F8F857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623</w:t>
            </w:r>
          </w:p>
        </w:tc>
        <w:tc>
          <w:tcPr>
            <w:tcW w:w="275" w:type="pct"/>
            <w:tcBorders>
              <w:top w:val="nil"/>
              <w:left w:val="single" w:sz="4" w:space="0" w:color="auto"/>
              <w:bottom w:val="nil"/>
              <w:right w:val="nil"/>
            </w:tcBorders>
            <w:shd w:val="clear" w:color="auto" w:fill="auto"/>
            <w:noWrap/>
            <w:vAlign w:val="center"/>
            <w:hideMark/>
          </w:tcPr>
          <w:p w14:paraId="1000350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w:t>
            </w:r>
          </w:p>
        </w:tc>
        <w:tc>
          <w:tcPr>
            <w:tcW w:w="545" w:type="pct"/>
            <w:tcBorders>
              <w:top w:val="nil"/>
              <w:left w:val="nil"/>
              <w:bottom w:val="nil"/>
              <w:right w:val="nil"/>
            </w:tcBorders>
            <w:shd w:val="clear" w:color="auto" w:fill="auto"/>
            <w:noWrap/>
            <w:vAlign w:val="center"/>
            <w:hideMark/>
          </w:tcPr>
          <w:p w14:paraId="72FFC8C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1.207</w:t>
            </w:r>
          </w:p>
        </w:tc>
      </w:tr>
      <w:tr w:rsidR="00B63DA0" w:rsidRPr="00606E51" w14:paraId="72481DD5" w14:textId="77777777" w:rsidTr="00EC5CC6">
        <w:trPr>
          <w:trHeight w:val="20"/>
        </w:trPr>
        <w:tc>
          <w:tcPr>
            <w:tcW w:w="957" w:type="pct"/>
            <w:tcBorders>
              <w:top w:val="nil"/>
              <w:left w:val="nil"/>
              <w:bottom w:val="nil"/>
              <w:right w:val="nil"/>
            </w:tcBorders>
            <w:shd w:val="clear" w:color="auto" w:fill="auto"/>
            <w:noWrap/>
            <w:vAlign w:val="bottom"/>
            <w:hideMark/>
          </w:tcPr>
          <w:p w14:paraId="28D2CB4F"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Tratado</w:t>
            </w:r>
          </w:p>
        </w:tc>
        <w:tc>
          <w:tcPr>
            <w:tcW w:w="275" w:type="pct"/>
            <w:tcBorders>
              <w:top w:val="nil"/>
              <w:left w:val="nil"/>
              <w:bottom w:val="nil"/>
              <w:right w:val="nil"/>
            </w:tcBorders>
            <w:shd w:val="clear" w:color="auto" w:fill="auto"/>
            <w:noWrap/>
            <w:vAlign w:val="center"/>
            <w:hideMark/>
          </w:tcPr>
          <w:p w14:paraId="39CE6546"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3E100486"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078A5735"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61404D84"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7AEAA2CE"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1674C195"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83337A4"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7FEA3F21"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5884C9C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793E9E34"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052F8EAA" w14:textId="77777777" w:rsidTr="00EC5CC6">
        <w:trPr>
          <w:trHeight w:val="20"/>
        </w:trPr>
        <w:tc>
          <w:tcPr>
            <w:tcW w:w="957" w:type="pct"/>
            <w:tcBorders>
              <w:top w:val="nil"/>
              <w:left w:val="nil"/>
              <w:bottom w:val="nil"/>
              <w:right w:val="nil"/>
            </w:tcBorders>
            <w:shd w:val="clear" w:color="auto" w:fill="auto"/>
            <w:noWrap/>
            <w:vAlign w:val="bottom"/>
            <w:hideMark/>
          </w:tcPr>
          <w:p w14:paraId="53AD78C7"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NA</w:t>
            </w:r>
          </w:p>
        </w:tc>
        <w:tc>
          <w:tcPr>
            <w:tcW w:w="275" w:type="pct"/>
            <w:tcBorders>
              <w:top w:val="nil"/>
              <w:left w:val="nil"/>
              <w:bottom w:val="nil"/>
              <w:right w:val="nil"/>
            </w:tcBorders>
            <w:shd w:val="clear" w:color="auto" w:fill="auto"/>
            <w:noWrap/>
            <w:vAlign w:val="center"/>
            <w:hideMark/>
          </w:tcPr>
          <w:p w14:paraId="40FF42A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1BAC209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2.321</w:t>
            </w:r>
          </w:p>
        </w:tc>
        <w:tc>
          <w:tcPr>
            <w:tcW w:w="333" w:type="pct"/>
            <w:tcBorders>
              <w:top w:val="nil"/>
              <w:left w:val="nil"/>
              <w:bottom w:val="nil"/>
              <w:right w:val="nil"/>
            </w:tcBorders>
            <w:shd w:val="clear" w:color="auto" w:fill="auto"/>
            <w:noWrap/>
            <w:vAlign w:val="center"/>
            <w:hideMark/>
          </w:tcPr>
          <w:p w14:paraId="356BDFC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450" w:type="pct"/>
            <w:tcBorders>
              <w:top w:val="nil"/>
              <w:left w:val="nil"/>
              <w:bottom w:val="nil"/>
              <w:right w:val="nil"/>
            </w:tcBorders>
            <w:shd w:val="clear" w:color="auto" w:fill="auto"/>
            <w:noWrap/>
            <w:vAlign w:val="center"/>
            <w:hideMark/>
          </w:tcPr>
          <w:p w14:paraId="0673DC3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945</w:t>
            </w:r>
          </w:p>
        </w:tc>
        <w:tc>
          <w:tcPr>
            <w:tcW w:w="275" w:type="pct"/>
            <w:tcBorders>
              <w:top w:val="nil"/>
              <w:left w:val="nil"/>
              <w:bottom w:val="nil"/>
              <w:right w:val="nil"/>
            </w:tcBorders>
            <w:shd w:val="clear" w:color="auto" w:fill="auto"/>
            <w:noWrap/>
            <w:vAlign w:val="center"/>
            <w:hideMark/>
          </w:tcPr>
          <w:p w14:paraId="25D3C91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98%</w:t>
            </w:r>
          </w:p>
        </w:tc>
        <w:tc>
          <w:tcPr>
            <w:tcW w:w="535" w:type="pct"/>
            <w:tcBorders>
              <w:top w:val="nil"/>
              <w:left w:val="nil"/>
              <w:bottom w:val="nil"/>
              <w:right w:val="nil"/>
            </w:tcBorders>
            <w:shd w:val="clear" w:color="auto" w:fill="auto"/>
            <w:noWrap/>
            <w:vAlign w:val="center"/>
            <w:hideMark/>
          </w:tcPr>
          <w:p w14:paraId="48D5C65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2.526</w:t>
            </w:r>
          </w:p>
        </w:tc>
        <w:tc>
          <w:tcPr>
            <w:tcW w:w="275" w:type="pct"/>
            <w:tcBorders>
              <w:top w:val="nil"/>
              <w:left w:val="nil"/>
              <w:bottom w:val="nil"/>
              <w:right w:val="nil"/>
            </w:tcBorders>
            <w:shd w:val="clear" w:color="auto" w:fill="auto"/>
            <w:noWrap/>
            <w:vAlign w:val="center"/>
            <w:hideMark/>
          </w:tcPr>
          <w:p w14:paraId="4C274C7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36" w:type="pct"/>
            <w:tcBorders>
              <w:top w:val="nil"/>
              <w:left w:val="nil"/>
              <w:bottom w:val="nil"/>
              <w:right w:val="nil"/>
            </w:tcBorders>
            <w:shd w:val="clear" w:color="auto" w:fill="auto"/>
            <w:noWrap/>
            <w:vAlign w:val="center"/>
            <w:hideMark/>
          </w:tcPr>
          <w:p w14:paraId="1AADBFB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3.984</w:t>
            </w:r>
          </w:p>
        </w:tc>
        <w:tc>
          <w:tcPr>
            <w:tcW w:w="275" w:type="pct"/>
            <w:tcBorders>
              <w:top w:val="nil"/>
              <w:left w:val="single" w:sz="4" w:space="0" w:color="auto"/>
              <w:bottom w:val="nil"/>
              <w:right w:val="nil"/>
            </w:tcBorders>
            <w:shd w:val="clear" w:color="auto" w:fill="auto"/>
            <w:noWrap/>
            <w:vAlign w:val="center"/>
            <w:hideMark/>
          </w:tcPr>
          <w:p w14:paraId="16A159D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4700CFC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9.776</w:t>
            </w:r>
          </w:p>
        </w:tc>
      </w:tr>
      <w:tr w:rsidR="00B63DA0" w:rsidRPr="00606E51" w14:paraId="3BE39FE7" w14:textId="77777777" w:rsidTr="00EC5CC6">
        <w:trPr>
          <w:trHeight w:val="20"/>
        </w:trPr>
        <w:tc>
          <w:tcPr>
            <w:tcW w:w="957" w:type="pct"/>
            <w:tcBorders>
              <w:top w:val="nil"/>
              <w:left w:val="nil"/>
              <w:bottom w:val="nil"/>
              <w:right w:val="nil"/>
            </w:tcBorders>
            <w:shd w:val="clear" w:color="auto" w:fill="auto"/>
            <w:noWrap/>
            <w:vAlign w:val="bottom"/>
            <w:hideMark/>
          </w:tcPr>
          <w:p w14:paraId="0C80B7EC"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5" w:type="pct"/>
            <w:tcBorders>
              <w:top w:val="nil"/>
              <w:left w:val="nil"/>
              <w:bottom w:val="nil"/>
              <w:right w:val="nil"/>
            </w:tcBorders>
            <w:shd w:val="clear" w:color="auto" w:fill="auto"/>
            <w:noWrap/>
            <w:vAlign w:val="center"/>
            <w:hideMark/>
          </w:tcPr>
          <w:p w14:paraId="411C99F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014CAD7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25</w:t>
            </w:r>
          </w:p>
        </w:tc>
        <w:tc>
          <w:tcPr>
            <w:tcW w:w="333" w:type="pct"/>
            <w:tcBorders>
              <w:top w:val="nil"/>
              <w:left w:val="nil"/>
              <w:bottom w:val="nil"/>
              <w:right w:val="nil"/>
            </w:tcBorders>
            <w:shd w:val="clear" w:color="auto" w:fill="auto"/>
            <w:noWrap/>
            <w:vAlign w:val="center"/>
            <w:hideMark/>
          </w:tcPr>
          <w:p w14:paraId="75A89D2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60A1CDF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3A67583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535" w:type="pct"/>
            <w:tcBorders>
              <w:top w:val="nil"/>
              <w:left w:val="nil"/>
              <w:bottom w:val="nil"/>
              <w:right w:val="nil"/>
            </w:tcBorders>
            <w:shd w:val="clear" w:color="auto" w:fill="auto"/>
            <w:noWrap/>
            <w:vAlign w:val="center"/>
            <w:hideMark/>
          </w:tcPr>
          <w:p w14:paraId="29B02DD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41</w:t>
            </w:r>
          </w:p>
        </w:tc>
        <w:tc>
          <w:tcPr>
            <w:tcW w:w="275" w:type="pct"/>
            <w:tcBorders>
              <w:top w:val="nil"/>
              <w:left w:val="nil"/>
              <w:bottom w:val="nil"/>
              <w:right w:val="nil"/>
            </w:tcBorders>
            <w:shd w:val="clear" w:color="auto" w:fill="auto"/>
            <w:noWrap/>
            <w:vAlign w:val="center"/>
            <w:hideMark/>
          </w:tcPr>
          <w:p w14:paraId="66DC691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6" w:type="pct"/>
            <w:tcBorders>
              <w:top w:val="nil"/>
              <w:left w:val="nil"/>
              <w:bottom w:val="nil"/>
              <w:right w:val="nil"/>
            </w:tcBorders>
            <w:shd w:val="clear" w:color="auto" w:fill="auto"/>
            <w:noWrap/>
            <w:vAlign w:val="center"/>
            <w:hideMark/>
          </w:tcPr>
          <w:p w14:paraId="30B8E0E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50</w:t>
            </w:r>
          </w:p>
        </w:tc>
        <w:tc>
          <w:tcPr>
            <w:tcW w:w="275" w:type="pct"/>
            <w:tcBorders>
              <w:top w:val="nil"/>
              <w:left w:val="single" w:sz="4" w:space="0" w:color="auto"/>
              <w:bottom w:val="nil"/>
              <w:right w:val="nil"/>
            </w:tcBorders>
            <w:shd w:val="clear" w:color="auto" w:fill="auto"/>
            <w:noWrap/>
            <w:vAlign w:val="center"/>
            <w:hideMark/>
          </w:tcPr>
          <w:p w14:paraId="3F993C0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74A0121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116</w:t>
            </w:r>
          </w:p>
        </w:tc>
      </w:tr>
      <w:tr w:rsidR="00B63DA0" w:rsidRPr="00606E51" w14:paraId="7C892F46" w14:textId="77777777" w:rsidTr="00EC5CC6">
        <w:trPr>
          <w:trHeight w:val="20"/>
        </w:trPr>
        <w:tc>
          <w:tcPr>
            <w:tcW w:w="957" w:type="pct"/>
            <w:tcBorders>
              <w:top w:val="nil"/>
              <w:left w:val="nil"/>
              <w:bottom w:val="nil"/>
              <w:right w:val="nil"/>
            </w:tcBorders>
            <w:shd w:val="clear" w:color="auto" w:fill="auto"/>
            <w:noWrap/>
            <w:vAlign w:val="bottom"/>
            <w:hideMark/>
          </w:tcPr>
          <w:p w14:paraId="267A31C4"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Recuperado</w:t>
            </w:r>
          </w:p>
        </w:tc>
        <w:tc>
          <w:tcPr>
            <w:tcW w:w="275" w:type="pct"/>
            <w:tcBorders>
              <w:top w:val="nil"/>
              <w:left w:val="nil"/>
              <w:bottom w:val="nil"/>
              <w:right w:val="nil"/>
            </w:tcBorders>
            <w:shd w:val="clear" w:color="auto" w:fill="auto"/>
            <w:noWrap/>
            <w:vAlign w:val="center"/>
            <w:hideMark/>
          </w:tcPr>
          <w:p w14:paraId="38D405AB"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38EA4651"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0E985910"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059D60CE"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019775D6"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2A9052A8"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7DBFCE8C"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4263BC32"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0737989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7AE69FB0"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25263B2F" w14:textId="77777777" w:rsidTr="00EC5CC6">
        <w:trPr>
          <w:trHeight w:val="20"/>
        </w:trPr>
        <w:tc>
          <w:tcPr>
            <w:tcW w:w="957" w:type="pct"/>
            <w:tcBorders>
              <w:top w:val="nil"/>
              <w:left w:val="nil"/>
              <w:bottom w:val="nil"/>
              <w:right w:val="nil"/>
            </w:tcBorders>
            <w:shd w:val="clear" w:color="auto" w:fill="auto"/>
            <w:noWrap/>
            <w:vAlign w:val="bottom"/>
            <w:hideMark/>
          </w:tcPr>
          <w:p w14:paraId="35E798E0"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5" w:type="pct"/>
            <w:tcBorders>
              <w:top w:val="nil"/>
              <w:left w:val="nil"/>
              <w:bottom w:val="nil"/>
              <w:right w:val="nil"/>
            </w:tcBorders>
            <w:shd w:val="clear" w:color="auto" w:fill="auto"/>
            <w:noWrap/>
            <w:vAlign w:val="center"/>
            <w:hideMark/>
          </w:tcPr>
          <w:p w14:paraId="10E09A6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138F15E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w:t>
            </w:r>
          </w:p>
        </w:tc>
        <w:tc>
          <w:tcPr>
            <w:tcW w:w="333" w:type="pct"/>
            <w:tcBorders>
              <w:top w:val="nil"/>
              <w:left w:val="nil"/>
              <w:bottom w:val="nil"/>
              <w:right w:val="nil"/>
            </w:tcBorders>
            <w:shd w:val="clear" w:color="auto" w:fill="auto"/>
            <w:noWrap/>
            <w:vAlign w:val="center"/>
            <w:hideMark/>
          </w:tcPr>
          <w:p w14:paraId="73487EF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3F3B6BC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65A16A3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5" w:type="pct"/>
            <w:tcBorders>
              <w:top w:val="nil"/>
              <w:left w:val="nil"/>
              <w:bottom w:val="nil"/>
              <w:right w:val="nil"/>
            </w:tcBorders>
            <w:shd w:val="clear" w:color="auto" w:fill="auto"/>
            <w:noWrap/>
            <w:vAlign w:val="center"/>
            <w:hideMark/>
          </w:tcPr>
          <w:p w14:paraId="7C745BB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275" w:type="pct"/>
            <w:tcBorders>
              <w:top w:val="nil"/>
              <w:left w:val="nil"/>
              <w:bottom w:val="nil"/>
              <w:right w:val="nil"/>
            </w:tcBorders>
            <w:shd w:val="clear" w:color="auto" w:fill="auto"/>
            <w:noWrap/>
            <w:vAlign w:val="center"/>
            <w:hideMark/>
          </w:tcPr>
          <w:p w14:paraId="16EEEA2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6" w:type="pct"/>
            <w:tcBorders>
              <w:top w:val="nil"/>
              <w:left w:val="nil"/>
              <w:bottom w:val="nil"/>
              <w:right w:val="nil"/>
            </w:tcBorders>
            <w:shd w:val="clear" w:color="auto" w:fill="auto"/>
            <w:noWrap/>
            <w:vAlign w:val="center"/>
            <w:hideMark/>
          </w:tcPr>
          <w:p w14:paraId="669A757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26</w:t>
            </w:r>
          </w:p>
        </w:tc>
        <w:tc>
          <w:tcPr>
            <w:tcW w:w="275" w:type="pct"/>
            <w:tcBorders>
              <w:top w:val="nil"/>
              <w:left w:val="single" w:sz="4" w:space="0" w:color="auto"/>
              <w:bottom w:val="nil"/>
              <w:right w:val="nil"/>
            </w:tcBorders>
            <w:shd w:val="clear" w:color="auto" w:fill="auto"/>
            <w:noWrap/>
            <w:vAlign w:val="center"/>
            <w:hideMark/>
          </w:tcPr>
          <w:p w14:paraId="4E99747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70165E2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66</w:t>
            </w:r>
          </w:p>
        </w:tc>
      </w:tr>
      <w:tr w:rsidR="00B63DA0" w:rsidRPr="00606E51" w14:paraId="693D978E" w14:textId="77777777" w:rsidTr="00EC5CC6">
        <w:trPr>
          <w:trHeight w:val="20"/>
        </w:trPr>
        <w:tc>
          <w:tcPr>
            <w:tcW w:w="957" w:type="pct"/>
            <w:tcBorders>
              <w:top w:val="nil"/>
              <w:left w:val="nil"/>
              <w:bottom w:val="nil"/>
              <w:right w:val="nil"/>
            </w:tcBorders>
            <w:shd w:val="clear" w:color="auto" w:fill="auto"/>
            <w:noWrap/>
            <w:vAlign w:val="bottom"/>
            <w:hideMark/>
          </w:tcPr>
          <w:p w14:paraId="46B9453A"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NA</w:t>
            </w:r>
          </w:p>
        </w:tc>
        <w:tc>
          <w:tcPr>
            <w:tcW w:w="275" w:type="pct"/>
            <w:tcBorders>
              <w:top w:val="nil"/>
              <w:left w:val="nil"/>
              <w:bottom w:val="nil"/>
              <w:right w:val="nil"/>
            </w:tcBorders>
            <w:shd w:val="clear" w:color="auto" w:fill="auto"/>
            <w:noWrap/>
            <w:vAlign w:val="center"/>
            <w:hideMark/>
          </w:tcPr>
          <w:p w14:paraId="4CA1A30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6FF81F0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2.328</w:t>
            </w:r>
          </w:p>
        </w:tc>
        <w:tc>
          <w:tcPr>
            <w:tcW w:w="333" w:type="pct"/>
            <w:tcBorders>
              <w:top w:val="nil"/>
              <w:left w:val="nil"/>
              <w:bottom w:val="nil"/>
              <w:right w:val="nil"/>
            </w:tcBorders>
            <w:shd w:val="clear" w:color="auto" w:fill="auto"/>
            <w:noWrap/>
            <w:vAlign w:val="center"/>
            <w:hideMark/>
          </w:tcPr>
          <w:p w14:paraId="1CCB476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450" w:type="pct"/>
            <w:tcBorders>
              <w:top w:val="nil"/>
              <w:left w:val="nil"/>
              <w:bottom w:val="nil"/>
              <w:right w:val="nil"/>
            </w:tcBorders>
            <w:shd w:val="clear" w:color="auto" w:fill="auto"/>
            <w:noWrap/>
            <w:vAlign w:val="center"/>
            <w:hideMark/>
          </w:tcPr>
          <w:p w14:paraId="3D80126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945</w:t>
            </w:r>
          </w:p>
        </w:tc>
        <w:tc>
          <w:tcPr>
            <w:tcW w:w="275" w:type="pct"/>
            <w:tcBorders>
              <w:top w:val="nil"/>
              <w:left w:val="nil"/>
              <w:bottom w:val="nil"/>
              <w:right w:val="nil"/>
            </w:tcBorders>
            <w:shd w:val="clear" w:color="auto" w:fill="auto"/>
            <w:noWrap/>
            <w:vAlign w:val="center"/>
            <w:hideMark/>
          </w:tcPr>
          <w:p w14:paraId="754F42F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35" w:type="pct"/>
            <w:tcBorders>
              <w:top w:val="nil"/>
              <w:left w:val="nil"/>
              <w:bottom w:val="nil"/>
              <w:right w:val="nil"/>
            </w:tcBorders>
            <w:shd w:val="clear" w:color="auto" w:fill="auto"/>
            <w:noWrap/>
            <w:vAlign w:val="center"/>
            <w:hideMark/>
          </w:tcPr>
          <w:p w14:paraId="7CC93BD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2.545</w:t>
            </w:r>
          </w:p>
        </w:tc>
        <w:tc>
          <w:tcPr>
            <w:tcW w:w="275" w:type="pct"/>
            <w:tcBorders>
              <w:top w:val="nil"/>
              <w:left w:val="nil"/>
              <w:bottom w:val="nil"/>
              <w:right w:val="nil"/>
            </w:tcBorders>
            <w:shd w:val="clear" w:color="auto" w:fill="auto"/>
            <w:noWrap/>
            <w:vAlign w:val="center"/>
            <w:hideMark/>
          </w:tcPr>
          <w:p w14:paraId="4F08E0B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36" w:type="pct"/>
            <w:tcBorders>
              <w:top w:val="nil"/>
              <w:left w:val="nil"/>
              <w:bottom w:val="nil"/>
              <w:right w:val="nil"/>
            </w:tcBorders>
            <w:shd w:val="clear" w:color="auto" w:fill="auto"/>
            <w:noWrap/>
            <w:vAlign w:val="center"/>
            <w:hideMark/>
          </w:tcPr>
          <w:p w14:paraId="22A2EA2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4.008</w:t>
            </w:r>
          </w:p>
        </w:tc>
        <w:tc>
          <w:tcPr>
            <w:tcW w:w="275" w:type="pct"/>
            <w:tcBorders>
              <w:top w:val="nil"/>
              <w:left w:val="single" w:sz="4" w:space="0" w:color="auto"/>
              <w:bottom w:val="nil"/>
              <w:right w:val="nil"/>
            </w:tcBorders>
            <w:shd w:val="clear" w:color="auto" w:fill="auto"/>
            <w:noWrap/>
            <w:vAlign w:val="center"/>
            <w:hideMark/>
          </w:tcPr>
          <w:p w14:paraId="5EFDFA8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508068B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9.826</w:t>
            </w:r>
          </w:p>
        </w:tc>
      </w:tr>
      <w:tr w:rsidR="00B63DA0" w:rsidRPr="00606E51" w14:paraId="2A456326" w14:textId="77777777" w:rsidTr="00EC5CC6">
        <w:trPr>
          <w:trHeight w:val="20"/>
        </w:trPr>
        <w:tc>
          <w:tcPr>
            <w:tcW w:w="957" w:type="pct"/>
            <w:tcBorders>
              <w:top w:val="nil"/>
              <w:left w:val="nil"/>
              <w:bottom w:val="nil"/>
              <w:right w:val="nil"/>
            </w:tcBorders>
            <w:shd w:val="clear" w:color="auto" w:fill="auto"/>
            <w:noWrap/>
            <w:vAlign w:val="bottom"/>
            <w:hideMark/>
          </w:tcPr>
          <w:p w14:paraId="7AEC1E70"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¿Mejoró?</w:t>
            </w:r>
          </w:p>
        </w:tc>
        <w:tc>
          <w:tcPr>
            <w:tcW w:w="275" w:type="pct"/>
            <w:tcBorders>
              <w:top w:val="nil"/>
              <w:left w:val="nil"/>
              <w:bottom w:val="nil"/>
              <w:right w:val="nil"/>
            </w:tcBorders>
            <w:shd w:val="clear" w:color="auto" w:fill="auto"/>
            <w:noWrap/>
            <w:vAlign w:val="center"/>
            <w:hideMark/>
          </w:tcPr>
          <w:p w14:paraId="4F58B88E"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19AD01D2"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1D2B8DCA"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2AEB3036"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BA55971"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31650504"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0B7E3071"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03150531"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5874EDB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18D12356"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66AECDF6" w14:textId="77777777" w:rsidTr="00EC5CC6">
        <w:trPr>
          <w:trHeight w:val="20"/>
        </w:trPr>
        <w:tc>
          <w:tcPr>
            <w:tcW w:w="957" w:type="pct"/>
            <w:tcBorders>
              <w:top w:val="nil"/>
              <w:left w:val="nil"/>
              <w:bottom w:val="nil"/>
              <w:right w:val="nil"/>
            </w:tcBorders>
            <w:shd w:val="clear" w:color="auto" w:fill="auto"/>
            <w:noWrap/>
            <w:vAlign w:val="bottom"/>
            <w:hideMark/>
          </w:tcPr>
          <w:p w14:paraId="42F97887"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No</w:t>
            </w:r>
          </w:p>
        </w:tc>
        <w:tc>
          <w:tcPr>
            <w:tcW w:w="275" w:type="pct"/>
            <w:tcBorders>
              <w:top w:val="nil"/>
              <w:left w:val="nil"/>
              <w:bottom w:val="nil"/>
              <w:right w:val="nil"/>
            </w:tcBorders>
            <w:shd w:val="clear" w:color="auto" w:fill="auto"/>
            <w:noWrap/>
            <w:vAlign w:val="center"/>
            <w:hideMark/>
          </w:tcPr>
          <w:p w14:paraId="7791B71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2C291A3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333" w:type="pct"/>
            <w:tcBorders>
              <w:top w:val="nil"/>
              <w:left w:val="nil"/>
              <w:bottom w:val="nil"/>
              <w:right w:val="nil"/>
            </w:tcBorders>
            <w:shd w:val="clear" w:color="auto" w:fill="auto"/>
            <w:noWrap/>
            <w:vAlign w:val="center"/>
            <w:hideMark/>
          </w:tcPr>
          <w:p w14:paraId="3FDE659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51EC875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A109F2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5" w:type="pct"/>
            <w:tcBorders>
              <w:top w:val="nil"/>
              <w:left w:val="nil"/>
              <w:bottom w:val="nil"/>
              <w:right w:val="nil"/>
            </w:tcBorders>
            <w:shd w:val="clear" w:color="auto" w:fill="auto"/>
            <w:noWrap/>
            <w:vAlign w:val="center"/>
            <w:hideMark/>
          </w:tcPr>
          <w:p w14:paraId="6AB725E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w:t>
            </w:r>
          </w:p>
        </w:tc>
        <w:tc>
          <w:tcPr>
            <w:tcW w:w="275" w:type="pct"/>
            <w:tcBorders>
              <w:top w:val="nil"/>
              <w:left w:val="nil"/>
              <w:bottom w:val="nil"/>
              <w:right w:val="nil"/>
            </w:tcBorders>
            <w:shd w:val="clear" w:color="auto" w:fill="auto"/>
            <w:noWrap/>
            <w:vAlign w:val="center"/>
            <w:hideMark/>
          </w:tcPr>
          <w:p w14:paraId="0F364E1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36" w:type="pct"/>
            <w:tcBorders>
              <w:top w:val="nil"/>
              <w:left w:val="nil"/>
              <w:bottom w:val="nil"/>
              <w:right w:val="nil"/>
            </w:tcBorders>
            <w:shd w:val="clear" w:color="auto" w:fill="auto"/>
            <w:noWrap/>
            <w:vAlign w:val="center"/>
            <w:hideMark/>
          </w:tcPr>
          <w:p w14:paraId="315D7D4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275" w:type="pct"/>
            <w:tcBorders>
              <w:top w:val="nil"/>
              <w:left w:val="single" w:sz="4" w:space="0" w:color="auto"/>
              <w:bottom w:val="nil"/>
              <w:right w:val="nil"/>
            </w:tcBorders>
            <w:shd w:val="clear" w:color="auto" w:fill="auto"/>
            <w:noWrap/>
            <w:vAlign w:val="center"/>
            <w:hideMark/>
          </w:tcPr>
          <w:p w14:paraId="6A9CC35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545" w:type="pct"/>
            <w:tcBorders>
              <w:top w:val="nil"/>
              <w:left w:val="nil"/>
              <w:bottom w:val="nil"/>
              <w:right w:val="nil"/>
            </w:tcBorders>
            <w:shd w:val="clear" w:color="auto" w:fill="auto"/>
            <w:noWrap/>
            <w:vAlign w:val="center"/>
            <w:hideMark/>
          </w:tcPr>
          <w:p w14:paraId="1AFFE98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32</w:t>
            </w:r>
          </w:p>
        </w:tc>
      </w:tr>
      <w:tr w:rsidR="00B63DA0" w:rsidRPr="00606E51" w14:paraId="3DF3E89F" w14:textId="77777777" w:rsidTr="00EC5CC6">
        <w:trPr>
          <w:trHeight w:val="20"/>
        </w:trPr>
        <w:tc>
          <w:tcPr>
            <w:tcW w:w="957" w:type="pct"/>
            <w:tcBorders>
              <w:top w:val="nil"/>
              <w:left w:val="nil"/>
              <w:bottom w:val="nil"/>
              <w:right w:val="nil"/>
            </w:tcBorders>
            <w:shd w:val="clear" w:color="auto" w:fill="auto"/>
            <w:noWrap/>
            <w:vAlign w:val="bottom"/>
            <w:hideMark/>
          </w:tcPr>
          <w:p w14:paraId="5B20421D"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5" w:type="pct"/>
            <w:tcBorders>
              <w:top w:val="nil"/>
              <w:left w:val="nil"/>
              <w:bottom w:val="nil"/>
              <w:right w:val="nil"/>
            </w:tcBorders>
            <w:shd w:val="clear" w:color="auto" w:fill="auto"/>
            <w:noWrap/>
            <w:vAlign w:val="center"/>
            <w:hideMark/>
          </w:tcPr>
          <w:p w14:paraId="7F95340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19F9635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333" w:type="pct"/>
            <w:tcBorders>
              <w:top w:val="nil"/>
              <w:left w:val="nil"/>
              <w:bottom w:val="nil"/>
              <w:right w:val="nil"/>
            </w:tcBorders>
            <w:shd w:val="clear" w:color="auto" w:fill="auto"/>
            <w:noWrap/>
            <w:vAlign w:val="center"/>
            <w:hideMark/>
          </w:tcPr>
          <w:p w14:paraId="0F65751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450" w:type="pct"/>
            <w:tcBorders>
              <w:top w:val="nil"/>
              <w:left w:val="nil"/>
              <w:bottom w:val="nil"/>
              <w:right w:val="nil"/>
            </w:tcBorders>
            <w:shd w:val="clear" w:color="auto" w:fill="auto"/>
            <w:noWrap/>
            <w:vAlign w:val="center"/>
            <w:hideMark/>
          </w:tcPr>
          <w:p w14:paraId="424A0E2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2E0DF8B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5" w:type="pct"/>
            <w:tcBorders>
              <w:top w:val="nil"/>
              <w:left w:val="nil"/>
              <w:bottom w:val="nil"/>
              <w:right w:val="nil"/>
            </w:tcBorders>
            <w:shd w:val="clear" w:color="auto" w:fill="auto"/>
            <w:noWrap/>
            <w:vAlign w:val="center"/>
            <w:hideMark/>
          </w:tcPr>
          <w:p w14:paraId="690B325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30</w:t>
            </w:r>
          </w:p>
        </w:tc>
        <w:tc>
          <w:tcPr>
            <w:tcW w:w="275" w:type="pct"/>
            <w:tcBorders>
              <w:top w:val="nil"/>
              <w:left w:val="nil"/>
              <w:bottom w:val="nil"/>
              <w:right w:val="nil"/>
            </w:tcBorders>
            <w:shd w:val="clear" w:color="auto" w:fill="auto"/>
            <w:noWrap/>
            <w:vAlign w:val="center"/>
            <w:hideMark/>
          </w:tcPr>
          <w:p w14:paraId="6D96ED5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36" w:type="pct"/>
            <w:tcBorders>
              <w:top w:val="nil"/>
              <w:left w:val="nil"/>
              <w:bottom w:val="nil"/>
              <w:right w:val="nil"/>
            </w:tcBorders>
            <w:shd w:val="clear" w:color="auto" w:fill="auto"/>
            <w:noWrap/>
            <w:vAlign w:val="center"/>
            <w:hideMark/>
          </w:tcPr>
          <w:p w14:paraId="521D577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35</w:t>
            </w:r>
          </w:p>
        </w:tc>
        <w:tc>
          <w:tcPr>
            <w:tcW w:w="275" w:type="pct"/>
            <w:tcBorders>
              <w:top w:val="nil"/>
              <w:left w:val="single" w:sz="4" w:space="0" w:color="auto"/>
              <w:bottom w:val="nil"/>
              <w:right w:val="nil"/>
            </w:tcBorders>
            <w:shd w:val="clear" w:color="auto" w:fill="auto"/>
            <w:noWrap/>
            <w:vAlign w:val="center"/>
            <w:hideMark/>
          </w:tcPr>
          <w:p w14:paraId="4AB03C5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545" w:type="pct"/>
            <w:tcBorders>
              <w:top w:val="nil"/>
              <w:left w:val="nil"/>
              <w:bottom w:val="nil"/>
              <w:right w:val="nil"/>
            </w:tcBorders>
            <w:shd w:val="clear" w:color="auto" w:fill="auto"/>
            <w:noWrap/>
            <w:vAlign w:val="center"/>
            <w:hideMark/>
          </w:tcPr>
          <w:p w14:paraId="660737C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84</w:t>
            </w:r>
          </w:p>
        </w:tc>
      </w:tr>
      <w:tr w:rsidR="00B63DA0" w:rsidRPr="00606E51" w14:paraId="32090CF3" w14:textId="77777777" w:rsidTr="00EC5CC6">
        <w:trPr>
          <w:trHeight w:val="20"/>
        </w:trPr>
        <w:tc>
          <w:tcPr>
            <w:tcW w:w="957" w:type="pct"/>
            <w:tcBorders>
              <w:top w:val="nil"/>
              <w:left w:val="nil"/>
              <w:bottom w:val="nil"/>
              <w:right w:val="nil"/>
            </w:tcBorders>
            <w:shd w:val="clear" w:color="auto" w:fill="auto"/>
            <w:noWrap/>
            <w:vAlign w:val="bottom"/>
            <w:hideMark/>
          </w:tcPr>
          <w:p w14:paraId="512FE3FE"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NA</w:t>
            </w:r>
          </w:p>
        </w:tc>
        <w:tc>
          <w:tcPr>
            <w:tcW w:w="275" w:type="pct"/>
            <w:tcBorders>
              <w:top w:val="nil"/>
              <w:left w:val="nil"/>
              <w:bottom w:val="nil"/>
              <w:right w:val="nil"/>
            </w:tcBorders>
            <w:shd w:val="clear" w:color="auto" w:fill="auto"/>
            <w:noWrap/>
            <w:vAlign w:val="center"/>
            <w:hideMark/>
          </w:tcPr>
          <w:p w14:paraId="354A650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0211E07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2.321</w:t>
            </w:r>
          </w:p>
        </w:tc>
        <w:tc>
          <w:tcPr>
            <w:tcW w:w="333" w:type="pct"/>
            <w:tcBorders>
              <w:top w:val="nil"/>
              <w:left w:val="nil"/>
              <w:bottom w:val="nil"/>
              <w:right w:val="nil"/>
            </w:tcBorders>
            <w:shd w:val="clear" w:color="auto" w:fill="auto"/>
            <w:noWrap/>
            <w:vAlign w:val="center"/>
            <w:hideMark/>
          </w:tcPr>
          <w:p w14:paraId="02DDB7F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100%</w:t>
            </w:r>
          </w:p>
        </w:tc>
        <w:tc>
          <w:tcPr>
            <w:tcW w:w="450" w:type="pct"/>
            <w:tcBorders>
              <w:top w:val="nil"/>
              <w:left w:val="nil"/>
              <w:bottom w:val="nil"/>
              <w:right w:val="nil"/>
            </w:tcBorders>
            <w:shd w:val="clear" w:color="auto" w:fill="auto"/>
            <w:noWrap/>
            <w:vAlign w:val="center"/>
            <w:hideMark/>
          </w:tcPr>
          <w:p w14:paraId="0EE713B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945</w:t>
            </w:r>
          </w:p>
        </w:tc>
        <w:tc>
          <w:tcPr>
            <w:tcW w:w="275" w:type="pct"/>
            <w:tcBorders>
              <w:top w:val="nil"/>
              <w:left w:val="nil"/>
              <w:bottom w:val="nil"/>
              <w:right w:val="nil"/>
            </w:tcBorders>
            <w:shd w:val="clear" w:color="auto" w:fill="auto"/>
            <w:noWrap/>
            <w:vAlign w:val="center"/>
            <w:hideMark/>
          </w:tcPr>
          <w:p w14:paraId="51EC188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98%</w:t>
            </w:r>
          </w:p>
        </w:tc>
        <w:tc>
          <w:tcPr>
            <w:tcW w:w="535" w:type="pct"/>
            <w:tcBorders>
              <w:top w:val="nil"/>
              <w:left w:val="nil"/>
              <w:bottom w:val="nil"/>
              <w:right w:val="nil"/>
            </w:tcBorders>
            <w:shd w:val="clear" w:color="auto" w:fill="auto"/>
            <w:noWrap/>
            <w:vAlign w:val="center"/>
            <w:hideMark/>
          </w:tcPr>
          <w:p w14:paraId="69770A4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2.526</w:t>
            </w:r>
          </w:p>
        </w:tc>
        <w:tc>
          <w:tcPr>
            <w:tcW w:w="275" w:type="pct"/>
            <w:tcBorders>
              <w:top w:val="nil"/>
              <w:left w:val="nil"/>
              <w:bottom w:val="nil"/>
              <w:right w:val="nil"/>
            </w:tcBorders>
            <w:shd w:val="clear" w:color="auto" w:fill="auto"/>
            <w:noWrap/>
            <w:vAlign w:val="center"/>
            <w:hideMark/>
          </w:tcPr>
          <w:p w14:paraId="16D2DFE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36" w:type="pct"/>
            <w:tcBorders>
              <w:top w:val="nil"/>
              <w:left w:val="nil"/>
              <w:bottom w:val="nil"/>
              <w:right w:val="nil"/>
            </w:tcBorders>
            <w:shd w:val="clear" w:color="auto" w:fill="auto"/>
            <w:noWrap/>
            <w:vAlign w:val="center"/>
            <w:hideMark/>
          </w:tcPr>
          <w:p w14:paraId="32E44FA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3.984</w:t>
            </w:r>
          </w:p>
        </w:tc>
        <w:tc>
          <w:tcPr>
            <w:tcW w:w="275" w:type="pct"/>
            <w:tcBorders>
              <w:top w:val="nil"/>
              <w:left w:val="single" w:sz="4" w:space="0" w:color="auto"/>
              <w:bottom w:val="nil"/>
              <w:right w:val="nil"/>
            </w:tcBorders>
            <w:shd w:val="clear" w:color="auto" w:fill="auto"/>
            <w:noWrap/>
            <w:vAlign w:val="center"/>
            <w:hideMark/>
          </w:tcPr>
          <w:p w14:paraId="7BD1608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545" w:type="pct"/>
            <w:tcBorders>
              <w:top w:val="nil"/>
              <w:left w:val="nil"/>
              <w:bottom w:val="nil"/>
              <w:right w:val="nil"/>
            </w:tcBorders>
            <w:shd w:val="clear" w:color="auto" w:fill="auto"/>
            <w:noWrap/>
            <w:vAlign w:val="center"/>
            <w:hideMark/>
          </w:tcPr>
          <w:p w14:paraId="2A70521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9.776</w:t>
            </w:r>
          </w:p>
        </w:tc>
      </w:tr>
      <w:tr w:rsidR="00B63DA0" w:rsidRPr="00606E51" w14:paraId="3234B89C" w14:textId="77777777" w:rsidTr="00EC5CC6">
        <w:trPr>
          <w:trHeight w:val="20"/>
        </w:trPr>
        <w:tc>
          <w:tcPr>
            <w:tcW w:w="957" w:type="pct"/>
            <w:tcBorders>
              <w:top w:val="nil"/>
              <w:left w:val="nil"/>
              <w:bottom w:val="nil"/>
              <w:right w:val="nil"/>
            </w:tcBorders>
            <w:shd w:val="clear" w:color="auto" w:fill="auto"/>
            <w:noWrap/>
            <w:vAlign w:val="bottom"/>
            <w:hideMark/>
          </w:tcPr>
          <w:p w14:paraId="204297A7"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Edad (años)</w:t>
            </w:r>
          </w:p>
        </w:tc>
        <w:tc>
          <w:tcPr>
            <w:tcW w:w="275" w:type="pct"/>
            <w:tcBorders>
              <w:top w:val="nil"/>
              <w:left w:val="nil"/>
              <w:bottom w:val="nil"/>
              <w:right w:val="nil"/>
            </w:tcBorders>
            <w:shd w:val="clear" w:color="auto" w:fill="auto"/>
            <w:noWrap/>
            <w:vAlign w:val="center"/>
            <w:hideMark/>
          </w:tcPr>
          <w:p w14:paraId="35C09F2F"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39A7ACC9"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709C6545"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3AE6087F"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25E0B081"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37DFF977"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26721157"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010FF88C"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5CBEC05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1CE5AD44"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5DBBD4F4" w14:textId="77777777" w:rsidTr="00EC5CC6">
        <w:trPr>
          <w:trHeight w:val="20"/>
        </w:trPr>
        <w:tc>
          <w:tcPr>
            <w:tcW w:w="957" w:type="pct"/>
            <w:tcBorders>
              <w:top w:val="nil"/>
              <w:left w:val="nil"/>
              <w:bottom w:val="nil"/>
              <w:right w:val="nil"/>
            </w:tcBorders>
            <w:shd w:val="clear" w:color="auto" w:fill="auto"/>
            <w:noWrap/>
            <w:vAlign w:val="bottom"/>
            <w:hideMark/>
          </w:tcPr>
          <w:p w14:paraId="2B9B0746"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0</w:t>
            </w:r>
          </w:p>
        </w:tc>
        <w:tc>
          <w:tcPr>
            <w:tcW w:w="275" w:type="pct"/>
            <w:tcBorders>
              <w:top w:val="nil"/>
              <w:left w:val="nil"/>
              <w:bottom w:val="nil"/>
              <w:right w:val="nil"/>
            </w:tcBorders>
            <w:shd w:val="clear" w:color="auto" w:fill="auto"/>
            <w:noWrap/>
            <w:vAlign w:val="center"/>
            <w:hideMark/>
          </w:tcPr>
          <w:p w14:paraId="7572D0A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545" w:type="pct"/>
            <w:tcBorders>
              <w:top w:val="nil"/>
              <w:left w:val="nil"/>
              <w:bottom w:val="nil"/>
              <w:right w:val="nil"/>
            </w:tcBorders>
            <w:shd w:val="clear" w:color="auto" w:fill="auto"/>
            <w:noWrap/>
            <w:vAlign w:val="center"/>
            <w:hideMark/>
          </w:tcPr>
          <w:p w14:paraId="50BBC12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513</w:t>
            </w:r>
          </w:p>
        </w:tc>
        <w:tc>
          <w:tcPr>
            <w:tcW w:w="333" w:type="pct"/>
            <w:tcBorders>
              <w:top w:val="nil"/>
              <w:left w:val="nil"/>
              <w:bottom w:val="nil"/>
              <w:right w:val="nil"/>
            </w:tcBorders>
            <w:shd w:val="clear" w:color="auto" w:fill="auto"/>
            <w:noWrap/>
            <w:vAlign w:val="center"/>
            <w:hideMark/>
          </w:tcPr>
          <w:p w14:paraId="4DECF1D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450" w:type="pct"/>
            <w:tcBorders>
              <w:top w:val="nil"/>
              <w:left w:val="nil"/>
              <w:bottom w:val="nil"/>
              <w:right w:val="nil"/>
            </w:tcBorders>
            <w:shd w:val="clear" w:color="auto" w:fill="auto"/>
            <w:noWrap/>
            <w:vAlign w:val="center"/>
            <w:hideMark/>
          </w:tcPr>
          <w:p w14:paraId="1605CF2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189</w:t>
            </w:r>
          </w:p>
        </w:tc>
        <w:tc>
          <w:tcPr>
            <w:tcW w:w="275" w:type="pct"/>
            <w:tcBorders>
              <w:top w:val="nil"/>
              <w:left w:val="nil"/>
              <w:bottom w:val="nil"/>
              <w:right w:val="nil"/>
            </w:tcBorders>
            <w:shd w:val="clear" w:color="auto" w:fill="auto"/>
            <w:noWrap/>
            <w:vAlign w:val="center"/>
            <w:hideMark/>
          </w:tcPr>
          <w:p w14:paraId="77E9823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27%</w:t>
            </w:r>
          </w:p>
        </w:tc>
        <w:tc>
          <w:tcPr>
            <w:tcW w:w="535" w:type="pct"/>
            <w:tcBorders>
              <w:top w:val="nil"/>
              <w:left w:val="nil"/>
              <w:bottom w:val="nil"/>
              <w:right w:val="nil"/>
            </w:tcBorders>
            <w:shd w:val="clear" w:color="auto" w:fill="auto"/>
            <w:noWrap/>
            <w:vAlign w:val="center"/>
            <w:hideMark/>
          </w:tcPr>
          <w:p w14:paraId="5435001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682</w:t>
            </w:r>
          </w:p>
        </w:tc>
        <w:tc>
          <w:tcPr>
            <w:tcW w:w="275" w:type="pct"/>
            <w:tcBorders>
              <w:top w:val="nil"/>
              <w:left w:val="nil"/>
              <w:bottom w:val="nil"/>
              <w:right w:val="nil"/>
            </w:tcBorders>
            <w:shd w:val="clear" w:color="auto" w:fill="auto"/>
            <w:noWrap/>
            <w:vAlign w:val="center"/>
            <w:hideMark/>
          </w:tcPr>
          <w:p w14:paraId="1050A40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36" w:type="pct"/>
            <w:tcBorders>
              <w:top w:val="nil"/>
              <w:left w:val="nil"/>
              <w:bottom w:val="nil"/>
              <w:right w:val="nil"/>
            </w:tcBorders>
            <w:shd w:val="clear" w:color="auto" w:fill="auto"/>
            <w:noWrap/>
            <w:vAlign w:val="center"/>
            <w:hideMark/>
          </w:tcPr>
          <w:p w14:paraId="00B28E0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799</w:t>
            </w:r>
          </w:p>
        </w:tc>
        <w:tc>
          <w:tcPr>
            <w:tcW w:w="275" w:type="pct"/>
            <w:tcBorders>
              <w:top w:val="nil"/>
              <w:left w:val="single" w:sz="4" w:space="0" w:color="auto"/>
              <w:bottom w:val="nil"/>
              <w:right w:val="nil"/>
            </w:tcBorders>
            <w:shd w:val="clear" w:color="auto" w:fill="auto"/>
            <w:noWrap/>
            <w:vAlign w:val="center"/>
            <w:hideMark/>
          </w:tcPr>
          <w:p w14:paraId="5D00177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545" w:type="pct"/>
            <w:tcBorders>
              <w:top w:val="nil"/>
              <w:left w:val="nil"/>
              <w:bottom w:val="nil"/>
              <w:right w:val="nil"/>
            </w:tcBorders>
            <w:shd w:val="clear" w:color="auto" w:fill="auto"/>
            <w:noWrap/>
            <w:vAlign w:val="center"/>
            <w:hideMark/>
          </w:tcPr>
          <w:p w14:paraId="6791C19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2.183</w:t>
            </w:r>
          </w:p>
        </w:tc>
      </w:tr>
      <w:tr w:rsidR="00B63DA0" w:rsidRPr="00606E51" w14:paraId="081C860D" w14:textId="77777777" w:rsidTr="00EC5CC6">
        <w:trPr>
          <w:trHeight w:val="20"/>
        </w:trPr>
        <w:tc>
          <w:tcPr>
            <w:tcW w:w="957" w:type="pct"/>
            <w:tcBorders>
              <w:top w:val="nil"/>
              <w:left w:val="nil"/>
              <w:bottom w:val="nil"/>
              <w:right w:val="nil"/>
            </w:tcBorders>
            <w:shd w:val="clear" w:color="auto" w:fill="auto"/>
            <w:noWrap/>
            <w:vAlign w:val="bottom"/>
            <w:hideMark/>
          </w:tcPr>
          <w:p w14:paraId="09E58975"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w:t>
            </w:r>
          </w:p>
        </w:tc>
        <w:tc>
          <w:tcPr>
            <w:tcW w:w="275" w:type="pct"/>
            <w:tcBorders>
              <w:top w:val="nil"/>
              <w:left w:val="nil"/>
              <w:bottom w:val="nil"/>
              <w:right w:val="nil"/>
            </w:tcBorders>
            <w:shd w:val="clear" w:color="auto" w:fill="auto"/>
            <w:noWrap/>
            <w:vAlign w:val="center"/>
            <w:hideMark/>
          </w:tcPr>
          <w:p w14:paraId="45D707C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45" w:type="pct"/>
            <w:tcBorders>
              <w:top w:val="nil"/>
              <w:left w:val="nil"/>
              <w:bottom w:val="nil"/>
              <w:right w:val="nil"/>
            </w:tcBorders>
            <w:shd w:val="clear" w:color="auto" w:fill="auto"/>
            <w:noWrap/>
            <w:vAlign w:val="center"/>
            <w:hideMark/>
          </w:tcPr>
          <w:p w14:paraId="6553031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475</w:t>
            </w:r>
          </w:p>
        </w:tc>
        <w:tc>
          <w:tcPr>
            <w:tcW w:w="333" w:type="pct"/>
            <w:tcBorders>
              <w:top w:val="nil"/>
              <w:left w:val="nil"/>
              <w:bottom w:val="nil"/>
              <w:right w:val="nil"/>
            </w:tcBorders>
            <w:shd w:val="clear" w:color="auto" w:fill="auto"/>
            <w:noWrap/>
            <w:vAlign w:val="center"/>
            <w:hideMark/>
          </w:tcPr>
          <w:p w14:paraId="3CAA450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450" w:type="pct"/>
            <w:tcBorders>
              <w:top w:val="nil"/>
              <w:left w:val="nil"/>
              <w:bottom w:val="nil"/>
              <w:right w:val="nil"/>
            </w:tcBorders>
            <w:shd w:val="clear" w:color="auto" w:fill="auto"/>
            <w:noWrap/>
            <w:vAlign w:val="center"/>
            <w:hideMark/>
          </w:tcPr>
          <w:p w14:paraId="6B25DAF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194</w:t>
            </w:r>
          </w:p>
        </w:tc>
        <w:tc>
          <w:tcPr>
            <w:tcW w:w="275" w:type="pct"/>
            <w:tcBorders>
              <w:top w:val="nil"/>
              <w:left w:val="nil"/>
              <w:bottom w:val="nil"/>
              <w:right w:val="nil"/>
            </w:tcBorders>
            <w:shd w:val="clear" w:color="auto" w:fill="auto"/>
            <w:noWrap/>
            <w:vAlign w:val="center"/>
            <w:hideMark/>
          </w:tcPr>
          <w:p w14:paraId="264DA73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w:t>
            </w:r>
          </w:p>
        </w:tc>
        <w:tc>
          <w:tcPr>
            <w:tcW w:w="535" w:type="pct"/>
            <w:tcBorders>
              <w:top w:val="nil"/>
              <w:left w:val="nil"/>
              <w:bottom w:val="nil"/>
              <w:right w:val="nil"/>
            </w:tcBorders>
            <w:shd w:val="clear" w:color="auto" w:fill="auto"/>
            <w:noWrap/>
            <w:vAlign w:val="center"/>
            <w:hideMark/>
          </w:tcPr>
          <w:p w14:paraId="0C13FA0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559</w:t>
            </w:r>
          </w:p>
        </w:tc>
        <w:tc>
          <w:tcPr>
            <w:tcW w:w="275" w:type="pct"/>
            <w:tcBorders>
              <w:top w:val="nil"/>
              <w:left w:val="nil"/>
              <w:bottom w:val="nil"/>
              <w:right w:val="nil"/>
            </w:tcBorders>
            <w:shd w:val="clear" w:color="auto" w:fill="auto"/>
            <w:noWrap/>
            <w:vAlign w:val="center"/>
            <w:hideMark/>
          </w:tcPr>
          <w:p w14:paraId="756B1E8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536" w:type="pct"/>
            <w:tcBorders>
              <w:top w:val="nil"/>
              <w:left w:val="nil"/>
              <w:bottom w:val="nil"/>
              <w:right w:val="nil"/>
            </w:tcBorders>
            <w:shd w:val="clear" w:color="auto" w:fill="auto"/>
            <w:noWrap/>
            <w:vAlign w:val="center"/>
            <w:hideMark/>
          </w:tcPr>
          <w:p w14:paraId="298002C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866</w:t>
            </w:r>
          </w:p>
        </w:tc>
        <w:tc>
          <w:tcPr>
            <w:tcW w:w="275" w:type="pct"/>
            <w:tcBorders>
              <w:top w:val="nil"/>
              <w:left w:val="single" w:sz="4" w:space="0" w:color="auto"/>
              <w:bottom w:val="nil"/>
              <w:right w:val="nil"/>
            </w:tcBorders>
            <w:shd w:val="clear" w:color="auto" w:fill="auto"/>
            <w:noWrap/>
            <w:vAlign w:val="center"/>
            <w:hideMark/>
          </w:tcPr>
          <w:p w14:paraId="2EF77A5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545" w:type="pct"/>
            <w:tcBorders>
              <w:top w:val="nil"/>
              <w:left w:val="nil"/>
              <w:bottom w:val="nil"/>
              <w:right w:val="nil"/>
            </w:tcBorders>
            <w:shd w:val="clear" w:color="auto" w:fill="auto"/>
            <w:noWrap/>
            <w:vAlign w:val="center"/>
            <w:hideMark/>
          </w:tcPr>
          <w:p w14:paraId="671E151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2.094</w:t>
            </w:r>
          </w:p>
        </w:tc>
      </w:tr>
      <w:tr w:rsidR="00B63DA0" w:rsidRPr="00606E51" w14:paraId="367455F9" w14:textId="77777777" w:rsidTr="00EC5CC6">
        <w:trPr>
          <w:trHeight w:val="20"/>
        </w:trPr>
        <w:tc>
          <w:tcPr>
            <w:tcW w:w="957" w:type="pct"/>
            <w:tcBorders>
              <w:top w:val="nil"/>
              <w:left w:val="nil"/>
              <w:bottom w:val="nil"/>
              <w:right w:val="nil"/>
            </w:tcBorders>
            <w:shd w:val="clear" w:color="auto" w:fill="auto"/>
            <w:noWrap/>
            <w:vAlign w:val="bottom"/>
            <w:hideMark/>
          </w:tcPr>
          <w:p w14:paraId="494F6103"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w:t>
            </w:r>
          </w:p>
        </w:tc>
        <w:tc>
          <w:tcPr>
            <w:tcW w:w="275" w:type="pct"/>
            <w:tcBorders>
              <w:top w:val="nil"/>
              <w:left w:val="nil"/>
              <w:bottom w:val="nil"/>
              <w:right w:val="nil"/>
            </w:tcBorders>
            <w:shd w:val="clear" w:color="auto" w:fill="auto"/>
            <w:noWrap/>
            <w:vAlign w:val="center"/>
            <w:hideMark/>
          </w:tcPr>
          <w:p w14:paraId="0549841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545" w:type="pct"/>
            <w:tcBorders>
              <w:top w:val="nil"/>
              <w:left w:val="nil"/>
              <w:bottom w:val="nil"/>
              <w:right w:val="nil"/>
            </w:tcBorders>
            <w:shd w:val="clear" w:color="auto" w:fill="auto"/>
            <w:noWrap/>
            <w:vAlign w:val="center"/>
            <w:hideMark/>
          </w:tcPr>
          <w:p w14:paraId="705D0B3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486</w:t>
            </w:r>
          </w:p>
        </w:tc>
        <w:tc>
          <w:tcPr>
            <w:tcW w:w="333" w:type="pct"/>
            <w:tcBorders>
              <w:top w:val="nil"/>
              <w:left w:val="nil"/>
              <w:bottom w:val="nil"/>
              <w:right w:val="nil"/>
            </w:tcBorders>
            <w:shd w:val="clear" w:color="auto" w:fill="auto"/>
            <w:noWrap/>
            <w:vAlign w:val="center"/>
            <w:hideMark/>
          </w:tcPr>
          <w:p w14:paraId="3C844B4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w:t>
            </w:r>
          </w:p>
        </w:tc>
        <w:tc>
          <w:tcPr>
            <w:tcW w:w="450" w:type="pct"/>
            <w:tcBorders>
              <w:top w:val="nil"/>
              <w:left w:val="nil"/>
              <w:bottom w:val="nil"/>
              <w:right w:val="nil"/>
            </w:tcBorders>
            <w:shd w:val="clear" w:color="auto" w:fill="auto"/>
            <w:noWrap/>
            <w:vAlign w:val="center"/>
            <w:hideMark/>
          </w:tcPr>
          <w:p w14:paraId="3A486D8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222</w:t>
            </w:r>
          </w:p>
        </w:tc>
        <w:tc>
          <w:tcPr>
            <w:tcW w:w="275" w:type="pct"/>
            <w:tcBorders>
              <w:top w:val="nil"/>
              <w:left w:val="nil"/>
              <w:bottom w:val="nil"/>
              <w:right w:val="nil"/>
            </w:tcBorders>
            <w:shd w:val="clear" w:color="auto" w:fill="auto"/>
            <w:noWrap/>
            <w:vAlign w:val="center"/>
            <w:hideMark/>
          </w:tcPr>
          <w:p w14:paraId="079DED1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35" w:type="pct"/>
            <w:tcBorders>
              <w:top w:val="nil"/>
              <w:left w:val="nil"/>
              <w:bottom w:val="nil"/>
              <w:right w:val="nil"/>
            </w:tcBorders>
            <w:shd w:val="clear" w:color="auto" w:fill="auto"/>
            <w:noWrap/>
            <w:vAlign w:val="center"/>
            <w:hideMark/>
          </w:tcPr>
          <w:p w14:paraId="509D758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521</w:t>
            </w:r>
          </w:p>
        </w:tc>
        <w:tc>
          <w:tcPr>
            <w:tcW w:w="275" w:type="pct"/>
            <w:tcBorders>
              <w:top w:val="nil"/>
              <w:left w:val="nil"/>
              <w:bottom w:val="nil"/>
              <w:right w:val="nil"/>
            </w:tcBorders>
            <w:shd w:val="clear" w:color="auto" w:fill="auto"/>
            <w:noWrap/>
            <w:vAlign w:val="center"/>
            <w:hideMark/>
          </w:tcPr>
          <w:p w14:paraId="43B2A4A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36" w:type="pct"/>
            <w:tcBorders>
              <w:top w:val="nil"/>
              <w:left w:val="nil"/>
              <w:bottom w:val="nil"/>
              <w:right w:val="nil"/>
            </w:tcBorders>
            <w:shd w:val="clear" w:color="auto" w:fill="auto"/>
            <w:noWrap/>
            <w:vAlign w:val="center"/>
            <w:hideMark/>
          </w:tcPr>
          <w:p w14:paraId="3763174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823</w:t>
            </w:r>
          </w:p>
        </w:tc>
        <w:tc>
          <w:tcPr>
            <w:tcW w:w="275" w:type="pct"/>
            <w:tcBorders>
              <w:top w:val="nil"/>
              <w:left w:val="single" w:sz="4" w:space="0" w:color="auto"/>
              <w:bottom w:val="nil"/>
              <w:right w:val="nil"/>
            </w:tcBorders>
            <w:shd w:val="clear" w:color="auto" w:fill="auto"/>
            <w:noWrap/>
            <w:vAlign w:val="center"/>
            <w:hideMark/>
          </w:tcPr>
          <w:p w14:paraId="6F8191C7"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w:t>
            </w:r>
          </w:p>
        </w:tc>
        <w:tc>
          <w:tcPr>
            <w:tcW w:w="545" w:type="pct"/>
            <w:tcBorders>
              <w:top w:val="nil"/>
              <w:left w:val="nil"/>
              <w:bottom w:val="nil"/>
              <w:right w:val="nil"/>
            </w:tcBorders>
            <w:shd w:val="clear" w:color="auto" w:fill="auto"/>
            <w:noWrap/>
            <w:vAlign w:val="center"/>
            <w:hideMark/>
          </w:tcPr>
          <w:p w14:paraId="58C270F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2.052</w:t>
            </w:r>
          </w:p>
        </w:tc>
      </w:tr>
      <w:tr w:rsidR="00B63DA0" w:rsidRPr="00606E51" w14:paraId="6D676898" w14:textId="77777777" w:rsidTr="00EC5CC6">
        <w:trPr>
          <w:trHeight w:val="20"/>
        </w:trPr>
        <w:tc>
          <w:tcPr>
            <w:tcW w:w="957" w:type="pct"/>
            <w:tcBorders>
              <w:top w:val="nil"/>
              <w:left w:val="nil"/>
              <w:bottom w:val="nil"/>
              <w:right w:val="nil"/>
            </w:tcBorders>
            <w:shd w:val="clear" w:color="auto" w:fill="auto"/>
            <w:noWrap/>
            <w:vAlign w:val="bottom"/>
            <w:hideMark/>
          </w:tcPr>
          <w:p w14:paraId="28130BAC"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w:t>
            </w:r>
          </w:p>
        </w:tc>
        <w:tc>
          <w:tcPr>
            <w:tcW w:w="275" w:type="pct"/>
            <w:tcBorders>
              <w:top w:val="nil"/>
              <w:left w:val="nil"/>
              <w:bottom w:val="nil"/>
              <w:right w:val="nil"/>
            </w:tcBorders>
            <w:shd w:val="clear" w:color="auto" w:fill="auto"/>
            <w:noWrap/>
            <w:vAlign w:val="center"/>
            <w:hideMark/>
          </w:tcPr>
          <w:p w14:paraId="7DB393A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w:t>
            </w:r>
          </w:p>
        </w:tc>
        <w:tc>
          <w:tcPr>
            <w:tcW w:w="545" w:type="pct"/>
            <w:tcBorders>
              <w:top w:val="nil"/>
              <w:left w:val="nil"/>
              <w:bottom w:val="nil"/>
              <w:right w:val="nil"/>
            </w:tcBorders>
            <w:shd w:val="clear" w:color="auto" w:fill="auto"/>
            <w:noWrap/>
            <w:vAlign w:val="center"/>
            <w:hideMark/>
          </w:tcPr>
          <w:p w14:paraId="6D3398F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469</w:t>
            </w:r>
          </w:p>
        </w:tc>
        <w:tc>
          <w:tcPr>
            <w:tcW w:w="333" w:type="pct"/>
            <w:tcBorders>
              <w:top w:val="nil"/>
              <w:left w:val="nil"/>
              <w:bottom w:val="nil"/>
              <w:right w:val="nil"/>
            </w:tcBorders>
            <w:shd w:val="clear" w:color="auto" w:fill="auto"/>
            <w:noWrap/>
            <w:vAlign w:val="center"/>
            <w:hideMark/>
          </w:tcPr>
          <w:p w14:paraId="6F81653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450" w:type="pct"/>
            <w:tcBorders>
              <w:top w:val="nil"/>
              <w:left w:val="nil"/>
              <w:bottom w:val="nil"/>
              <w:right w:val="nil"/>
            </w:tcBorders>
            <w:shd w:val="clear" w:color="auto" w:fill="auto"/>
            <w:noWrap/>
            <w:vAlign w:val="center"/>
            <w:hideMark/>
          </w:tcPr>
          <w:p w14:paraId="5216106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179</w:t>
            </w:r>
          </w:p>
        </w:tc>
        <w:tc>
          <w:tcPr>
            <w:tcW w:w="275" w:type="pct"/>
            <w:tcBorders>
              <w:top w:val="nil"/>
              <w:left w:val="nil"/>
              <w:bottom w:val="nil"/>
              <w:right w:val="nil"/>
            </w:tcBorders>
            <w:shd w:val="clear" w:color="auto" w:fill="auto"/>
            <w:noWrap/>
            <w:vAlign w:val="center"/>
            <w:hideMark/>
          </w:tcPr>
          <w:p w14:paraId="33803CA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35" w:type="pct"/>
            <w:tcBorders>
              <w:top w:val="nil"/>
              <w:left w:val="nil"/>
              <w:bottom w:val="nil"/>
              <w:right w:val="nil"/>
            </w:tcBorders>
            <w:shd w:val="clear" w:color="auto" w:fill="auto"/>
            <w:noWrap/>
            <w:vAlign w:val="center"/>
            <w:hideMark/>
          </w:tcPr>
          <w:p w14:paraId="59A28D9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425</w:t>
            </w:r>
          </w:p>
        </w:tc>
        <w:tc>
          <w:tcPr>
            <w:tcW w:w="275" w:type="pct"/>
            <w:tcBorders>
              <w:top w:val="nil"/>
              <w:left w:val="nil"/>
              <w:bottom w:val="nil"/>
              <w:right w:val="nil"/>
            </w:tcBorders>
            <w:shd w:val="clear" w:color="auto" w:fill="auto"/>
            <w:noWrap/>
            <w:vAlign w:val="center"/>
            <w:hideMark/>
          </w:tcPr>
          <w:p w14:paraId="4C1F581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536" w:type="pct"/>
            <w:tcBorders>
              <w:top w:val="nil"/>
              <w:left w:val="nil"/>
              <w:bottom w:val="nil"/>
              <w:right w:val="nil"/>
            </w:tcBorders>
            <w:shd w:val="clear" w:color="auto" w:fill="auto"/>
            <w:noWrap/>
            <w:vAlign w:val="center"/>
            <w:hideMark/>
          </w:tcPr>
          <w:p w14:paraId="6983299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777</w:t>
            </w:r>
          </w:p>
        </w:tc>
        <w:tc>
          <w:tcPr>
            <w:tcW w:w="275" w:type="pct"/>
            <w:tcBorders>
              <w:top w:val="nil"/>
              <w:left w:val="single" w:sz="4" w:space="0" w:color="auto"/>
              <w:bottom w:val="nil"/>
              <w:right w:val="nil"/>
            </w:tcBorders>
            <w:shd w:val="clear" w:color="auto" w:fill="auto"/>
            <w:noWrap/>
            <w:vAlign w:val="center"/>
            <w:hideMark/>
          </w:tcPr>
          <w:p w14:paraId="67DF91B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545" w:type="pct"/>
            <w:tcBorders>
              <w:top w:val="nil"/>
              <w:left w:val="nil"/>
              <w:bottom w:val="nil"/>
              <w:right w:val="nil"/>
            </w:tcBorders>
            <w:shd w:val="clear" w:color="auto" w:fill="auto"/>
            <w:noWrap/>
            <w:vAlign w:val="center"/>
            <w:hideMark/>
          </w:tcPr>
          <w:p w14:paraId="06E72AF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1.850</w:t>
            </w:r>
          </w:p>
        </w:tc>
      </w:tr>
      <w:tr w:rsidR="00B63DA0" w:rsidRPr="00606E51" w14:paraId="5534545E" w14:textId="77777777" w:rsidTr="00EC5CC6">
        <w:trPr>
          <w:trHeight w:val="20"/>
        </w:trPr>
        <w:tc>
          <w:tcPr>
            <w:tcW w:w="957" w:type="pct"/>
            <w:tcBorders>
              <w:top w:val="nil"/>
              <w:left w:val="nil"/>
              <w:bottom w:val="nil"/>
              <w:right w:val="nil"/>
            </w:tcBorders>
            <w:shd w:val="clear" w:color="auto" w:fill="auto"/>
            <w:noWrap/>
            <w:vAlign w:val="bottom"/>
            <w:hideMark/>
          </w:tcPr>
          <w:p w14:paraId="33247187"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w:t>
            </w:r>
          </w:p>
        </w:tc>
        <w:tc>
          <w:tcPr>
            <w:tcW w:w="275" w:type="pct"/>
            <w:tcBorders>
              <w:top w:val="nil"/>
              <w:left w:val="nil"/>
              <w:bottom w:val="nil"/>
              <w:right w:val="nil"/>
            </w:tcBorders>
            <w:shd w:val="clear" w:color="auto" w:fill="auto"/>
            <w:noWrap/>
            <w:vAlign w:val="center"/>
            <w:hideMark/>
          </w:tcPr>
          <w:p w14:paraId="1824078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45" w:type="pct"/>
            <w:tcBorders>
              <w:top w:val="nil"/>
              <w:left w:val="nil"/>
              <w:bottom w:val="nil"/>
              <w:right w:val="nil"/>
            </w:tcBorders>
            <w:shd w:val="clear" w:color="auto" w:fill="auto"/>
            <w:noWrap/>
            <w:vAlign w:val="center"/>
            <w:hideMark/>
          </w:tcPr>
          <w:p w14:paraId="3940DA4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403</w:t>
            </w:r>
          </w:p>
        </w:tc>
        <w:tc>
          <w:tcPr>
            <w:tcW w:w="333" w:type="pct"/>
            <w:tcBorders>
              <w:top w:val="nil"/>
              <w:left w:val="nil"/>
              <w:bottom w:val="nil"/>
              <w:right w:val="nil"/>
            </w:tcBorders>
            <w:shd w:val="clear" w:color="auto" w:fill="auto"/>
            <w:noWrap/>
            <w:vAlign w:val="center"/>
            <w:hideMark/>
          </w:tcPr>
          <w:p w14:paraId="080367C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450" w:type="pct"/>
            <w:tcBorders>
              <w:top w:val="nil"/>
              <w:left w:val="nil"/>
              <w:bottom w:val="nil"/>
              <w:right w:val="nil"/>
            </w:tcBorders>
            <w:shd w:val="clear" w:color="auto" w:fill="auto"/>
            <w:noWrap/>
            <w:vAlign w:val="center"/>
            <w:hideMark/>
          </w:tcPr>
          <w:p w14:paraId="05B22DA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161</w:t>
            </w:r>
          </w:p>
        </w:tc>
        <w:tc>
          <w:tcPr>
            <w:tcW w:w="275" w:type="pct"/>
            <w:tcBorders>
              <w:top w:val="nil"/>
              <w:left w:val="nil"/>
              <w:bottom w:val="nil"/>
              <w:right w:val="nil"/>
            </w:tcBorders>
            <w:shd w:val="clear" w:color="auto" w:fill="auto"/>
            <w:noWrap/>
            <w:vAlign w:val="center"/>
            <w:hideMark/>
          </w:tcPr>
          <w:p w14:paraId="1F8DC45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15%</w:t>
            </w:r>
          </w:p>
        </w:tc>
        <w:tc>
          <w:tcPr>
            <w:tcW w:w="535" w:type="pct"/>
            <w:tcBorders>
              <w:top w:val="nil"/>
              <w:left w:val="nil"/>
              <w:bottom w:val="nil"/>
              <w:right w:val="nil"/>
            </w:tcBorders>
            <w:shd w:val="clear" w:color="auto" w:fill="auto"/>
            <w:noWrap/>
            <w:vAlign w:val="center"/>
            <w:hideMark/>
          </w:tcPr>
          <w:p w14:paraId="1CB14C2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380</w:t>
            </w:r>
          </w:p>
        </w:tc>
        <w:tc>
          <w:tcPr>
            <w:tcW w:w="275" w:type="pct"/>
            <w:tcBorders>
              <w:top w:val="nil"/>
              <w:left w:val="nil"/>
              <w:bottom w:val="nil"/>
              <w:right w:val="nil"/>
            </w:tcBorders>
            <w:shd w:val="clear" w:color="auto" w:fill="auto"/>
            <w:noWrap/>
            <w:vAlign w:val="center"/>
            <w:hideMark/>
          </w:tcPr>
          <w:p w14:paraId="58C3C0F2"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19%</w:t>
            </w:r>
          </w:p>
        </w:tc>
        <w:tc>
          <w:tcPr>
            <w:tcW w:w="536" w:type="pct"/>
            <w:tcBorders>
              <w:top w:val="nil"/>
              <w:left w:val="nil"/>
              <w:bottom w:val="nil"/>
              <w:right w:val="nil"/>
            </w:tcBorders>
            <w:shd w:val="clear" w:color="auto" w:fill="auto"/>
            <w:noWrap/>
            <w:vAlign w:val="center"/>
            <w:hideMark/>
          </w:tcPr>
          <w:p w14:paraId="68CDEE0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769</w:t>
            </w:r>
          </w:p>
        </w:tc>
        <w:tc>
          <w:tcPr>
            <w:tcW w:w="275" w:type="pct"/>
            <w:tcBorders>
              <w:top w:val="nil"/>
              <w:left w:val="single" w:sz="4" w:space="0" w:color="auto"/>
              <w:bottom w:val="nil"/>
              <w:right w:val="nil"/>
            </w:tcBorders>
            <w:shd w:val="clear" w:color="auto" w:fill="auto"/>
            <w:noWrap/>
            <w:vAlign w:val="center"/>
            <w:hideMark/>
          </w:tcPr>
          <w:p w14:paraId="3F30CAB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w:t>
            </w:r>
          </w:p>
        </w:tc>
        <w:tc>
          <w:tcPr>
            <w:tcW w:w="545" w:type="pct"/>
            <w:tcBorders>
              <w:top w:val="nil"/>
              <w:left w:val="nil"/>
              <w:bottom w:val="nil"/>
              <w:right w:val="nil"/>
            </w:tcBorders>
            <w:shd w:val="clear" w:color="auto" w:fill="auto"/>
            <w:noWrap/>
            <w:vAlign w:val="center"/>
            <w:hideMark/>
          </w:tcPr>
          <w:p w14:paraId="4DDDE8A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1.713</w:t>
            </w:r>
          </w:p>
        </w:tc>
      </w:tr>
      <w:tr w:rsidR="00B63DA0" w:rsidRPr="00606E51" w14:paraId="4A252E23" w14:textId="77777777" w:rsidTr="00EC5CC6">
        <w:trPr>
          <w:trHeight w:val="20"/>
        </w:trPr>
        <w:tc>
          <w:tcPr>
            <w:tcW w:w="957" w:type="pct"/>
            <w:tcBorders>
              <w:top w:val="nil"/>
              <w:left w:val="nil"/>
              <w:bottom w:val="nil"/>
              <w:right w:val="nil"/>
            </w:tcBorders>
            <w:shd w:val="clear" w:color="auto" w:fill="auto"/>
            <w:noWrap/>
            <w:vAlign w:val="bottom"/>
            <w:hideMark/>
          </w:tcPr>
          <w:p w14:paraId="53958F56"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Menor 5 meses</w:t>
            </w:r>
          </w:p>
        </w:tc>
        <w:tc>
          <w:tcPr>
            <w:tcW w:w="275" w:type="pct"/>
            <w:tcBorders>
              <w:top w:val="nil"/>
              <w:left w:val="nil"/>
              <w:bottom w:val="nil"/>
              <w:right w:val="nil"/>
            </w:tcBorders>
            <w:shd w:val="clear" w:color="auto" w:fill="auto"/>
            <w:noWrap/>
            <w:vAlign w:val="center"/>
            <w:hideMark/>
          </w:tcPr>
          <w:p w14:paraId="2BA8B361" w14:textId="77777777" w:rsidR="00B63DA0" w:rsidRPr="00606E51" w:rsidRDefault="00B63DA0" w:rsidP="00EC5CC6">
            <w:pPr>
              <w:rPr>
                <w:rFonts w:eastAsia="Times New Roman" w:cs="Times New Roman"/>
                <w:b/>
                <w:bCs/>
                <w:color w:val="000000"/>
                <w:sz w:val="16"/>
                <w:szCs w:val="16"/>
                <w:lang w:val="es-CO" w:eastAsia="es-CO"/>
              </w:rPr>
            </w:pPr>
          </w:p>
        </w:tc>
        <w:tc>
          <w:tcPr>
            <w:tcW w:w="545" w:type="pct"/>
            <w:tcBorders>
              <w:top w:val="nil"/>
              <w:left w:val="nil"/>
              <w:bottom w:val="nil"/>
              <w:right w:val="nil"/>
            </w:tcBorders>
            <w:shd w:val="clear" w:color="auto" w:fill="auto"/>
            <w:noWrap/>
            <w:vAlign w:val="center"/>
            <w:hideMark/>
          </w:tcPr>
          <w:p w14:paraId="01F6619D" w14:textId="77777777" w:rsidR="00B63DA0" w:rsidRPr="00606E51" w:rsidRDefault="00B63DA0" w:rsidP="00EC5CC6">
            <w:pPr>
              <w:jc w:val="center"/>
              <w:rPr>
                <w:rFonts w:eastAsia="Times New Roman" w:cs="Times New Roman"/>
                <w:sz w:val="16"/>
                <w:szCs w:val="16"/>
                <w:lang w:val="es-CO" w:eastAsia="es-CO"/>
              </w:rPr>
            </w:pPr>
          </w:p>
        </w:tc>
        <w:tc>
          <w:tcPr>
            <w:tcW w:w="333" w:type="pct"/>
            <w:tcBorders>
              <w:top w:val="nil"/>
              <w:left w:val="nil"/>
              <w:bottom w:val="nil"/>
              <w:right w:val="nil"/>
            </w:tcBorders>
            <w:shd w:val="clear" w:color="auto" w:fill="auto"/>
            <w:noWrap/>
            <w:vAlign w:val="center"/>
            <w:hideMark/>
          </w:tcPr>
          <w:p w14:paraId="640B818D" w14:textId="77777777" w:rsidR="00B63DA0" w:rsidRPr="00606E51" w:rsidRDefault="00B63DA0" w:rsidP="00EC5CC6">
            <w:pPr>
              <w:jc w:val="center"/>
              <w:rPr>
                <w:rFonts w:eastAsia="Times New Roman" w:cs="Times New Roman"/>
                <w:sz w:val="16"/>
                <w:szCs w:val="16"/>
                <w:lang w:val="es-CO" w:eastAsia="es-CO"/>
              </w:rPr>
            </w:pPr>
          </w:p>
        </w:tc>
        <w:tc>
          <w:tcPr>
            <w:tcW w:w="450" w:type="pct"/>
            <w:tcBorders>
              <w:top w:val="nil"/>
              <w:left w:val="nil"/>
              <w:bottom w:val="nil"/>
              <w:right w:val="nil"/>
            </w:tcBorders>
            <w:shd w:val="clear" w:color="auto" w:fill="auto"/>
            <w:noWrap/>
            <w:vAlign w:val="center"/>
            <w:hideMark/>
          </w:tcPr>
          <w:p w14:paraId="2875DCF0"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4CA99E15" w14:textId="77777777" w:rsidR="00B63DA0" w:rsidRPr="00606E51" w:rsidRDefault="00B63DA0" w:rsidP="00EC5CC6">
            <w:pPr>
              <w:jc w:val="center"/>
              <w:rPr>
                <w:rFonts w:eastAsia="Times New Roman" w:cs="Times New Roman"/>
                <w:sz w:val="16"/>
                <w:szCs w:val="16"/>
                <w:lang w:val="es-CO" w:eastAsia="es-CO"/>
              </w:rPr>
            </w:pPr>
          </w:p>
        </w:tc>
        <w:tc>
          <w:tcPr>
            <w:tcW w:w="535" w:type="pct"/>
            <w:tcBorders>
              <w:top w:val="nil"/>
              <w:left w:val="nil"/>
              <w:bottom w:val="nil"/>
              <w:right w:val="nil"/>
            </w:tcBorders>
            <w:shd w:val="clear" w:color="auto" w:fill="auto"/>
            <w:noWrap/>
            <w:vAlign w:val="center"/>
            <w:hideMark/>
          </w:tcPr>
          <w:p w14:paraId="22225CA1"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nil"/>
              <w:bottom w:val="nil"/>
              <w:right w:val="nil"/>
            </w:tcBorders>
            <w:shd w:val="clear" w:color="auto" w:fill="auto"/>
            <w:noWrap/>
            <w:vAlign w:val="center"/>
            <w:hideMark/>
          </w:tcPr>
          <w:p w14:paraId="1B484D87" w14:textId="77777777" w:rsidR="00B63DA0" w:rsidRPr="00606E51" w:rsidRDefault="00B63DA0" w:rsidP="00EC5CC6">
            <w:pPr>
              <w:jc w:val="center"/>
              <w:rPr>
                <w:rFonts w:eastAsia="Times New Roman" w:cs="Times New Roman"/>
                <w:sz w:val="16"/>
                <w:szCs w:val="16"/>
                <w:lang w:val="es-CO" w:eastAsia="es-CO"/>
              </w:rPr>
            </w:pPr>
          </w:p>
        </w:tc>
        <w:tc>
          <w:tcPr>
            <w:tcW w:w="536" w:type="pct"/>
            <w:tcBorders>
              <w:top w:val="nil"/>
              <w:left w:val="nil"/>
              <w:bottom w:val="nil"/>
              <w:right w:val="nil"/>
            </w:tcBorders>
            <w:shd w:val="clear" w:color="auto" w:fill="auto"/>
            <w:noWrap/>
            <w:vAlign w:val="center"/>
            <w:hideMark/>
          </w:tcPr>
          <w:p w14:paraId="3FD300FF" w14:textId="77777777" w:rsidR="00B63DA0" w:rsidRPr="00606E51" w:rsidRDefault="00B63DA0" w:rsidP="00EC5CC6">
            <w:pPr>
              <w:jc w:val="center"/>
              <w:rPr>
                <w:rFonts w:eastAsia="Times New Roman" w:cs="Times New Roman"/>
                <w:sz w:val="16"/>
                <w:szCs w:val="16"/>
                <w:lang w:val="es-CO" w:eastAsia="es-CO"/>
              </w:rPr>
            </w:pPr>
          </w:p>
        </w:tc>
        <w:tc>
          <w:tcPr>
            <w:tcW w:w="275" w:type="pct"/>
            <w:tcBorders>
              <w:top w:val="nil"/>
              <w:left w:val="single" w:sz="4" w:space="0" w:color="auto"/>
              <w:bottom w:val="nil"/>
              <w:right w:val="nil"/>
            </w:tcBorders>
            <w:shd w:val="clear" w:color="auto" w:fill="auto"/>
            <w:noWrap/>
            <w:vAlign w:val="center"/>
            <w:hideMark/>
          </w:tcPr>
          <w:p w14:paraId="1CD9FF0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w:t>
            </w:r>
          </w:p>
        </w:tc>
        <w:tc>
          <w:tcPr>
            <w:tcW w:w="545" w:type="pct"/>
            <w:tcBorders>
              <w:top w:val="nil"/>
              <w:left w:val="nil"/>
              <w:bottom w:val="nil"/>
              <w:right w:val="nil"/>
            </w:tcBorders>
            <w:shd w:val="clear" w:color="auto" w:fill="auto"/>
            <w:noWrap/>
            <w:vAlign w:val="center"/>
            <w:hideMark/>
          </w:tcPr>
          <w:p w14:paraId="7219281F" w14:textId="77777777" w:rsidR="00B63DA0" w:rsidRPr="00606E51" w:rsidRDefault="00B63DA0" w:rsidP="00EC5CC6">
            <w:pPr>
              <w:jc w:val="center"/>
              <w:rPr>
                <w:rFonts w:eastAsia="Times New Roman" w:cs="Times New Roman"/>
                <w:color w:val="000000"/>
                <w:sz w:val="16"/>
                <w:szCs w:val="16"/>
                <w:lang w:val="es-CO" w:eastAsia="es-CO"/>
              </w:rPr>
            </w:pPr>
          </w:p>
        </w:tc>
      </w:tr>
      <w:tr w:rsidR="00B63DA0" w:rsidRPr="00606E51" w14:paraId="3057615B" w14:textId="77777777" w:rsidTr="00EC5CC6">
        <w:trPr>
          <w:trHeight w:val="20"/>
        </w:trPr>
        <w:tc>
          <w:tcPr>
            <w:tcW w:w="957" w:type="pct"/>
            <w:tcBorders>
              <w:top w:val="nil"/>
              <w:left w:val="nil"/>
              <w:bottom w:val="nil"/>
              <w:right w:val="nil"/>
            </w:tcBorders>
            <w:shd w:val="clear" w:color="auto" w:fill="auto"/>
            <w:noWrap/>
            <w:vAlign w:val="bottom"/>
            <w:hideMark/>
          </w:tcPr>
          <w:p w14:paraId="0F67DEBE"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 xml:space="preserve">No </w:t>
            </w:r>
          </w:p>
        </w:tc>
        <w:tc>
          <w:tcPr>
            <w:tcW w:w="275" w:type="pct"/>
            <w:tcBorders>
              <w:top w:val="nil"/>
              <w:left w:val="nil"/>
              <w:bottom w:val="nil"/>
              <w:right w:val="nil"/>
            </w:tcBorders>
            <w:shd w:val="clear" w:color="auto" w:fill="auto"/>
            <w:noWrap/>
            <w:vAlign w:val="center"/>
            <w:hideMark/>
          </w:tcPr>
          <w:p w14:paraId="1ED8D353"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91%</w:t>
            </w:r>
          </w:p>
        </w:tc>
        <w:tc>
          <w:tcPr>
            <w:tcW w:w="545" w:type="pct"/>
            <w:tcBorders>
              <w:top w:val="nil"/>
              <w:left w:val="nil"/>
              <w:bottom w:val="nil"/>
              <w:right w:val="nil"/>
            </w:tcBorders>
            <w:shd w:val="clear" w:color="auto" w:fill="auto"/>
            <w:noWrap/>
            <w:vAlign w:val="center"/>
            <w:hideMark/>
          </w:tcPr>
          <w:p w14:paraId="7F2FE8B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2.143</w:t>
            </w:r>
          </w:p>
        </w:tc>
        <w:tc>
          <w:tcPr>
            <w:tcW w:w="333" w:type="pct"/>
            <w:tcBorders>
              <w:top w:val="nil"/>
              <w:left w:val="nil"/>
              <w:bottom w:val="nil"/>
              <w:right w:val="nil"/>
            </w:tcBorders>
            <w:shd w:val="clear" w:color="auto" w:fill="auto"/>
            <w:noWrap/>
            <w:vAlign w:val="center"/>
            <w:hideMark/>
          </w:tcPr>
          <w:p w14:paraId="6C00E02B"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94%</w:t>
            </w:r>
          </w:p>
        </w:tc>
        <w:tc>
          <w:tcPr>
            <w:tcW w:w="450" w:type="pct"/>
            <w:tcBorders>
              <w:top w:val="nil"/>
              <w:left w:val="nil"/>
              <w:bottom w:val="nil"/>
              <w:right w:val="nil"/>
            </w:tcBorders>
            <w:shd w:val="clear" w:color="auto" w:fill="auto"/>
            <w:noWrap/>
            <w:vAlign w:val="center"/>
            <w:hideMark/>
          </w:tcPr>
          <w:p w14:paraId="78A4CA5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889</w:t>
            </w:r>
          </w:p>
        </w:tc>
        <w:tc>
          <w:tcPr>
            <w:tcW w:w="275" w:type="pct"/>
            <w:tcBorders>
              <w:top w:val="nil"/>
              <w:left w:val="nil"/>
              <w:bottom w:val="nil"/>
              <w:right w:val="nil"/>
            </w:tcBorders>
            <w:shd w:val="clear" w:color="auto" w:fill="auto"/>
            <w:noWrap/>
            <w:vAlign w:val="center"/>
            <w:hideMark/>
          </w:tcPr>
          <w:p w14:paraId="64F2EA5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87%</w:t>
            </w:r>
          </w:p>
        </w:tc>
        <w:tc>
          <w:tcPr>
            <w:tcW w:w="535" w:type="pct"/>
            <w:tcBorders>
              <w:top w:val="nil"/>
              <w:left w:val="nil"/>
              <w:bottom w:val="nil"/>
              <w:right w:val="nil"/>
            </w:tcBorders>
            <w:shd w:val="clear" w:color="auto" w:fill="auto"/>
            <w:noWrap/>
            <w:vAlign w:val="center"/>
            <w:hideMark/>
          </w:tcPr>
          <w:p w14:paraId="5614956C"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2.231</w:t>
            </w:r>
          </w:p>
        </w:tc>
        <w:tc>
          <w:tcPr>
            <w:tcW w:w="275" w:type="pct"/>
            <w:tcBorders>
              <w:top w:val="nil"/>
              <w:left w:val="nil"/>
              <w:bottom w:val="nil"/>
              <w:right w:val="nil"/>
            </w:tcBorders>
            <w:shd w:val="clear" w:color="auto" w:fill="auto"/>
            <w:noWrap/>
            <w:vAlign w:val="center"/>
            <w:hideMark/>
          </w:tcPr>
          <w:p w14:paraId="6EB5223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93%</w:t>
            </w:r>
          </w:p>
        </w:tc>
        <w:tc>
          <w:tcPr>
            <w:tcW w:w="536" w:type="pct"/>
            <w:tcBorders>
              <w:top w:val="nil"/>
              <w:left w:val="nil"/>
              <w:bottom w:val="nil"/>
              <w:right w:val="nil"/>
            </w:tcBorders>
            <w:shd w:val="clear" w:color="auto" w:fill="auto"/>
            <w:noWrap/>
            <w:vAlign w:val="center"/>
            <w:hideMark/>
          </w:tcPr>
          <w:p w14:paraId="35EE1A2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3.741</w:t>
            </w:r>
          </w:p>
        </w:tc>
        <w:tc>
          <w:tcPr>
            <w:tcW w:w="275" w:type="pct"/>
            <w:tcBorders>
              <w:top w:val="nil"/>
              <w:left w:val="single" w:sz="4" w:space="0" w:color="auto"/>
              <w:bottom w:val="nil"/>
              <w:right w:val="nil"/>
            </w:tcBorders>
            <w:shd w:val="clear" w:color="auto" w:fill="auto"/>
            <w:noWrap/>
            <w:vAlign w:val="center"/>
            <w:hideMark/>
          </w:tcPr>
          <w:p w14:paraId="0A6E2E5A"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91%</w:t>
            </w:r>
          </w:p>
        </w:tc>
        <w:tc>
          <w:tcPr>
            <w:tcW w:w="545" w:type="pct"/>
            <w:tcBorders>
              <w:top w:val="nil"/>
              <w:left w:val="nil"/>
              <w:bottom w:val="nil"/>
              <w:right w:val="nil"/>
            </w:tcBorders>
            <w:shd w:val="clear" w:color="auto" w:fill="auto"/>
            <w:noWrap/>
            <w:vAlign w:val="center"/>
            <w:hideMark/>
          </w:tcPr>
          <w:p w14:paraId="3FF4E08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9.004</w:t>
            </w:r>
          </w:p>
        </w:tc>
      </w:tr>
      <w:tr w:rsidR="00B63DA0" w:rsidRPr="00606E51" w14:paraId="59F3B4DF" w14:textId="77777777" w:rsidTr="00EC5CC6">
        <w:trPr>
          <w:trHeight w:val="20"/>
        </w:trPr>
        <w:tc>
          <w:tcPr>
            <w:tcW w:w="957" w:type="pct"/>
            <w:tcBorders>
              <w:top w:val="nil"/>
              <w:left w:val="nil"/>
              <w:bottom w:val="single" w:sz="4" w:space="0" w:color="auto"/>
              <w:right w:val="nil"/>
            </w:tcBorders>
            <w:shd w:val="clear" w:color="auto" w:fill="auto"/>
            <w:noWrap/>
            <w:vAlign w:val="bottom"/>
            <w:hideMark/>
          </w:tcPr>
          <w:p w14:paraId="233EBBA0" w14:textId="77777777" w:rsidR="00B63DA0" w:rsidRPr="00606E51" w:rsidRDefault="00B63DA0" w:rsidP="00EC5CC6">
            <w:pPr>
              <w:ind w:firstLineChars="100" w:firstLine="16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Sí</w:t>
            </w:r>
          </w:p>
        </w:tc>
        <w:tc>
          <w:tcPr>
            <w:tcW w:w="275" w:type="pct"/>
            <w:tcBorders>
              <w:top w:val="nil"/>
              <w:left w:val="nil"/>
              <w:bottom w:val="single" w:sz="4" w:space="0" w:color="auto"/>
              <w:right w:val="nil"/>
            </w:tcBorders>
            <w:shd w:val="clear" w:color="auto" w:fill="auto"/>
            <w:noWrap/>
            <w:vAlign w:val="center"/>
            <w:hideMark/>
          </w:tcPr>
          <w:p w14:paraId="38B09B4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545" w:type="pct"/>
            <w:tcBorders>
              <w:top w:val="nil"/>
              <w:left w:val="nil"/>
              <w:bottom w:val="single" w:sz="4" w:space="0" w:color="auto"/>
              <w:right w:val="nil"/>
            </w:tcBorders>
            <w:shd w:val="clear" w:color="auto" w:fill="auto"/>
            <w:noWrap/>
            <w:vAlign w:val="center"/>
            <w:hideMark/>
          </w:tcPr>
          <w:p w14:paraId="6A40D3F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203</w:t>
            </w:r>
          </w:p>
        </w:tc>
        <w:tc>
          <w:tcPr>
            <w:tcW w:w="333" w:type="pct"/>
            <w:tcBorders>
              <w:top w:val="nil"/>
              <w:left w:val="nil"/>
              <w:bottom w:val="single" w:sz="4" w:space="0" w:color="auto"/>
              <w:right w:val="nil"/>
            </w:tcBorders>
            <w:shd w:val="clear" w:color="auto" w:fill="auto"/>
            <w:noWrap/>
            <w:vAlign w:val="center"/>
            <w:hideMark/>
          </w:tcPr>
          <w:p w14:paraId="540FC1C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w:t>
            </w:r>
          </w:p>
        </w:tc>
        <w:tc>
          <w:tcPr>
            <w:tcW w:w="450" w:type="pct"/>
            <w:tcBorders>
              <w:top w:val="nil"/>
              <w:left w:val="nil"/>
              <w:bottom w:val="single" w:sz="4" w:space="0" w:color="auto"/>
              <w:right w:val="nil"/>
            </w:tcBorders>
            <w:shd w:val="clear" w:color="auto" w:fill="auto"/>
            <w:noWrap/>
            <w:vAlign w:val="center"/>
            <w:hideMark/>
          </w:tcPr>
          <w:p w14:paraId="7B88F6F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56</w:t>
            </w:r>
          </w:p>
        </w:tc>
        <w:tc>
          <w:tcPr>
            <w:tcW w:w="275" w:type="pct"/>
            <w:tcBorders>
              <w:top w:val="nil"/>
              <w:left w:val="nil"/>
              <w:bottom w:val="single" w:sz="4" w:space="0" w:color="auto"/>
              <w:right w:val="nil"/>
            </w:tcBorders>
            <w:shd w:val="clear" w:color="auto" w:fill="auto"/>
            <w:noWrap/>
            <w:vAlign w:val="center"/>
            <w:hideMark/>
          </w:tcPr>
          <w:p w14:paraId="5076F9C8"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w:t>
            </w:r>
          </w:p>
        </w:tc>
        <w:tc>
          <w:tcPr>
            <w:tcW w:w="535" w:type="pct"/>
            <w:tcBorders>
              <w:top w:val="nil"/>
              <w:left w:val="nil"/>
              <w:bottom w:val="single" w:sz="4" w:space="0" w:color="auto"/>
              <w:right w:val="nil"/>
            </w:tcBorders>
            <w:shd w:val="clear" w:color="auto" w:fill="auto"/>
            <w:noWrap/>
            <w:vAlign w:val="center"/>
            <w:hideMark/>
          </w:tcPr>
          <w:p w14:paraId="7F595355"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336</w:t>
            </w:r>
          </w:p>
        </w:tc>
        <w:tc>
          <w:tcPr>
            <w:tcW w:w="275" w:type="pct"/>
            <w:tcBorders>
              <w:top w:val="nil"/>
              <w:left w:val="nil"/>
              <w:bottom w:val="single" w:sz="4" w:space="0" w:color="auto"/>
              <w:right w:val="nil"/>
            </w:tcBorders>
            <w:shd w:val="clear" w:color="auto" w:fill="auto"/>
            <w:noWrap/>
            <w:vAlign w:val="center"/>
            <w:hideMark/>
          </w:tcPr>
          <w:p w14:paraId="20DED06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7%</w:t>
            </w:r>
          </w:p>
        </w:tc>
        <w:tc>
          <w:tcPr>
            <w:tcW w:w="536" w:type="pct"/>
            <w:tcBorders>
              <w:top w:val="nil"/>
              <w:left w:val="nil"/>
              <w:bottom w:val="single" w:sz="4" w:space="0" w:color="auto"/>
              <w:right w:val="nil"/>
            </w:tcBorders>
            <w:shd w:val="clear" w:color="auto" w:fill="auto"/>
            <w:noWrap/>
            <w:vAlign w:val="center"/>
            <w:hideMark/>
          </w:tcPr>
          <w:p w14:paraId="1EECCD51"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293</w:t>
            </w:r>
          </w:p>
        </w:tc>
        <w:tc>
          <w:tcPr>
            <w:tcW w:w="275" w:type="pct"/>
            <w:tcBorders>
              <w:top w:val="nil"/>
              <w:left w:val="single" w:sz="4" w:space="0" w:color="auto"/>
              <w:bottom w:val="single" w:sz="4" w:space="0" w:color="auto"/>
              <w:right w:val="nil"/>
            </w:tcBorders>
            <w:shd w:val="clear" w:color="auto" w:fill="auto"/>
            <w:noWrap/>
            <w:vAlign w:val="center"/>
            <w:hideMark/>
          </w:tcPr>
          <w:p w14:paraId="7D8D591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w:t>
            </w:r>
          </w:p>
        </w:tc>
        <w:tc>
          <w:tcPr>
            <w:tcW w:w="545" w:type="pct"/>
            <w:tcBorders>
              <w:top w:val="nil"/>
              <w:left w:val="nil"/>
              <w:bottom w:val="single" w:sz="4" w:space="0" w:color="auto"/>
              <w:right w:val="nil"/>
            </w:tcBorders>
            <w:shd w:val="clear" w:color="auto" w:fill="auto"/>
            <w:noWrap/>
            <w:vAlign w:val="center"/>
            <w:hideMark/>
          </w:tcPr>
          <w:p w14:paraId="32A0B2AF"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888</w:t>
            </w:r>
          </w:p>
        </w:tc>
      </w:tr>
    </w:tbl>
    <w:p w14:paraId="756EABEB" w14:textId="77777777" w:rsidR="00B63DA0" w:rsidRPr="00606E51" w:rsidRDefault="00B63DA0" w:rsidP="00B63DA0">
      <w:pPr>
        <w:jc w:val="both"/>
        <w:rPr>
          <w:lang w:val="es-CO"/>
        </w:rPr>
      </w:pPr>
      <w:r w:rsidRPr="00606E51">
        <w:rPr>
          <w:sz w:val="20"/>
          <w:lang w:val="es-CO"/>
        </w:rPr>
        <w:t>Fuente: MSPS</w:t>
      </w:r>
    </w:p>
    <w:p w14:paraId="31C65F91" w14:textId="77777777" w:rsidR="00B63DA0" w:rsidRPr="00606E51" w:rsidRDefault="00B63DA0" w:rsidP="00B63DA0">
      <w:pPr>
        <w:jc w:val="both"/>
        <w:rPr>
          <w:lang w:val="es-CO"/>
        </w:rPr>
      </w:pPr>
    </w:p>
    <w:p w14:paraId="224D07A2" w14:textId="77777777" w:rsidR="00B63DA0" w:rsidRPr="00606E51" w:rsidRDefault="00B63DA0" w:rsidP="00B63DA0">
      <w:pPr>
        <w:jc w:val="both"/>
        <w:rPr>
          <w:lang w:val="es-CO"/>
        </w:rPr>
      </w:pPr>
      <w:r w:rsidRPr="00606E51">
        <w:rPr>
          <w:lang w:val="es-CO"/>
        </w:rPr>
        <w:t xml:space="preserve">El </w:t>
      </w:r>
      <w:r w:rsidRPr="00606E51">
        <w:rPr>
          <w:lang w:val="es-CO"/>
        </w:rPr>
        <w:fldChar w:fldCharType="begin"/>
      </w:r>
      <w:r w:rsidRPr="00606E51">
        <w:rPr>
          <w:lang w:val="es-CO"/>
        </w:rPr>
        <w:instrText xml:space="preserve"> REF  _Ref478026800 \* Lower \h  \* MERGEFORMAT </w:instrText>
      </w:r>
      <w:r w:rsidRPr="00606E51">
        <w:rPr>
          <w:lang w:val="es-CO"/>
        </w:rPr>
      </w:r>
      <w:r w:rsidRPr="00606E51">
        <w:rPr>
          <w:lang w:val="es-CO"/>
        </w:rPr>
        <w:fldChar w:fldCharType="separate"/>
      </w:r>
      <w:r w:rsidRPr="00606E51">
        <w:rPr>
          <w:lang w:val="es-CO"/>
        </w:rPr>
        <w:t>cuadro 4</w:t>
      </w:r>
      <w:r w:rsidRPr="00606E51">
        <w:rPr>
          <w:lang w:val="es-CO"/>
        </w:rPr>
        <w:noBreakHyphen/>
        <w:t>8</w:t>
      </w:r>
      <w:r w:rsidRPr="00606E51">
        <w:rPr>
          <w:lang w:val="es-CO"/>
        </w:rPr>
        <w:fldChar w:fldCharType="end"/>
      </w:r>
      <w:r w:rsidRPr="00606E51">
        <w:rPr>
          <w:lang w:val="es-CO"/>
        </w:rPr>
        <w:t xml:space="preserve"> muestra los parámetros que se usan para el cálculo de los resultados, los cuales se estiman a partir de la información proporcionada por las fuentes de información indicadas en la columna fuente.</w:t>
      </w:r>
    </w:p>
    <w:p w14:paraId="002A900C" w14:textId="77777777" w:rsidR="00B63DA0" w:rsidRPr="00606E51" w:rsidRDefault="00B63DA0" w:rsidP="00B63DA0">
      <w:pPr>
        <w:jc w:val="both"/>
        <w:rPr>
          <w:lang w:val="es-CO"/>
        </w:rPr>
      </w:pPr>
    </w:p>
    <w:p w14:paraId="7BE4C6B1" w14:textId="77777777" w:rsidR="00B63DA0" w:rsidRPr="00606E51" w:rsidRDefault="00B63DA0" w:rsidP="00B63DA0">
      <w:pPr>
        <w:jc w:val="center"/>
        <w:rPr>
          <w:lang w:val="es-CO"/>
        </w:rPr>
      </w:pPr>
      <w:bookmarkStart w:id="53" w:name="_Ref478026800"/>
      <w:bookmarkStart w:id="54" w:name="_Toc490045706"/>
      <w:r w:rsidRPr="00606E51">
        <w:rPr>
          <w:b/>
          <w:bCs/>
          <w:lang w:val="es-CO"/>
        </w:rPr>
        <w:lastRenderedPageBreak/>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VIII</w:t>
      </w:r>
      <w:r w:rsidR="00F1370E" w:rsidRPr="00606E51">
        <w:rPr>
          <w:b/>
          <w:bCs/>
          <w:lang w:val="es-CO"/>
        </w:rPr>
        <w:fldChar w:fldCharType="end"/>
      </w:r>
      <w:bookmarkEnd w:id="53"/>
      <w:r w:rsidRPr="00606E51">
        <w:rPr>
          <w:b/>
          <w:bCs/>
          <w:lang w:val="es-CO"/>
        </w:rPr>
        <w:t>: Parámetros para la estimación de efectividad. 2016</w:t>
      </w:r>
      <w:bookmarkEnd w:id="54"/>
    </w:p>
    <w:tbl>
      <w:tblPr>
        <w:tblW w:w="5000" w:type="pct"/>
        <w:jc w:val="center"/>
        <w:tblCellMar>
          <w:left w:w="70" w:type="dxa"/>
          <w:right w:w="70" w:type="dxa"/>
        </w:tblCellMar>
        <w:tblLook w:val="04A0" w:firstRow="1" w:lastRow="0" w:firstColumn="1" w:lastColumn="0" w:noHBand="0" w:noVBand="1"/>
      </w:tblPr>
      <w:tblGrid>
        <w:gridCol w:w="3534"/>
        <w:gridCol w:w="1446"/>
        <w:gridCol w:w="2051"/>
        <w:gridCol w:w="1807"/>
      </w:tblGrid>
      <w:tr w:rsidR="00B63DA0" w:rsidRPr="00606E51" w14:paraId="2AC5CA78" w14:textId="77777777" w:rsidTr="00EC5CC6">
        <w:trPr>
          <w:trHeight w:val="249"/>
          <w:jc w:val="center"/>
        </w:trPr>
        <w:tc>
          <w:tcPr>
            <w:tcW w:w="2071" w:type="pct"/>
            <w:tcBorders>
              <w:top w:val="nil"/>
              <w:left w:val="nil"/>
              <w:bottom w:val="single" w:sz="12" w:space="0" w:color="000000"/>
              <w:right w:val="nil"/>
            </w:tcBorders>
            <w:shd w:val="clear" w:color="auto" w:fill="auto"/>
            <w:noWrap/>
            <w:vAlign w:val="bottom"/>
            <w:hideMark/>
          </w:tcPr>
          <w:p w14:paraId="12A76632" w14:textId="77777777" w:rsidR="00B63DA0" w:rsidRPr="00606E51" w:rsidRDefault="00B63DA0" w:rsidP="00EC5CC6">
            <w:pP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 </w:t>
            </w:r>
          </w:p>
        </w:tc>
        <w:tc>
          <w:tcPr>
            <w:tcW w:w="795" w:type="pct"/>
            <w:tcBorders>
              <w:top w:val="single" w:sz="12" w:space="0" w:color="000000"/>
              <w:left w:val="nil"/>
              <w:bottom w:val="single" w:sz="12" w:space="0" w:color="000000"/>
              <w:right w:val="nil"/>
            </w:tcBorders>
            <w:shd w:val="clear" w:color="auto" w:fill="auto"/>
            <w:noWrap/>
            <w:vAlign w:val="center"/>
            <w:hideMark/>
          </w:tcPr>
          <w:p w14:paraId="3B0851A0" w14:textId="77777777" w:rsidR="00B63DA0" w:rsidRPr="00606E51" w:rsidRDefault="00B63DA0" w:rsidP="00EC5CC6">
            <w:pPr>
              <w:jc w:val="cente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Valor estimado</w:t>
            </w:r>
          </w:p>
        </w:tc>
        <w:tc>
          <w:tcPr>
            <w:tcW w:w="1124" w:type="pct"/>
            <w:tcBorders>
              <w:top w:val="single" w:sz="12" w:space="0" w:color="000000"/>
              <w:left w:val="nil"/>
              <w:bottom w:val="single" w:sz="12" w:space="0" w:color="000000"/>
              <w:right w:val="nil"/>
            </w:tcBorders>
            <w:shd w:val="clear" w:color="auto" w:fill="auto"/>
            <w:noWrap/>
            <w:vAlign w:val="center"/>
            <w:hideMark/>
          </w:tcPr>
          <w:p w14:paraId="49302936" w14:textId="77777777" w:rsidR="00B63DA0" w:rsidRPr="00606E51" w:rsidRDefault="00B63DA0" w:rsidP="00EC5CC6">
            <w:pPr>
              <w:jc w:val="cente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Intervalo de confianza</w:t>
            </w:r>
          </w:p>
        </w:tc>
        <w:tc>
          <w:tcPr>
            <w:tcW w:w="1010" w:type="pct"/>
            <w:tcBorders>
              <w:top w:val="single" w:sz="12" w:space="0" w:color="000000"/>
              <w:left w:val="nil"/>
              <w:bottom w:val="single" w:sz="12" w:space="0" w:color="000000"/>
              <w:right w:val="nil"/>
            </w:tcBorders>
            <w:shd w:val="clear" w:color="auto" w:fill="auto"/>
            <w:noWrap/>
            <w:vAlign w:val="center"/>
            <w:hideMark/>
          </w:tcPr>
          <w:p w14:paraId="57A9DE66" w14:textId="77777777" w:rsidR="00B63DA0" w:rsidRPr="00606E51" w:rsidRDefault="00B63DA0" w:rsidP="00EC5CC6">
            <w:pPr>
              <w:jc w:val="cente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Fuente</w:t>
            </w:r>
          </w:p>
        </w:tc>
      </w:tr>
      <w:tr w:rsidR="00B63DA0" w:rsidRPr="00606E51" w14:paraId="58C06641" w14:textId="77777777" w:rsidTr="00EC5CC6">
        <w:trPr>
          <w:trHeight w:val="20"/>
          <w:jc w:val="center"/>
        </w:trPr>
        <w:tc>
          <w:tcPr>
            <w:tcW w:w="2071" w:type="pct"/>
            <w:tcBorders>
              <w:top w:val="single" w:sz="12" w:space="0" w:color="000000"/>
              <w:left w:val="nil"/>
              <w:bottom w:val="single" w:sz="4" w:space="0" w:color="auto"/>
              <w:right w:val="single" w:sz="4" w:space="0" w:color="auto"/>
            </w:tcBorders>
            <w:shd w:val="clear" w:color="auto" w:fill="auto"/>
            <w:vAlign w:val="center"/>
            <w:hideMark/>
          </w:tcPr>
          <w:p w14:paraId="00F52827"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Proporción de casos que son remitidos a atención de mediana complejidad</w:t>
            </w:r>
          </w:p>
        </w:tc>
        <w:tc>
          <w:tcPr>
            <w:tcW w:w="795" w:type="pct"/>
            <w:tcBorders>
              <w:top w:val="single" w:sz="12" w:space="0" w:color="000000"/>
              <w:left w:val="single" w:sz="4" w:space="0" w:color="auto"/>
              <w:bottom w:val="single" w:sz="4" w:space="0" w:color="auto"/>
              <w:right w:val="single" w:sz="4" w:space="0" w:color="auto"/>
            </w:tcBorders>
            <w:shd w:val="clear" w:color="auto" w:fill="auto"/>
            <w:noWrap/>
            <w:vAlign w:val="center"/>
            <w:hideMark/>
          </w:tcPr>
          <w:p w14:paraId="58120961"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13,79%</w:t>
            </w:r>
          </w:p>
        </w:tc>
        <w:tc>
          <w:tcPr>
            <w:tcW w:w="1124" w:type="pct"/>
            <w:tcBorders>
              <w:top w:val="single" w:sz="12" w:space="0" w:color="000000"/>
              <w:left w:val="single" w:sz="4" w:space="0" w:color="auto"/>
              <w:bottom w:val="single" w:sz="4" w:space="0" w:color="auto"/>
              <w:right w:val="single" w:sz="4" w:space="0" w:color="auto"/>
            </w:tcBorders>
            <w:shd w:val="clear" w:color="auto" w:fill="auto"/>
            <w:noWrap/>
            <w:vAlign w:val="center"/>
            <w:hideMark/>
          </w:tcPr>
          <w:p w14:paraId="46FEA455"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8,33% - 21,72%</w:t>
            </w:r>
          </w:p>
        </w:tc>
        <w:tc>
          <w:tcPr>
            <w:tcW w:w="1010" w:type="pct"/>
            <w:tcBorders>
              <w:top w:val="single" w:sz="12" w:space="0" w:color="000000"/>
              <w:left w:val="single" w:sz="4" w:space="0" w:color="auto"/>
              <w:bottom w:val="single" w:sz="4" w:space="0" w:color="auto"/>
              <w:right w:val="nil"/>
            </w:tcBorders>
            <w:shd w:val="clear" w:color="auto" w:fill="auto"/>
            <w:noWrap/>
            <w:vAlign w:val="center"/>
            <w:hideMark/>
          </w:tcPr>
          <w:p w14:paraId="31F32ADE"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MSPS</w:t>
            </w:r>
          </w:p>
        </w:tc>
      </w:tr>
      <w:tr w:rsidR="00B63DA0" w:rsidRPr="00606E51" w14:paraId="67093485" w14:textId="77777777" w:rsidTr="00EC5CC6">
        <w:trPr>
          <w:trHeight w:val="20"/>
          <w:jc w:val="center"/>
        </w:trPr>
        <w:tc>
          <w:tcPr>
            <w:tcW w:w="2071" w:type="pct"/>
            <w:tcBorders>
              <w:top w:val="single" w:sz="4" w:space="0" w:color="auto"/>
              <w:left w:val="nil"/>
              <w:bottom w:val="single" w:sz="4" w:space="0" w:color="auto"/>
              <w:right w:val="single" w:sz="4" w:space="0" w:color="auto"/>
            </w:tcBorders>
            <w:shd w:val="clear" w:color="auto" w:fill="auto"/>
            <w:vAlign w:val="center"/>
            <w:hideMark/>
          </w:tcPr>
          <w:p w14:paraId="681FC31F"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Tasa de hospitalización</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D719A"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32,14%</w:t>
            </w:r>
          </w:p>
        </w:tc>
        <w:tc>
          <w:tcPr>
            <w:tcW w:w="1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BE5A8"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30,05% - 34,30%</w:t>
            </w:r>
          </w:p>
        </w:tc>
        <w:tc>
          <w:tcPr>
            <w:tcW w:w="1010" w:type="pct"/>
            <w:tcBorders>
              <w:top w:val="single" w:sz="4" w:space="0" w:color="auto"/>
              <w:left w:val="single" w:sz="4" w:space="0" w:color="auto"/>
              <w:bottom w:val="single" w:sz="4" w:space="0" w:color="auto"/>
              <w:right w:val="nil"/>
            </w:tcBorders>
            <w:shd w:val="clear" w:color="auto" w:fill="auto"/>
            <w:noWrap/>
            <w:vAlign w:val="center"/>
            <w:hideMark/>
          </w:tcPr>
          <w:p w14:paraId="00B6272A"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SIVIGILA</w:t>
            </w:r>
          </w:p>
        </w:tc>
      </w:tr>
      <w:tr w:rsidR="00B63DA0" w:rsidRPr="00606E51" w14:paraId="4767399A" w14:textId="77777777" w:rsidTr="00EC5CC6">
        <w:trPr>
          <w:trHeight w:val="20"/>
          <w:jc w:val="center"/>
        </w:trPr>
        <w:tc>
          <w:tcPr>
            <w:tcW w:w="2071" w:type="pct"/>
            <w:tcBorders>
              <w:top w:val="single" w:sz="4" w:space="0" w:color="auto"/>
              <w:left w:val="nil"/>
              <w:bottom w:val="single" w:sz="4" w:space="0" w:color="auto"/>
              <w:right w:val="single" w:sz="4" w:space="0" w:color="auto"/>
            </w:tcBorders>
            <w:shd w:val="clear" w:color="auto" w:fill="auto"/>
            <w:vAlign w:val="center"/>
            <w:hideMark/>
          </w:tcPr>
          <w:p w14:paraId="6730D058"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Proporción de niños y niñas que se recuperan</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5B934"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56,89%</w:t>
            </w:r>
          </w:p>
        </w:tc>
        <w:tc>
          <w:tcPr>
            <w:tcW w:w="1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ED5B0"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47,37% - 65,95%</w:t>
            </w:r>
          </w:p>
        </w:tc>
        <w:tc>
          <w:tcPr>
            <w:tcW w:w="1010" w:type="pct"/>
            <w:tcBorders>
              <w:top w:val="single" w:sz="4" w:space="0" w:color="auto"/>
              <w:left w:val="single" w:sz="4" w:space="0" w:color="auto"/>
              <w:bottom w:val="single" w:sz="4" w:space="0" w:color="auto"/>
              <w:right w:val="nil"/>
            </w:tcBorders>
            <w:shd w:val="clear" w:color="auto" w:fill="auto"/>
            <w:noWrap/>
            <w:vAlign w:val="center"/>
            <w:hideMark/>
          </w:tcPr>
          <w:p w14:paraId="46A87397"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MSPS</w:t>
            </w:r>
          </w:p>
        </w:tc>
      </w:tr>
      <w:tr w:rsidR="00B63DA0" w:rsidRPr="00606E51" w14:paraId="1A0A44E7" w14:textId="77777777" w:rsidTr="00EC5CC6">
        <w:trPr>
          <w:trHeight w:val="20"/>
          <w:jc w:val="center"/>
        </w:trPr>
        <w:tc>
          <w:tcPr>
            <w:tcW w:w="2071" w:type="pct"/>
            <w:tcBorders>
              <w:top w:val="single" w:sz="4" w:space="0" w:color="auto"/>
              <w:left w:val="nil"/>
              <w:bottom w:val="single" w:sz="4" w:space="0" w:color="auto"/>
              <w:right w:val="single" w:sz="4" w:space="0" w:color="auto"/>
            </w:tcBorders>
            <w:shd w:val="clear" w:color="auto" w:fill="auto"/>
            <w:vAlign w:val="center"/>
            <w:hideMark/>
          </w:tcPr>
          <w:p w14:paraId="5E19A94D"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Proporción de niños y niñas que mejoraron (tomando como referencia el puntaje Z P/T)</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0DF71"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cs="Times New Roman"/>
                <w:color w:val="000000"/>
                <w:sz w:val="20"/>
                <w:szCs w:val="20"/>
                <w:lang w:val="es-CO"/>
              </w:rPr>
              <w:t>73,27%</w:t>
            </w:r>
          </w:p>
        </w:tc>
        <w:tc>
          <w:tcPr>
            <w:tcW w:w="1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8BE2F"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cs="Times New Roman"/>
                <w:color w:val="000000"/>
                <w:sz w:val="20"/>
                <w:szCs w:val="20"/>
                <w:lang w:val="es-CO"/>
              </w:rPr>
              <w:t>64,11% - 80,86%</w:t>
            </w:r>
          </w:p>
        </w:tc>
        <w:tc>
          <w:tcPr>
            <w:tcW w:w="1010" w:type="pct"/>
            <w:tcBorders>
              <w:top w:val="single" w:sz="4" w:space="0" w:color="auto"/>
              <w:left w:val="single" w:sz="4" w:space="0" w:color="auto"/>
              <w:bottom w:val="single" w:sz="4" w:space="0" w:color="auto"/>
              <w:right w:val="nil"/>
            </w:tcBorders>
            <w:shd w:val="clear" w:color="auto" w:fill="auto"/>
            <w:noWrap/>
            <w:vAlign w:val="center"/>
            <w:hideMark/>
          </w:tcPr>
          <w:p w14:paraId="6A74B32A"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MSPS</w:t>
            </w:r>
          </w:p>
        </w:tc>
      </w:tr>
      <w:tr w:rsidR="00B63DA0" w:rsidRPr="00606E51" w14:paraId="15B8C357" w14:textId="77777777" w:rsidTr="00EC5CC6">
        <w:trPr>
          <w:trHeight w:val="20"/>
          <w:jc w:val="center"/>
        </w:trPr>
        <w:tc>
          <w:tcPr>
            <w:tcW w:w="2071" w:type="pct"/>
            <w:tcBorders>
              <w:top w:val="single" w:sz="4" w:space="0" w:color="auto"/>
              <w:left w:val="nil"/>
              <w:bottom w:val="single" w:sz="4" w:space="0" w:color="auto"/>
              <w:right w:val="single" w:sz="4" w:space="0" w:color="auto"/>
            </w:tcBorders>
            <w:shd w:val="clear" w:color="auto" w:fill="auto"/>
            <w:vAlign w:val="center"/>
            <w:hideMark/>
          </w:tcPr>
          <w:p w14:paraId="17020F96"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Tasa de mortalidad en hospitalización</w:t>
            </w:r>
          </w:p>
        </w:tc>
        <w:tc>
          <w:tcPr>
            <w:tcW w:w="7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CB3C6"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6,49%</w:t>
            </w:r>
          </w:p>
        </w:tc>
        <w:tc>
          <w:tcPr>
            <w:tcW w:w="1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99B4D"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2,41% - 15,15%</w:t>
            </w:r>
          </w:p>
        </w:tc>
        <w:tc>
          <w:tcPr>
            <w:tcW w:w="1010" w:type="pct"/>
            <w:tcBorders>
              <w:top w:val="single" w:sz="4" w:space="0" w:color="auto"/>
              <w:left w:val="single" w:sz="4" w:space="0" w:color="auto"/>
              <w:bottom w:val="single" w:sz="4" w:space="0" w:color="auto"/>
              <w:right w:val="nil"/>
            </w:tcBorders>
            <w:shd w:val="clear" w:color="auto" w:fill="auto"/>
            <w:noWrap/>
            <w:vAlign w:val="center"/>
            <w:hideMark/>
          </w:tcPr>
          <w:p w14:paraId="4C37DA26"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RIPS</w:t>
            </w:r>
          </w:p>
        </w:tc>
      </w:tr>
      <w:tr w:rsidR="00B63DA0" w:rsidRPr="00606E51" w14:paraId="5C70F98A" w14:textId="77777777" w:rsidTr="00EC5CC6">
        <w:trPr>
          <w:trHeight w:val="20"/>
          <w:jc w:val="center"/>
        </w:trPr>
        <w:tc>
          <w:tcPr>
            <w:tcW w:w="2071" w:type="pct"/>
            <w:tcBorders>
              <w:top w:val="single" w:sz="4" w:space="0" w:color="auto"/>
              <w:left w:val="nil"/>
              <w:bottom w:val="single" w:sz="12" w:space="0" w:color="000000"/>
              <w:right w:val="single" w:sz="4" w:space="0" w:color="auto"/>
            </w:tcBorders>
            <w:shd w:val="clear" w:color="auto" w:fill="auto"/>
            <w:vAlign w:val="center"/>
            <w:hideMark/>
          </w:tcPr>
          <w:p w14:paraId="6C2AAAC8" w14:textId="77777777" w:rsidR="00B63DA0" w:rsidRPr="00606E51" w:rsidRDefault="00B63DA0" w:rsidP="00EC5CC6">
            <w:pPr>
              <w:rPr>
                <w:rFonts w:eastAsia="Times New Roman" w:cs="Times New Roman"/>
                <w:b/>
                <w:bCs/>
                <w:color w:val="000000"/>
                <w:sz w:val="20"/>
                <w:szCs w:val="20"/>
                <w:lang w:val="es-CO" w:eastAsia="es-CO"/>
              </w:rPr>
            </w:pPr>
            <w:r w:rsidRPr="00606E51">
              <w:rPr>
                <w:rFonts w:eastAsia="Times New Roman" w:cs="Times New Roman"/>
                <w:b/>
                <w:bCs/>
                <w:color w:val="000000"/>
                <w:sz w:val="20"/>
                <w:szCs w:val="20"/>
                <w:lang w:val="es-CO" w:eastAsia="es-CO"/>
              </w:rPr>
              <w:t>Disminución en la tasa de mortalidad</w:t>
            </w:r>
          </w:p>
        </w:tc>
        <w:tc>
          <w:tcPr>
            <w:tcW w:w="795" w:type="pct"/>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3BE6B41E"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57,77%</w:t>
            </w:r>
          </w:p>
        </w:tc>
        <w:tc>
          <w:tcPr>
            <w:tcW w:w="1124" w:type="pct"/>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C98A74F"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 </w:t>
            </w:r>
          </w:p>
        </w:tc>
        <w:tc>
          <w:tcPr>
            <w:tcW w:w="1010" w:type="pct"/>
            <w:tcBorders>
              <w:top w:val="single" w:sz="4" w:space="0" w:color="auto"/>
              <w:left w:val="single" w:sz="4" w:space="0" w:color="auto"/>
              <w:bottom w:val="single" w:sz="12" w:space="0" w:color="000000"/>
              <w:right w:val="nil"/>
            </w:tcBorders>
            <w:shd w:val="clear" w:color="auto" w:fill="auto"/>
            <w:noWrap/>
            <w:vAlign w:val="center"/>
            <w:hideMark/>
          </w:tcPr>
          <w:p w14:paraId="27575552" w14:textId="77777777" w:rsidR="00B63DA0" w:rsidRPr="00606E51" w:rsidRDefault="00B63DA0" w:rsidP="00EC5CC6">
            <w:pPr>
              <w:jc w:val="center"/>
              <w:rPr>
                <w:rFonts w:eastAsia="Times New Roman" w:cs="Times New Roman"/>
                <w:color w:val="000000"/>
                <w:sz w:val="20"/>
                <w:szCs w:val="20"/>
                <w:lang w:val="es-CO" w:eastAsia="es-CO"/>
              </w:rPr>
            </w:pPr>
            <w:r w:rsidRPr="00606E51">
              <w:rPr>
                <w:rFonts w:eastAsia="Times New Roman" w:cs="Times New Roman"/>
                <w:color w:val="000000"/>
                <w:sz w:val="20"/>
                <w:szCs w:val="20"/>
                <w:lang w:val="es-CO" w:eastAsia="es-CO"/>
              </w:rPr>
              <w:t>Bachman. M. (2009)</w:t>
            </w:r>
          </w:p>
        </w:tc>
      </w:tr>
    </w:tbl>
    <w:p w14:paraId="7521F94C" w14:textId="77777777" w:rsidR="00B63DA0" w:rsidRPr="00606E51" w:rsidRDefault="00B63DA0" w:rsidP="00B63DA0">
      <w:pPr>
        <w:jc w:val="both"/>
        <w:rPr>
          <w:sz w:val="20"/>
          <w:szCs w:val="20"/>
          <w:lang w:val="es-CO"/>
        </w:rPr>
      </w:pPr>
      <w:r w:rsidRPr="00606E51">
        <w:rPr>
          <w:sz w:val="20"/>
          <w:szCs w:val="20"/>
          <w:lang w:val="es-CO"/>
        </w:rPr>
        <w:t>Fuente: Elaboración propia con las fuentes respectivas</w:t>
      </w:r>
    </w:p>
    <w:p w14:paraId="3365D478" w14:textId="77777777" w:rsidR="00B63DA0" w:rsidRPr="00606E51" w:rsidRDefault="00B63DA0" w:rsidP="00B63DA0">
      <w:pPr>
        <w:jc w:val="both"/>
        <w:rPr>
          <w:lang w:val="es-CO"/>
        </w:rPr>
      </w:pPr>
    </w:p>
    <w:p w14:paraId="6494BCCF" w14:textId="77777777" w:rsidR="00B63DA0" w:rsidRPr="00606E51" w:rsidRDefault="00B63DA0" w:rsidP="00B63DA0">
      <w:pPr>
        <w:jc w:val="both"/>
        <w:rPr>
          <w:lang w:val="es-CO"/>
        </w:rPr>
      </w:pPr>
    </w:p>
    <w:p w14:paraId="391C3A66" w14:textId="77777777" w:rsidR="00B63DA0" w:rsidRPr="00606E51" w:rsidRDefault="00B63DA0" w:rsidP="00B63DA0">
      <w:pPr>
        <w:jc w:val="center"/>
        <w:rPr>
          <w:lang w:val="es-CO"/>
        </w:rPr>
      </w:pPr>
      <w:bookmarkStart w:id="55" w:name="_Ref478026810"/>
      <w:bookmarkStart w:id="56" w:name="_Toc490045707"/>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IX</w:t>
      </w:r>
      <w:r w:rsidR="00F1370E" w:rsidRPr="00606E51">
        <w:rPr>
          <w:b/>
          <w:bCs/>
          <w:lang w:val="es-CO"/>
        </w:rPr>
        <w:fldChar w:fldCharType="end"/>
      </w:r>
      <w:bookmarkEnd w:id="55"/>
      <w:r w:rsidRPr="00606E51">
        <w:rPr>
          <w:b/>
          <w:bCs/>
          <w:lang w:val="es-CO"/>
        </w:rPr>
        <w:t>: Parámetros complementarios para la estimación de efectividad. 2015</w:t>
      </w:r>
      <w:bookmarkEnd w:id="56"/>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2"/>
        <w:gridCol w:w="1522"/>
        <w:gridCol w:w="2127"/>
        <w:gridCol w:w="1817"/>
      </w:tblGrid>
      <w:tr w:rsidR="00B63DA0" w:rsidRPr="00606E51" w14:paraId="30BAB916" w14:textId="77777777" w:rsidTr="00EC5CC6">
        <w:trPr>
          <w:trHeight w:val="20"/>
        </w:trPr>
        <w:tc>
          <w:tcPr>
            <w:tcW w:w="1933" w:type="pct"/>
            <w:tcBorders>
              <w:bottom w:val="single" w:sz="12" w:space="0" w:color="000000"/>
            </w:tcBorders>
            <w:noWrap/>
            <w:vAlign w:val="center"/>
            <w:hideMark/>
          </w:tcPr>
          <w:p w14:paraId="0AF935CC" w14:textId="77777777" w:rsidR="00B63DA0" w:rsidRPr="00606E51" w:rsidRDefault="00B63DA0" w:rsidP="00EC5CC6">
            <w:pPr>
              <w:jc w:val="both"/>
              <w:rPr>
                <w:b w:val="0"/>
                <w:sz w:val="20"/>
                <w:szCs w:val="20"/>
                <w:lang w:val="es-CO"/>
              </w:rPr>
            </w:pPr>
          </w:p>
        </w:tc>
        <w:tc>
          <w:tcPr>
            <w:tcW w:w="847" w:type="pct"/>
            <w:tcBorders>
              <w:top w:val="single" w:sz="12" w:space="0" w:color="000000"/>
              <w:bottom w:val="single" w:sz="12" w:space="0" w:color="000000"/>
            </w:tcBorders>
            <w:noWrap/>
            <w:vAlign w:val="center"/>
            <w:hideMark/>
          </w:tcPr>
          <w:p w14:paraId="15918550" w14:textId="77777777" w:rsidR="00B63DA0" w:rsidRPr="00606E51" w:rsidRDefault="00B63DA0" w:rsidP="00EC5CC6">
            <w:pPr>
              <w:jc w:val="both"/>
              <w:rPr>
                <w:sz w:val="20"/>
                <w:szCs w:val="20"/>
                <w:lang w:val="es-CO"/>
              </w:rPr>
            </w:pPr>
            <w:r w:rsidRPr="00606E51">
              <w:rPr>
                <w:sz w:val="20"/>
                <w:szCs w:val="20"/>
                <w:lang w:val="es-CO"/>
              </w:rPr>
              <w:t>Valor estimado</w:t>
            </w:r>
          </w:p>
        </w:tc>
        <w:tc>
          <w:tcPr>
            <w:tcW w:w="1167" w:type="pct"/>
            <w:tcBorders>
              <w:top w:val="single" w:sz="12" w:space="0" w:color="000000"/>
              <w:bottom w:val="single" w:sz="12" w:space="0" w:color="000000"/>
            </w:tcBorders>
            <w:noWrap/>
            <w:vAlign w:val="center"/>
            <w:hideMark/>
          </w:tcPr>
          <w:p w14:paraId="0AB41C5E" w14:textId="77777777" w:rsidR="00B63DA0" w:rsidRPr="00606E51" w:rsidRDefault="00B63DA0" w:rsidP="00EC5CC6">
            <w:pPr>
              <w:jc w:val="both"/>
              <w:rPr>
                <w:sz w:val="20"/>
                <w:szCs w:val="20"/>
                <w:lang w:val="es-CO"/>
              </w:rPr>
            </w:pPr>
            <w:r w:rsidRPr="00606E51">
              <w:rPr>
                <w:sz w:val="20"/>
                <w:szCs w:val="20"/>
                <w:lang w:val="es-CO"/>
              </w:rPr>
              <w:t>Intervalo de confianza</w:t>
            </w:r>
          </w:p>
        </w:tc>
        <w:tc>
          <w:tcPr>
            <w:tcW w:w="1053" w:type="pct"/>
            <w:tcBorders>
              <w:top w:val="single" w:sz="12" w:space="0" w:color="000000"/>
              <w:bottom w:val="single" w:sz="12" w:space="0" w:color="000000"/>
            </w:tcBorders>
            <w:noWrap/>
            <w:vAlign w:val="center"/>
            <w:hideMark/>
          </w:tcPr>
          <w:p w14:paraId="3AB0EE82" w14:textId="77777777" w:rsidR="00B63DA0" w:rsidRPr="00606E51" w:rsidRDefault="00B63DA0" w:rsidP="00EC5CC6">
            <w:pPr>
              <w:jc w:val="both"/>
              <w:rPr>
                <w:sz w:val="20"/>
                <w:szCs w:val="20"/>
                <w:lang w:val="es-CO"/>
              </w:rPr>
            </w:pPr>
            <w:r w:rsidRPr="00606E51">
              <w:rPr>
                <w:sz w:val="20"/>
                <w:szCs w:val="20"/>
                <w:lang w:val="es-CO"/>
              </w:rPr>
              <w:t>Fuente</w:t>
            </w:r>
          </w:p>
        </w:tc>
      </w:tr>
      <w:tr w:rsidR="00B63DA0" w:rsidRPr="00606E51" w14:paraId="1E19B633" w14:textId="77777777" w:rsidTr="00EC5CC6">
        <w:trPr>
          <w:trHeight w:val="20"/>
        </w:trPr>
        <w:tc>
          <w:tcPr>
            <w:tcW w:w="1933" w:type="pct"/>
            <w:tcBorders>
              <w:top w:val="single" w:sz="12" w:space="0" w:color="000000"/>
              <w:bottom w:val="single" w:sz="4" w:space="0" w:color="auto"/>
              <w:right w:val="single" w:sz="4" w:space="0" w:color="auto"/>
            </w:tcBorders>
            <w:hideMark/>
          </w:tcPr>
          <w:p w14:paraId="065B3BE4" w14:textId="77777777" w:rsidR="00B63DA0" w:rsidRPr="00606E51" w:rsidRDefault="00B63DA0" w:rsidP="00EC5CC6">
            <w:pPr>
              <w:jc w:val="both"/>
              <w:rPr>
                <w:sz w:val="20"/>
                <w:szCs w:val="20"/>
                <w:lang w:val="es-CO"/>
              </w:rPr>
            </w:pPr>
            <w:r w:rsidRPr="00606E51">
              <w:rPr>
                <w:sz w:val="20"/>
                <w:szCs w:val="20"/>
                <w:lang w:val="es-CO"/>
              </w:rPr>
              <w:t>Proporción de niños y niñas que se recuperan</w:t>
            </w:r>
          </w:p>
        </w:tc>
        <w:tc>
          <w:tcPr>
            <w:tcW w:w="847" w:type="pct"/>
            <w:tcBorders>
              <w:top w:val="single" w:sz="12" w:space="0" w:color="000000"/>
              <w:left w:val="single" w:sz="4" w:space="0" w:color="auto"/>
              <w:bottom w:val="single" w:sz="4" w:space="0" w:color="auto"/>
              <w:right w:val="single" w:sz="4" w:space="0" w:color="auto"/>
            </w:tcBorders>
            <w:noWrap/>
            <w:vAlign w:val="center"/>
            <w:hideMark/>
          </w:tcPr>
          <w:p w14:paraId="75154476" w14:textId="77777777" w:rsidR="00B63DA0" w:rsidRPr="00606E51" w:rsidRDefault="00B63DA0" w:rsidP="00EC5CC6">
            <w:pPr>
              <w:jc w:val="both"/>
              <w:rPr>
                <w:b w:val="0"/>
                <w:sz w:val="20"/>
                <w:szCs w:val="20"/>
                <w:lang w:val="es-CO"/>
              </w:rPr>
            </w:pPr>
            <w:r w:rsidRPr="00606E51">
              <w:rPr>
                <w:b w:val="0"/>
                <w:sz w:val="20"/>
                <w:szCs w:val="20"/>
                <w:lang w:val="es-CO"/>
              </w:rPr>
              <w:t>69,79%</w:t>
            </w:r>
          </w:p>
        </w:tc>
        <w:tc>
          <w:tcPr>
            <w:tcW w:w="1167" w:type="pct"/>
            <w:tcBorders>
              <w:top w:val="single" w:sz="12" w:space="0" w:color="000000"/>
              <w:left w:val="single" w:sz="4" w:space="0" w:color="auto"/>
              <w:bottom w:val="single" w:sz="4" w:space="0" w:color="auto"/>
              <w:right w:val="single" w:sz="4" w:space="0" w:color="auto"/>
            </w:tcBorders>
            <w:noWrap/>
            <w:vAlign w:val="center"/>
            <w:hideMark/>
          </w:tcPr>
          <w:p w14:paraId="4BF04A45" w14:textId="77777777" w:rsidR="00B63DA0" w:rsidRPr="00606E51" w:rsidRDefault="00B63DA0" w:rsidP="00EC5CC6">
            <w:pPr>
              <w:jc w:val="both"/>
              <w:rPr>
                <w:b w:val="0"/>
                <w:sz w:val="20"/>
                <w:szCs w:val="20"/>
                <w:lang w:val="es-CO"/>
              </w:rPr>
            </w:pPr>
            <w:r w:rsidRPr="00606E51">
              <w:rPr>
                <w:b w:val="0"/>
                <w:sz w:val="20"/>
                <w:szCs w:val="20"/>
                <w:lang w:val="es-CO"/>
              </w:rPr>
              <w:t>62,7% - 76,08%</w:t>
            </w:r>
          </w:p>
        </w:tc>
        <w:tc>
          <w:tcPr>
            <w:tcW w:w="1053" w:type="pct"/>
            <w:tcBorders>
              <w:top w:val="single" w:sz="12" w:space="0" w:color="000000"/>
              <w:left w:val="single" w:sz="4" w:space="0" w:color="auto"/>
              <w:bottom w:val="single" w:sz="4" w:space="0" w:color="auto"/>
            </w:tcBorders>
            <w:noWrap/>
            <w:vAlign w:val="center"/>
            <w:hideMark/>
          </w:tcPr>
          <w:p w14:paraId="5C5E0604" w14:textId="77777777" w:rsidR="00B63DA0" w:rsidRPr="00606E51" w:rsidRDefault="00B63DA0" w:rsidP="00EC5CC6">
            <w:pPr>
              <w:jc w:val="both"/>
              <w:rPr>
                <w:b w:val="0"/>
                <w:sz w:val="20"/>
                <w:szCs w:val="20"/>
                <w:lang w:val="es-CO"/>
              </w:rPr>
            </w:pPr>
            <w:r w:rsidRPr="00606E51">
              <w:rPr>
                <w:b w:val="0"/>
                <w:sz w:val="20"/>
                <w:szCs w:val="20"/>
                <w:lang w:val="es-CO"/>
              </w:rPr>
              <w:t>MSPS</w:t>
            </w:r>
          </w:p>
        </w:tc>
      </w:tr>
      <w:tr w:rsidR="00B63DA0" w:rsidRPr="00606E51" w14:paraId="20F6467D" w14:textId="77777777" w:rsidTr="00EC5CC6">
        <w:trPr>
          <w:trHeight w:val="20"/>
        </w:trPr>
        <w:tc>
          <w:tcPr>
            <w:tcW w:w="1933" w:type="pct"/>
            <w:tcBorders>
              <w:top w:val="single" w:sz="4" w:space="0" w:color="auto"/>
              <w:bottom w:val="single" w:sz="4" w:space="0" w:color="auto"/>
              <w:right w:val="single" w:sz="4" w:space="0" w:color="auto"/>
            </w:tcBorders>
            <w:hideMark/>
          </w:tcPr>
          <w:p w14:paraId="5B6F87D6" w14:textId="77777777" w:rsidR="00B63DA0" w:rsidRPr="00606E51" w:rsidRDefault="00B63DA0" w:rsidP="00EC5CC6">
            <w:pPr>
              <w:jc w:val="both"/>
              <w:rPr>
                <w:sz w:val="20"/>
                <w:szCs w:val="20"/>
                <w:lang w:val="es-CO"/>
              </w:rPr>
            </w:pPr>
            <w:r w:rsidRPr="00606E51">
              <w:rPr>
                <w:sz w:val="20"/>
                <w:szCs w:val="20"/>
                <w:lang w:val="es-CO"/>
              </w:rPr>
              <w:t>Proporción de niños y niñas que mejoraron (tomando como referencia el puntaje Z P/T)</w:t>
            </w:r>
          </w:p>
        </w:tc>
        <w:tc>
          <w:tcPr>
            <w:tcW w:w="847" w:type="pct"/>
            <w:tcBorders>
              <w:top w:val="single" w:sz="4" w:space="0" w:color="auto"/>
              <w:left w:val="single" w:sz="4" w:space="0" w:color="auto"/>
              <w:bottom w:val="single" w:sz="4" w:space="0" w:color="auto"/>
              <w:right w:val="single" w:sz="4" w:space="0" w:color="auto"/>
            </w:tcBorders>
            <w:noWrap/>
            <w:vAlign w:val="center"/>
            <w:hideMark/>
          </w:tcPr>
          <w:p w14:paraId="60BAF741" w14:textId="77777777" w:rsidR="00B63DA0" w:rsidRPr="00606E51" w:rsidRDefault="00B63DA0" w:rsidP="00EC5CC6">
            <w:pPr>
              <w:jc w:val="both"/>
              <w:rPr>
                <w:b w:val="0"/>
                <w:sz w:val="20"/>
                <w:szCs w:val="20"/>
                <w:lang w:val="es-CO"/>
              </w:rPr>
            </w:pPr>
            <w:r w:rsidRPr="00606E51">
              <w:rPr>
                <w:b w:val="0"/>
                <w:sz w:val="20"/>
                <w:szCs w:val="20"/>
                <w:lang w:val="es-CO"/>
              </w:rPr>
              <w:t>92,71%</w:t>
            </w:r>
          </w:p>
        </w:tc>
        <w:tc>
          <w:tcPr>
            <w:tcW w:w="1167" w:type="pct"/>
            <w:tcBorders>
              <w:top w:val="single" w:sz="4" w:space="0" w:color="auto"/>
              <w:left w:val="single" w:sz="4" w:space="0" w:color="auto"/>
              <w:bottom w:val="single" w:sz="4" w:space="0" w:color="auto"/>
              <w:right w:val="single" w:sz="4" w:space="0" w:color="auto"/>
            </w:tcBorders>
            <w:noWrap/>
            <w:vAlign w:val="center"/>
            <w:hideMark/>
          </w:tcPr>
          <w:p w14:paraId="7FAC62A2" w14:textId="77777777" w:rsidR="00B63DA0" w:rsidRPr="00606E51" w:rsidRDefault="00B63DA0" w:rsidP="00EC5CC6">
            <w:pPr>
              <w:jc w:val="both"/>
              <w:rPr>
                <w:b w:val="0"/>
                <w:sz w:val="20"/>
                <w:szCs w:val="20"/>
                <w:lang w:val="es-CO"/>
              </w:rPr>
            </w:pPr>
            <w:r w:rsidRPr="00606E51">
              <w:rPr>
                <w:b w:val="0"/>
                <w:sz w:val="20"/>
                <w:szCs w:val="20"/>
                <w:lang w:val="es-CO"/>
              </w:rPr>
              <w:t>87,82% - 95,8%</w:t>
            </w:r>
          </w:p>
        </w:tc>
        <w:tc>
          <w:tcPr>
            <w:tcW w:w="1053" w:type="pct"/>
            <w:tcBorders>
              <w:top w:val="single" w:sz="4" w:space="0" w:color="auto"/>
              <w:left w:val="single" w:sz="4" w:space="0" w:color="auto"/>
              <w:bottom w:val="single" w:sz="4" w:space="0" w:color="auto"/>
            </w:tcBorders>
            <w:noWrap/>
            <w:vAlign w:val="center"/>
            <w:hideMark/>
          </w:tcPr>
          <w:p w14:paraId="1350E1E2" w14:textId="77777777" w:rsidR="00B63DA0" w:rsidRPr="00606E51" w:rsidRDefault="00B63DA0" w:rsidP="00EC5CC6">
            <w:pPr>
              <w:jc w:val="both"/>
              <w:rPr>
                <w:b w:val="0"/>
                <w:sz w:val="20"/>
                <w:szCs w:val="20"/>
                <w:lang w:val="es-CO"/>
              </w:rPr>
            </w:pPr>
            <w:r w:rsidRPr="00606E51">
              <w:rPr>
                <w:b w:val="0"/>
                <w:sz w:val="20"/>
                <w:szCs w:val="20"/>
                <w:lang w:val="es-CO"/>
              </w:rPr>
              <w:t>MSPS</w:t>
            </w:r>
          </w:p>
        </w:tc>
      </w:tr>
      <w:tr w:rsidR="00B63DA0" w:rsidRPr="00606E51" w14:paraId="348B2A20" w14:textId="77777777" w:rsidTr="00EC5CC6">
        <w:trPr>
          <w:trHeight w:val="20"/>
        </w:trPr>
        <w:tc>
          <w:tcPr>
            <w:tcW w:w="1933" w:type="pct"/>
            <w:tcBorders>
              <w:top w:val="single" w:sz="4" w:space="0" w:color="auto"/>
              <w:bottom w:val="single" w:sz="12" w:space="0" w:color="000000"/>
              <w:right w:val="single" w:sz="4" w:space="0" w:color="auto"/>
            </w:tcBorders>
            <w:hideMark/>
          </w:tcPr>
          <w:p w14:paraId="22FAE368" w14:textId="77777777" w:rsidR="00B63DA0" w:rsidRPr="00606E51" w:rsidRDefault="00B63DA0" w:rsidP="00EC5CC6">
            <w:pPr>
              <w:jc w:val="both"/>
              <w:rPr>
                <w:sz w:val="20"/>
                <w:szCs w:val="20"/>
                <w:lang w:val="es-CO"/>
              </w:rPr>
            </w:pPr>
            <w:r w:rsidRPr="00606E51">
              <w:rPr>
                <w:sz w:val="20"/>
                <w:szCs w:val="20"/>
                <w:lang w:val="es-CO"/>
              </w:rPr>
              <w:t xml:space="preserve">Promedio de sobres entregados por niño </w:t>
            </w:r>
          </w:p>
        </w:tc>
        <w:tc>
          <w:tcPr>
            <w:tcW w:w="847" w:type="pct"/>
            <w:tcBorders>
              <w:top w:val="single" w:sz="4" w:space="0" w:color="auto"/>
              <w:left w:val="single" w:sz="4" w:space="0" w:color="auto"/>
              <w:bottom w:val="single" w:sz="12" w:space="0" w:color="000000"/>
              <w:right w:val="single" w:sz="4" w:space="0" w:color="auto"/>
            </w:tcBorders>
            <w:noWrap/>
            <w:vAlign w:val="center"/>
            <w:hideMark/>
          </w:tcPr>
          <w:p w14:paraId="0DF2D6E4" w14:textId="77777777" w:rsidR="00B63DA0" w:rsidRPr="00606E51" w:rsidRDefault="00B63DA0" w:rsidP="00EC5CC6">
            <w:pPr>
              <w:jc w:val="both"/>
              <w:rPr>
                <w:b w:val="0"/>
                <w:sz w:val="20"/>
                <w:szCs w:val="20"/>
                <w:lang w:val="es-CO"/>
              </w:rPr>
            </w:pPr>
            <w:r w:rsidRPr="00606E51">
              <w:rPr>
                <w:b w:val="0"/>
                <w:sz w:val="20"/>
                <w:szCs w:val="20"/>
                <w:lang w:val="es-CO"/>
              </w:rPr>
              <w:t>92</w:t>
            </w:r>
          </w:p>
        </w:tc>
        <w:tc>
          <w:tcPr>
            <w:tcW w:w="1167" w:type="pct"/>
            <w:tcBorders>
              <w:top w:val="single" w:sz="4" w:space="0" w:color="auto"/>
              <w:left w:val="single" w:sz="4" w:space="0" w:color="auto"/>
              <w:bottom w:val="single" w:sz="12" w:space="0" w:color="000000"/>
              <w:right w:val="single" w:sz="4" w:space="0" w:color="auto"/>
            </w:tcBorders>
            <w:noWrap/>
            <w:vAlign w:val="center"/>
            <w:hideMark/>
          </w:tcPr>
          <w:p w14:paraId="382A8E98" w14:textId="77777777" w:rsidR="00B63DA0" w:rsidRPr="00606E51" w:rsidRDefault="00B63DA0" w:rsidP="00EC5CC6">
            <w:pPr>
              <w:jc w:val="both"/>
              <w:rPr>
                <w:b w:val="0"/>
                <w:sz w:val="20"/>
                <w:szCs w:val="20"/>
                <w:lang w:val="es-CO"/>
              </w:rPr>
            </w:pPr>
            <w:r w:rsidRPr="00606E51">
              <w:rPr>
                <w:b w:val="0"/>
                <w:sz w:val="20"/>
                <w:szCs w:val="20"/>
                <w:lang w:val="es-CO"/>
              </w:rPr>
              <w:t>16,0 – 257,9</w:t>
            </w:r>
          </w:p>
        </w:tc>
        <w:tc>
          <w:tcPr>
            <w:tcW w:w="1053" w:type="pct"/>
            <w:tcBorders>
              <w:top w:val="single" w:sz="4" w:space="0" w:color="auto"/>
              <w:left w:val="single" w:sz="4" w:space="0" w:color="auto"/>
              <w:bottom w:val="single" w:sz="12" w:space="0" w:color="000000"/>
            </w:tcBorders>
            <w:noWrap/>
            <w:vAlign w:val="center"/>
            <w:hideMark/>
          </w:tcPr>
          <w:p w14:paraId="53AD25AC" w14:textId="77777777" w:rsidR="00B63DA0" w:rsidRPr="00606E51" w:rsidRDefault="00B63DA0" w:rsidP="00EC5CC6">
            <w:pPr>
              <w:jc w:val="both"/>
              <w:rPr>
                <w:b w:val="0"/>
                <w:sz w:val="20"/>
                <w:szCs w:val="20"/>
                <w:lang w:val="es-CO"/>
              </w:rPr>
            </w:pPr>
            <w:r w:rsidRPr="00606E51">
              <w:rPr>
                <w:b w:val="0"/>
                <w:sz w:val="20"/>
                <w:szCs w:val="20"/>
                <w:lang w:val="es-CO"/>
              </w:rPr>
              <w:t>MSPS</w:t>
            </w:r>
          </w:p>
        </w:tc>
      </w:tr>
    </w:tbl>
    <w:p w14:paraId="59DBE404" w14:textId="77777777" w:rsidR="00B63DA0" w:rsidRPr="00606E51" w:rsidRDefault="00B63DA0" w:rsidP="00B63DA0">
      <w:pPr>
        <w:jc w:val="both"/>
        <w:rPr>
          <w:sz w:val="20"/>
          <w:szCs w:val="20"/>
          <w:lang w:val="es-CO"/>
        </w:rPr>
      </w:pPr>
      <w:r w:rsidRPr="00606E51">
        <w:rPr>
          <w:sz w:val="20"/>
          <w:szCs w:val="20"/>
          <w:lang w:val="es-CO"/>
        </w:rPr>
        <w:t>Elaboración propia con las fuentes respectivas</w:t>
      </w:r>
    </w:p>
    <w:p w14:paraId="63C757D9" w14:textId="77777777" w:rsidR="00B63DA0" w:rsidRPr="00606E51" w:rsidRDefault="00B63DA0" w:rsidP="00B63DA0">
      <w:pPr>
        <w:jc w:val="both"/>
        <w:rPr>
          <w:lang w:val="es-CO"/>
        </w:rPr>
      </w:pPr>
    </w:p>
    <w:p w14:paraId="71821D56" w14:textId="77777777" w:rsidR="00B63DA0" w:rsidRPr="00606E51" w:rsidRDefault="00B63DA0" w:rsidP="00B63DA0">
      <w:pPr>
        <w:jc w:val="both"/>
        <w:rPr>
          <w:lang w:val="es-CO"/>
        </w:rPr>
      </w:pPr>
      <w:r w:rsidRPr="00606E51">
        <w:rPr>
          <w:lang w:val="es-CO"/>
        </w:rPr>
        <w:t xml:space="preserve">Adicionalmente, con la intención de aprovechar el acceso a la base de datos recolectada por los equipos extramurales durante el año 2015, se estimaron parámetros complementarios (ver </w:t>
      </w:r>
      <w:r w:rsidRPr="00606E51">
        <w:rPr>
          <w:lang w:val="es-CO"/>
        </w:rPr>
        <w:fldChar w:fldCharType="begin"/>
      </w:r>
      <w:r w:rsidRPr="00606E51">
        <w:rPr>
          <w:lang w:val="es-CO"/>
        </w:rPr>
        <w:instrText xml:space="preserve"> REF  _Ref478026810 \* Lower \h  \* MERGEFORMAT </w:instrText>
      </w:r>
      <w:r w:rsidRPr="00606E51">
        <w:rPr>
          <w:lang w:val="es-CO"/>
        </w:rPr>
      </w:r>
      <w:r w:rsidRPr="00606E51">
        <w:rPr>
          <w:lang w:val="es-CO"/>
        </w:rPr>
        <w:fldChar w:fldCharType="separate"/>
      </w:r>
      <w:r w:rsidRPr="00606E51">
        <w:rPr>
          <w:lang w:val="es-CO"/>
        </w:rPr>
        <w:t>cuadro 4</w:t>
      </w:r>
      <w:r w:rsidRPr="00606E51">
        <w:rPr>
          <w:lang w:val="es-CO"/>
        </w:rPr>
        <w:noBreakHyphen/>
        <w:t>9</w:t>
      </w:r>
      <w:r w:rsidRPr="00606E51">
        <w:rPr>
          <w:lang w:val="es-CO"/>
        </w:rPr>
        <w:fldChar w:fldCharType="end"/>
      </w:r>
      <w:r w:rsidRPr="00606E51">
        <w:rPr>
          <w:lang w:val="es-CO"/>
        </w:rPr>
        <w:t xml:space="preserve">); estos permiten realizar análisis de sensibilidad respecto a los resultados que se obtendrían considerando la efectividad observada en 2015, así como estimar el costo asociado al manejo en el hogar con FTLC, a partir del número promedio de sobres entregados por niños de FTLC (ver anexo </w:t>
      </w:r>
      <w:r w:rsidRPr="00606E51">
        <w:rPr>
          <w:lang w:val="es-CO"/>
        </w:rPr>
        <w:fldChar w:fldCharType="begin"/>
      </w:r>
      <w:r w:rsidRPr="00606E51">
        <w:rPr>
          <w:lang w:val="es-CO"/>
        </w:rPr>
        <w:instrText xml:space="preserve"> REF _Ref486287987 \r \h </w:instrText>
      </w:r>
      <w:r w:rsidRPr="00606E51">
        <w:rPr>
          <w:lang w:val="es-CO"/>
        </w:rPr>
      </w:r>
      <w:r w:rsidRPr="00606E51">
        <w:rPr>
          <w:lang w:val="es-CO"/>
        </w:rPr>
        <w:fldChar w:fldCharType="separate"/>
      </w:r>
      <w:r w:rsidRPr="00606E51">
        <w:rPr>
          <w:lang w:val="es-CO"/>
        </w:rPr>
        <w:t>8.5</w:t>
      </w:r>
      <w:r w:rsidRPr="00606E51">
        <w:rPr>
          <w:lang w:val="es-CO"/>
        </w:rPr>
        <w:fldChar w:fldCharType="end"/>
      </w:r>
      <w:r w:rsidRPr="00606E51">
        <w:rPr>
          <w:lang w:val="es-CO"/>
        </w:rPr>
        <w:t xml:space="preserve">). Por último, el </w:t>
      </w:r>
      <w:bookmarkStart w:id="57" w:name="_Hlk480986944"/>
      <w:r w:rsidRPr="00606E51">
        <w:rPr>
          <w:lang w:val="es-CO"/>
        </w:rPr>
        <w:fldChar w:fldCharType="begin"/>
      </w:r>
      <w:r w:rsidRPr="00606E51">
        <w:rPr>
          <w:lang w:val="es-CO"/>
        </w:rPr>
        <w:instrText xml:space="preserve"> REF  _Ref478026816 \* Lower \h  \* MERGEFORMAT </w:instrText>
      </w:r>
      <w:r w:rsidRPr="00606E51">
        <w:rPr>
          <w:lang w:val="es-CO"/>
        </w:rPr>
      </w:r>
      <w:r w:rsidRPr="00606E51">
        <w:rPr>
          <w:lang w:val="es-CO"/>
        </w:rPr>
        <w:fldChar w:fldCharType="separate"/>
      </w:r>
      <w:r w:rsidRPr="00606E51">
        <w:rPr>
          <w:lang w:val="es-CO"/>
        </w:rPr>
        <w:t>cuadro 4</w:t>
      </w:r>
      <w:r w:rsidRPr="00606E51">
        <w:rPr>
          <w:lang w:val="es-CO"/>
        </w:rPr>
        <w:noBreakHyphen/>
        <w:t>10</w:t>
      </w:r>
      <w:r w:rsidRPr="00606E51">
        <w:rPr>
          <w:lang w:val="es-CO"/>
        </w:rPr>
        <w:fldChar w:fldCharType="end"/>
      </w:r>
      <w:bookmarkEnd w:id="57"/>
      <w:r w:rsidRPr="00606E51">
        <w:rPr>
          <w:lang w:val="es-CO"/>
        </w:rPr>
        <w:t xml:space="preserve"> presenta los parámetros de costos que se usan para la estimación de los escenarios que se describen en la siguiente sección</w:t>
      </w:r>
      <w:r w:rsidRPr="00606E51">
        <w:rPr>
          <w:rStyle w:val="FootnoteReference"/>
          <w:lang w:val="es-CO"/>
        </w:rPr>
        <w:footnoteReference w:id="46"/>
      </w:r>
      <w:r w:rsidRPr="00606E51">
        <w:rPr>
          <w:lang w:val="es-CO"/>
        </w:rPr>
        <w:t>.</w:t>
      </w:r>
    </w:p>
    <w:p w14:paraId="27AC4F99" w14:textId="77777777" w:rsidR="00B63DA0" w:rsidRPr="00606E51" w:rsidRDefault="00B63DA0" w:rsidP="00B63DA0">
      <w:pPr>
        <w:jc w:val="both"/>
        <w:rPr>
          <w:lang w:val="es-CO"/>
        </w:rPr>
      </w:pPr>
    </w:p>
    <w:p w14:paraId="18767507" w14:textId="77777777" w:rsidR="00B63DA0" w:rsidRPr="00606E51" w:rsidRDefault="00B63DA0" w:rsidP="00B63DA0">
      <w:pPr>
        <w:jc w:val="center"/>
        <w:rPr>
          <w:b/>
          <w:bCs/>
          <w:lang w:val="es-CO"/>
        </w:rPr>
      </w:pPr>
      <w:bookmarkStart w:id="58" w:name="_Ref478026816"/>
      <w:bookmarkStart w:id="59" w:name="_Toc490045708"/>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X</w:t>
      </w:r>
      <w:r w:rsidR="00F1370E" w:rsidRPr="00606E51">
        <w:rPr>
          <w:b/>
          <w:bCs/>
          <w:lang w:val="es-CO"/>
        </w:rPr>
        <w:fldChar w:fldCharType="end"/>
      </w:r>
      <w:bookmarkEnd w:id="58"/>
      <w:r w:rsidRPr="00606E51">
        <w:rPr>
          <w:b/>
          <w:bCs/>
          <w:lang w:val="es-CO"/>
        </w:rPr>
        <w:t>: Parámetros para la estimación de costos</w:t>
      </w:r>
      <w:r w:rsidRPr="00606E51">
        <w:rPr>
          <w:b/>
          <w:bCs/>
          <w:vertAlign w:val="superscript"/>
          <w:lang w:val="es-CO"/>
        </w:rPr>
        <w:footnoteReference w:id="47"/>
      </w:r>
      <w:bookmarkEnd w:id="59"/>
    </w:p>
    <w:tbl>
      <w:tblPr>
        <w:tblW w:w="7286" w:type="dxa"/>
        <w:jc w:val="center"/>
        <w:tblCellMar>
          <w:left w:w="70" w:type="dxa"/>
          <w:right w:w="70" w:type="dxa"/>
        </w:tblCellMar>
        <w:tblLook w:val="04A0" w:firstRow="1" w:lastRow="0" w:firstColumn="1" w:lastColumn="0" w:noHBand="0" w:noVBand="1"/>
      </w:tblPr>
      <w:tblGrid>
        <w:gridCol w:w="4029"/>
        <w:gridCol w:w="1674"/>
        <w:gridCol w:w="1583"/>
      </w:tblGrid>
      <w:tr w:rsidR="00B63DA0" w:rsidRPr="00606E51" w14:paraId="0A93224E" w14:textId="77777777" w:rsidTr="00EC5CC6">
        <w:trPr>
          <w:trHeight w:val="20"/>
          <w:jc w:val="center"/>
        </w:trPr>
        <w:tc>
          <w:tcPr>
            <w:tcW w:w="4029" w:type="dxa"/>
            <w:tcBorders>
              <w:top w:val="single" w:sz="4" w:space="0" w:color="auto"/>
              <w:left w:val="nil"/>
              <w:bottom w:val="single" w:sz="4" w:space="0" w:color="auto"/>
              <w:right w:val="nil"/>
            </w:tcBorders>
            <w:shd w:val="clear" w:color="auto" w:fill="auto"/>
            <w:noWrap/>
            <w:vAlign w:val="center"/>
            <w:hideMark/>
          </w:tcPr>
          <w:p w14:paraId="13745C39"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Atención ambulatoria de manejo en el hogar</w:t>
            </w:r>
          </w:p>
        </w:tc>
        <w:tc>
          <w:tcPr>
            <w:tcW w:w="1674" w:type="dxa"/>
            <w:tcBorders>
              <w:top w:val="single" w:sz="4" w:space="0" w:color="auto"/>
              <w:left w:val="nil"/>
              <w:bottom w:val="single" w:sz="4" w:space="0" w:color="auto"/>
              <w:right w:val="nil"/>
            </w:tcBorders>
            <w:shd w:val="clear" w:color="auto" w:fill="auto"/>
            <w:vAlign w:val="center"/>
            <w:hideMark/>
          </w:tcPr>
          <w:p w14:paraId="72029F8A"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Con lineamiento</w:t>
            </w:r>
            <w:r w:rsidRPr="00606E51">
              <w:rPr>
                <w:rStyle w:val="FootnoteReference"/>
                <w:rFonts w:eastAsia="Times New Roman" w:cs="Times New Roman"/>
                <w:color w:val="000000"/>
                <w:sz w:val="16"/>
                <w:szCs w:val="16"/>
                <w:lang w:val="es-CO" w:eastAsia="es-CO"/>
              </w:rPr>
              <w:footnoteReference w:id="48"/>
            </w:r>
          </w:p>
        </w:tc>
        <w:tc>
          <w:tcPr>
            <w:tcW w:w="1583" w:type="dxa"/>
            <w:tcBorders>
              <w:top w:val="single" w:sz="4" w:space="0" w:color="auto"/>
              <w:left w:val="nil"/>
              <w:bottom w:val="single" w:sz="4" w:space="0" w:color="auto"/>
              <w:right w:val="nil"/>
            </w:tcBorders>
            <w:shd w:val="clear" w:color="auto" w:fill="auto"/>
            <w:vAlign w:val="center"/>
            <w:hideMark/>
          </w:tcPr>
          <w:p w14:paraId="69AF711C"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Sin lineamiento </w:t>
            </w:r>
          </w:p>
        </w:tc>
      </w:tr>
      <w:tr w:rsidR="00B63DA0" w:rsidRPr="00606E51" w14:paraId="114440E8" w14:textId="77777777" w:rsidTr="00EC5CC6">
        <w:trPr>
          <w:trHeight w:val="20"/>
          <w:jc w:val="center"/>
        </w:trPr>
        <w:tc>
          <w:tcPr>
            <w:tcW w:w="4029" w:type="dxa"/>
            <w:tcBorders>
              <w:top w:val="nil"/>
              <w:left w:val="nil"/>
              <w:bottom w:val="nil"/>
              <w:right w:val="nil"/>
            </w:tcBorders>
            <w:shd w:val="clear" w:color="auto" w:fill="auto"/>
            <w:vAlign w:val="center"/>
            <w:hideMark/>
          </w:tcPr>
          <w:p w14:paraId="4997C9BA"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Formula terapéutica lista para consumir (FTLC)</w:t>
            </w:r>
          </w:p>
        </w:tc>
        <w:tc>
          <w:tcPr>
            <w:tcW w:w="1674" w:type="dxa"/>
            <w:tcBorders>
              <w:top w:val="nil"/>
              <w:left w:val="nil"/>
              <w:bottom w:val="nil"/>
              <w:right w:val="nil"/>
            </w:tcBorders>
            <w:shd w:val="clear" w:color="auto" w:fill="auto"/>
            <w:noWrap/>
            <w:vAlign w:val="bottom"/>
            <w:hideMark/>
          </w:tcPr>
          <w:p w14:paraId="5F22B1AC"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$115.764</w:t>
            </w:r>
          </w:p>
        </w:tc>
        <w:tc>
          <w:tcPr>
            <w:tcW w:w="1583" w:type="dxa"/>
            <w:tcBorders>
              <w:top w:val="nil"/>
              <w:left w:val="nil"/>
              <w:bottom w:val="nil"/>
              <w:right w:val="nil"/>
            </w:tcBorders>
            <w:shd w:val="clear" w:color="auto" w:fill="auto"/>
            <w:noWrap/>
            <w:vAlign w:val="bottom"/>
            <w:hideMark/>
          </w:tcPr>
          <w:p w14:paraId="5106E9C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0DB26D40" w14:textId="77777777" w:rsidTr="00EC5CC6">
        <w:trPr>
          <w:trHeight w:val="20"/>
          <w:jc w:val="center"/>
        </w:trPr>
        <w:tc>
          <w:tcPr>
            <w:tcW w:w="4029" w:type="dxa"/>
            <w:tcBorders>
              <w:top w:val="nil"/>
              <w:left w:val="nil"/>
              <w:bottom w:val="nil"/>
              <w:right w:val="nil"/>
            </w:tcBorders>
            <w:shd w:val="clear" w:color="auto" w:fill="auto"/>
            <w:vAlign w:val="center"/>
            <w:hideMark/>
          </w:tcPr>
          <w:p w14:paraId="027AB92F" w14:textId="77777777" w:rsidR="00B63DA0" w:rsidRPr="00606E51" w:rsidRDefault="00B63DA0" w:rsidP="00EC5CC6">
            <w:pPr>
              <w:ind w:firstLineChars="200" w:firstLine="32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Precio sobre FTLC</w:t>
            </w:r>
            <w:r w:rsidRPr="00606E51">
              <w:rPr>
                <w:rFonts w:cs="Times New Roman"/>
                <w:bCs/>
                <w:sz w:val="16"/>
                <w:szCs w:val="16"/>
                <w:vertAlign w:val="superscript"/>
                <w:lang w:val="es-CO"/>
              </w:rPr>
              <w:t>1</w:t>
            </w:r>
          </w:p>
        </w:tc>
        <w:tc>
          <w:tcPr>
            <w:tcW w:w="1674" w:type="dxa"/>
            <w:tcBorders>
              <w:top w:val="nil"/>
              <w:left w:val="nil"/>
              <w:bottom w:val="nil"/>
              <w:right w:val="nil"/>
            </w:tcBorders>
            <w:shd w:val="clear" w:color="auto" w:fill="auto"/>
            <w:noWrap/>
            <w:vAlign w:val="bottom"/>
            <w:hideMark/>
          </w:tcPr>
          <w:p w14:paraId="391EFCB1"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1.257</w:t>
            </w:r>
          </w:p>
        </w:tc>
        <w:tc>
          <w:tcPr>
            <w:tcW w:w="1583" w:type="dxa"/>
            <w:tcBorders>
              <w:top w:val="nil"/>
              <w:left w:val="nil"/>
              <w:bottom w:val="nil"/>
              <w:right w:val="nil"/>
            </w:tcBorders>
            <w:shd w:val="clear" w:color="auto" w:fill="auto"/>
            <w:noWrap/>
            <w:vAlign w:val="bottom"/>
            <w:hideMark/>
          </w:tcPr>
          <w:p w14:paraId="74D0EA1E"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6B5ADA8B" w14:textId="77777777" w:rsidTr="00EC5CC6">
        <w:trPr>
          <w:trHeight w:val="20"/>
          <w:jc w:val="center"/>
        </w:trPr>
        <w:tc>
          <w:tcPr>
            <w:tcW w:w="4029" w:type="dxa"/>
            <w:tcBorders>
              <w:top w:val="nil"/>
              <w:left w:val="nil"/>
              <w:bottom w:val="nil"/>
              <w:right w:val="nil"/>
            </w:tcBorders>
            <w:shd w:val="clear" w:color="auto" w:fill="auto"/>
            <w:vAlign w:val="center"/>
            <w:hideMark/>
          </w:tcPr>
          <w:p w14:paraId="1115D68B" w14:textId="77777777" w:rsidR="00B63DA0" w:rsidRPr="00606E51" w:rsidRDefault="00B63DA0" w:rsidP="00EC5CC6">
            <w:pPr>
              <w:ind w:firstLineChars="200" w:firstLine="32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Número de sobres por niño</w:t>
            </w:r>
            <w:r w:rsidRPr="00606E51">
              <w:rPr>
                <w:rFonts w:cs="Times New Roman"/>
                <w:bCs/>
                <w:sz w:val="16"/>
                <w:szCs w:val="16"/>
                <w:vertAlign w:val="superscript"/>
                <w:lang w:val="es-CO"/>
              </w:rPr>
              <w:t>2</w:t>
            </w:r>
          </w:p>
        </w:tc>
        <w:tc>
          <w:tcPr>
            <w:tcW w:w="1674" w:type="dxa"/>
            <w:tcBorders>
              <w:top w:val="nil"/>
              <w:left w:val="nil"/>
              <w:bottom w:val="nil"/>
              <w:right w:val="nil"/>
            </w:tcBorders>
            <w:shd w:val="clear" w:color="auto" w:fill="auto"/>
            <w:noWrap/>
            <w:vAlign w:val="bottom"/>
            <w:hideMark/>
          </w:tcPr>
          <w:p w14:paraId="0DD43F02"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92</w:t>
            </w:r>
          </w:p>
        </w:tc>
        <w:tc>
          <w:tcPr>
            <w:tcW w:w="1583" w:type="dxa"/>
            <w:tcBorders>
              <w:top w:val="nil"/>
              <w:left w:val="nil"/>
              <w:bottom w:val="nil"/>
              <w:right w:val="nil"/>
            </w:tcBorders>
            <w:shd w:val="clear" w:color="auto" w:fill="auto"/>
            <w:noWrap/>
            <w:vAlign w:val="bottom"/>
            <w:hideMark/>
          </w:tcPr>
          <w:p w14:paraId="2281DF2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7C81C93C"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177EFE9C"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Kit FTLC</w:t>
            </w:r>
            <w:r w:rsidRPr="00606E51">
              <w:rPr>
                <w:rFonts w:cs="Times New Roman"/>
                <w:bCs/>
                <w:sz w:val="16"/>
                <w:szCs w:val="16"/>
                <w:vertAlign w:val="superscript"/>
                <w:lang w:val="es-CO"/>
              </w:rPr>
              <w:t>3</w:t>
            </w:r>
          </w:p>
        </w:tc>
        <w:tc>
          <w:tcPr>
            <w:tcW w:w="1674" w:type="dxa"/>
            <w:tcBorders>
              <w:top w:val="nil"/>
              <w:left w:val="nil"/>
              <w:bottom w:val="nil"/>
              <w:right w:val="nil"/>
            </w:tcBorders>
            <w:shd w:val="clear" w:color="auto" w:fill="auto"/>
            <w:noWrap/>
            <w:vAlign w:val="bottom"/>
            <w:hideMark/>
          </w:tcPr>
          <w:p w14:paraId="7DFA60BD"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$13.850</w:t>
            </w:r>
          </w:p>
        </w:tc>
        <w:tc>
          <w:tcPr>
            <w:tcW w:w="1583" w:type="dxa"/>
            <w:tcBorders>
              <w:top w:val="nil"/>
              <w:left w:val="nil"/>
              <w:bottom w:val="nil"/>
              <w:right w:val="nil"/>
            </w:tcBorders>
            <w:shd w:val="clear" w:color="auto" w:fill="auto"/>
            <w:noWrap/>
            <w:vAlign w:val="bottom"/>
            <w:hideMark/>
          </w:tcPr>
          <w:p w14:paraId="095E2A1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39334612"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1A11FFEE"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Otros insumos y costos no comunes</w:t>
            </w:r>
          </w:p>
        </w:tc>
        <w:tc>
          <w:tcPr>
            <w:tcW w:w="1674" w:type="dxa"/>
            <w:tcBorders>
              <w:top w:val="nil"/>
              <w:left w:val="nil"/>
              <w:bottom w:val="nil"/>
              <w:right w:val="nil"/>
            </w:tcBorders>
            <w:shd w:val="clear" w:color="auto" w:fill="auto"/>
            <w:noWrap/>
            <w:vAlign w:val="bottom"/>
            <w:hideMark/>
          </w:tcPr>
          <w:p w14:paraId="3F940E20"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1583" w:type="dxa"/>
            <w:tcBorders>
              <w:top w:val="nil"/>
              <w:left w:val="nil"/>
              <w:bottom w:val="nil"/>
              <w:right w:val="nil"/>
            </w:tcBorders>
            <w:shd w:val="clear" w:color="auto" w:fill="auto"/>
            <w:noWrap/>
            <w:vAlign w:val="bottom"/>
            <w:hideMark/>
          </w:tcPr>
          <w:p w14:paraId="2DEEB219"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7D011ABC"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7F13E3F9"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Costos de entrenamiento</w:t>
            </w:r>
          </w:p>
        </w:tc>
        <w:tc>
          <w:tcPr>
            <w:tcW w:w="1674" w:type="dxa"/>
            <w:tcBorders>
              <w:top w:val="nil"/>
              <w:left w:val="nil"/>
              <w:bottom w:val="nil"/>
              <w:right w:val="nil"/>
            </w:tcBorders>
            <w:shd w:val="clear" w:color="auto" w:fill="auto"/>
            <w:noWrap/>
            <w:vAlign w:val="bottom"/>
            <w:hideMark/>
          </w:tcPr>
          <w:p w14:paraId="391DB39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c>
          <w:tcPr>
            <w:tcW w:w="1583" w:type="dxa"/>
            <w:tcBorders>
              <w:top w:val="nil"/>
              <w:left w:val="nil"/>
              <w:bottom w:val="nil"/>
              <w:right w:val="nil"/>
            </w:tcBorders>
            <w:shd w:val="clear" w:color="auto" w:fill="auto"/>
            <w:noWrap/>
            <w:vAlign w:val="bottom"/>
            <w:hideMark/>
          </w:tcPr>
          <w:p w14:paraId="437F12CD"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35B55B27" w14:textId="77777777" w:rsidTr="00EC5CC6">
        <w:trPr>
          <w:trHeight w:val="20"/>
          <w:jc w:val="center"/>
        </w:trPr>
        <w:tc>
          <w:tcPr>
            <w:tcW w:w="4029" w:type="dxa"/>
            <w:tcBorders>
              <w:top w:val="nil"/>
              <w:left w:val="nil"/>
              <w:bottom w:val="nil"/>
              <w:right w:val="nil"/>
            </w:tcBorders>
            <w:shd w:val="clear" w:color="auto" w:fill="auto"/>
            <w:vAlign w:val="center"/>
            <w:hideMark/>
          </w:tcPr>
          <w:p w14:paraId="2E6B9D74"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Total</w:t>
            </w:r>
          </w:p>
        </w:tc>
        <w:tc>
          <w:tcPr>
            <w:tcW w:w="1674" w:type="dxa"/>
            <w:tcBorders>
              <w:top w:val="nil"/>
              <w:left w:val="nil"/>
              <w:bottom w:val="nil"/>
              <w:right w:val="nil"/>
            </w:tcBorders>
            <w:shd w:val="clear" w:color="auto" w:fill="auto"/>
            <w:noWrap/>
            <w:vAlign w:val="bottom"/>
            <w:hideMark/>
          </w:tcPr>
          <w:p w14:paraId="7184280E"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$129.614</w:t>
            </w:r>
          </w:p>
        </w:tc>
        <w:tc>
          <w:tcPr>
            <w:tcW w:w="1583" w:type="dxa"/>
            <w:tcBorders>
              <w:top w:val="nil"/>
              <w:left w:val="nil"/>
              <w:bottom w:val="nil"/>
              <w:right w:val="nil"/>
            </w:tcBorders>
            <w:shd w:val="clear" w:color="auto" w:fill="auto"/>
            <w:noWrap/>
            <w:vAlign w:val="bottom"/>
            <w:hideMark/>
          </w:tcPr>
          <w:p w14:paraId="760194C6"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02334958" w14:textId="77777777" w:rsidTr="00EC5CC6">
        <w:trPr>
          <w:trHeight w:val="20"/>
          <w:jc w:val="center"/>
        </w:trPr>
        <w:tc>
          <w:tcPr>
            <w:tcW w:w="4029" w:type="dxa"/>
            <w:tcBorders>
              <w:top w:val="single" w:sz="4" w:space="0" w:color="auto"/>
              <w:left w:val="nil"/>
              <w:bottom w:val="single" w:sz="4" w:space="0" w:color="auto"/>
              <w:right w:val="nil"/>
            </w:tcBorders>
            <w:shd w:val="clear" w:color="auto" w:fill="auto"/>
            <w:noWrap/>
            <w:vAlign w:val="center"/>
            <w:hideMark/>
          </w:tcPr>
          <w:p w14:paraId="0976BE50"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Manejo intrahospitalario</w:t>
            </w:r>
          </w:p>
        </w:tc>
        <w:tc>
          <w:tcPr>
            <w:tcW w:w="1674" w:type="dxa"/>
            <w:tcBorders>
              <w:top w:val="single" w:sz="4" w:space="0" w:color="auto"/>
              <w:left w:val="nil"/>
              <w:bottom w:val="single" w:sz="4" w:space="0" w:color="auto"/>
              <w:right w:val="nil"/>
            </w:tcBorders>
            <w:shd w:val="clear" w:color="auto" w:fill="auto"/>
            <w:vAlign w:val="center"/>
            <w:hideMark/>
          </w:tcPr>
          <w:p w14:paraId="2B6FC00E"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Con lineamiento</w:t>
            </w:r>
          </w:p>
        </w:tc>
        <w:tc>
          <w:tcPr>
            <w:tcW w:w="1583" w:type="dxa"/>
            <w:tcBorders>
              <w:top w:val="single" w:sz="4" w:space="0" w:color="auto"/>
              <w:left w:val="nil"/>
              <w:bottom w:val="single" w:sz="4" w:space="0" w:color="auto"/>
              <w:right w:val="nil"/>
            </w:tcBorders>
            <w:shd w:val="clear" w:color="auto" w:fill="auto"/>
            <w:vAlign w:val="center"/>
            <w:hideMark/>
          </w:tcPr>
          <w:p w14:paraId="7927AD61" w14:textId="77777777" w:rsidR="00B63DA0" w:rsidRPr="00606E51" w:rsidRDefault="00B63DA0" w:rsidP="00EC5CC6">
            <w:pPr>
              <w:jc w:val="cente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 xml:space="preserve">Sin lineamiento </w:t>
            </w:r>
          </w:p>
        </w:tc>
      </w:tr>
      <w:tr w:rsidR="00B63DA0" w:rsidRPr="00606E51" w14:paraId="0E7B6BA0"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0491660D"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Costo en consultas</w:t>
            </w:r>
            <w:r w:rsidRPr="00606E51">
              <w:rPr>
                <w:rFonts w:cs="Times New Roman"/>
                <w:bCs/>
                <w:sz w:val="16"/>
                <w:szCs w:val="16"/>
                <w:vertAlign w:val="superscript"/>
                <w:lang w:val="es-CO"/>
              </w:rPr>
              <w:t>4</w:t>
            </w:r>
          </w:p>
        </w:tc>
        <w:tc>
          <w:tcPr>
            <w:tcW w:w="1674" w:type="dxa"/>
            <w:tcBorders>
              <w:top w:val="nil"/>
              <w:left w:val="nil"/>
              <w:bottom w:val="nil"/>
              <w:right w:val="nil"/>
            </w:tcBorders>
            <w:shd w:val="clear" w:color="auto" w:fill="auto"/>
            <w:noWrap/>
            <w:vAlign w:val="bottom"/>
            <w:hideMark/>
          </w:tcPr>
          <w:p w14:paraId="5904B33A"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$23.734</w:t>
            </w:r>
          </w:p>
        </w:tc>
        <w:tc>
          <w:tcPr>
            <w:tcW w:w="1583" w:type="dxa"/>
            <w:tcBorders>
              <w:top w:val="nil"/>
              <w:left w:val="nil"/>
              <w:bottom w:val="nil"/>
              <w:right w:val="nil"/>
            </w:tcBorders>
            <w:shd w:val="clear" w:color="auto" w:fill="auto"/>
            <w:noWrap/>
            <w:vAlign w:val="bottom"/>
            <w:hideMark/>
          </w:tcPr>
          <w:p w14:paraId="245C92E0"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$23.734</w:t>
            </w:r>
          </w:p>
        </w:tc>
      </w:tr>
      <w:tr w:rsidR="00B63DA0" w:rsidRPr="00606E51" w14:paraId="393C725F"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2FDCA135"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lastRenderedPageBreak/>
              <w:t>Costos de procedimientos</w:t>
            </w:r>
            <w:r w:rsidRPr="00606E51">
              <w:rPr>
                <w:rFonts w:cs="Times New Roman"/>
                <w:bCs/>
                <w:sz w:val="16"/>
                <w:szCs w:val="16"/>
                <w:vertAlign w:val="superscript"/>
                <w:lang w:val="es-CO"/>
              </w:rPr>
              <w:t>4 y 5</w:t>
            </w:r>
          </w:p>
        </w:tc>
        <w:tc>
          <w:tcPr>
            <w:tcW w:w="1674" w:type="dxa"/>
            <w:tcBorders>
              <w:top w:val="nil"/>
              <w:left w:val="nil"/>
              <w:bottom w:val="nil"/>
              <w:right w:val="nil"/>
            </w:tcBorders>
            <w:shd w:val="clear" w:color="auto" w:fill="auto"/>
            <w:noWrap/>
            <w:vAlign w:val="bottom"/>
            <w:hideMark/>
          </w:tcPr>
          <w:p w14:paraId="3E213E0E"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$61.600</w:t>
            </w:r>
          </w:p>
        </w:tc>
        <w:tc>
          <w:tcPr>
            <w:tcW w:w="1583" w:type="dxa"/>
            <w:tcBorders>
              <w:top w:val="nil"/>
              <w:left w:val="nil"/>
              <w:bottom w:val="nil"/>
              <w:right w:val="nil"/>
            </w:tcBorders>
            <w:shd w:val="clear" w:color="auto" w:fill="auto"/>
            <w:noWrap/>
            <w:vAlign w:val="bottom"/>
            <w:hideMark/>
          </w:tcPr>
          <w:p w14:paraId="1C5663B9"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$68.056</w:t>
            </w:r>
          </w:p>
        </w:tc>
      </w:tr>
      <w:tr w:rsidR="00B63DA0" w:rsidRPr="00606E51" w14:paraId="6F41FDE4"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5EFC68E6"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Costo de medicamentos e insumos</w:t>
            </w:r>
            <w:r w:rsidRPr="00606E51">
              <w:rPr>
                <w:rFonts w:cs="Times New Roman"/>
                <w:bCs/>
                <w:sz w:val="16"/>
                <w:szCs w:val="16"/>
                <w:vertAlign w:val="superscript"/>
                <w:lang w:val="es-CO"/>
              </w:rPr>
              <w:t>5</w:t>
            </w:r>
          </w:p>
        </w:tc>
        <w:tc>
          <w:tcPr>
            <w:tcW w:w="1674" w:type="dxa"/>
            <w:tcBorders>
              <w:top w:val="nil"/>
              <w:left w:val="nil"/>
              <w:bottom w:val="nil"/>
              <w:right w:val="nil"/>
            </w:tcBorders>
            <w:shd w:val="clear" w:color="auto" w:fill="auto"/>
            <w:noWrap/>
            <w:vAlign w:val="bottom"/>
            <w:hideMark/>
          </w:tcPr>
          <w:p w14:paraId="145116D9"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$44.035</w:t>
            </w:r>
          </w:p>
        </w:tc>
        <w:tc>
          <w:tcPr>
            <w:tcW w:w="1583" w:type="dxa"/>
            <w:tcBorders>
              <w:top w:val="nil"/>
              <w:left w:val="nil"/>
              <w:bottom w:val="nil"/>
              <w:right w:val="nil"/>
            </w:tcBorders>
            <w:shd w:val="clear" w:color="auto" w:fill="auto"/>
            <w:noWrap/>
            <w:vAlign w:val="center"/>
            <w:hideMark/>
          </w:tcPr>
          <w:p w14:paraId="05E64DC4" w14:textId="77777777" w:rsidR="00B63DA0" w:rsidRPr="00606E51" w:rsidRDefault="00B63DA0" w:rsidP="00EC5CC6">
            <w:pPr>
              <w:jc w:val="cente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w:t>
            </w:r>
          </w:p>
        </w:tc>
      </w:tr>
      <w:tr w:rsidR="00B63DA0" w:rsidRPr="00606E51" w14:paraId="3DA4E1A4"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51B5FBAE" w14:textId="77777777" w:rsidR="00B63DA0" w:rsidRPr="00606E51" w:rsidRDefault="00B63DA0" w:rsidP="00EC5CC6">
            <w:pPr>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Costos de estancia en hospitalización</w:t>
            </w:r>
            <w:r w:rsidRPr="00606E51">
              <w:rPr>
                <w:rFonts w:cs="Times New Roman"/>
                <w:bCs/>
                <w:sz w:val="16"/>
                <w:szCs w:val="16"/>
                <w:vertAlign w:val="superscript"/>
                <w:lang w:val="es-CO"/>
              </w:rPr>
              <w:t>5</w:t>
            </w:r>
          </w:p>
        </w:tc>
        <w:tc>
          <w:tcPr>
            <w:tcW w:w="1674" w:type="dxa"/>
            <w:tcBorders>
              <w:top w:val="nil"/>
              <w:left w:val="nil"/>
              <w:bottom w:val="nil"/>
              <w:right w:val="nil"/>
            </w:tcBorders>
            <w:shd w:val="clear" w:color="auto" w:fill="auto"/>
            <w:noWrap/>
            <w:vAlign w:val="bottom"/>
            <w:hideMark/>
          </w:tcPr>
          <w:p w14:paraId="4D8512C2"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$1.341.400</w:t>
            </w:r>
          </w:p>
        </w:tc>
        <w:tc>
          <w:tcPr>
            <w:tcW w:w="1583" w:type="dxa"/>
            <w:tcBorders>
              <w:top w:val="nil"/>
              <w:left w:val="nil"/>
              <w:bottom w:val="nil"/>
              <w:right w:val="nil"/>
            </w:tcBorders>
            <w:shd w:val="clear" w:color="auto" w:fill="auto"/>
            <w:noWrap/>
            <w:vAlign w:val="bottom"/>
            <w:hideMark/>
          </w:tcPr>
          <w:p w14:paraId="052D806F"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$1.341.400</w:t>
            </w:r>
          </w:p>
        </w:tc>
      </w:tr>
      <w:tr w:rsidR="00B63DA0" w:rsidRPr="00606E51" w14:paraId="3554223D" w14:textId="77777777" w:rsidTr="00EC5CC6">
        <w:trPr>
          <w:trHeight w:val="20"/>
          <w:jc w:val="center"/>
        </w:trPr>
        <w:tc>
          <w:tcPr>
            <w:tcW w:w="4029" w:type="dxa"/>
            <w:tcBorders>
              <w:top w:val="nil"/>
              <w:left w:val="nil"/>
              <w:bottom w:val="nil"/>
              <w:right w:val="nil"/>
            </w:tcBorders>
            <w:shd w:val="clear" w:color="auto" w:fill="auto"/>
            <w:noWrap/>
            <w:vAlign w:val="center"/>
            <w:hideMark/>
          </w:tcPr>
          <w:p w14:paraId="797116B5" w14:textId="77777777" w:rsidR="00B63DA0" w:rsidRPr="00606E51" w:rsidRDefault="00B63DA0" w:rsidP="00EC5CC6">
            <w:pPr>
              <w:ind w:firstLineChars="200" w:firstLine="32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Días de hospitalización</w:t>
            </w:r>
          </w:p>
        </w:tc>
        <w:tc>
          <w:tcPr>
            <w:tcW w:w="1674" w:type="dxa"/>
            <w:tcBorders>
              <w:top w:val="nil"/>
              <w:left w:val="nil"/>
              <w:bottom w:val="nil"/>
              <w:right w:val="nil"/>
            </w:tcBorders>
            <w:shd w:val="clear" w:color="auto" w:fill="auto"/>
            <w:noWrap/>
            <w:vAlign w:val="bottom"/>
            <w:hideMark/>
          </w:tcPr>
          <w:p w14:paraId="02811E8F"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c>
          <w:tcPr>
            <w:tcW w:w="1583" w:type="dxa"/>
            <w:tcBorders>
              <w:top w:val="nil"/>
              <w:left w:val="nil"/>
              <w:bottom w:val="nil"/>
              <w:right w:val="nil"/>
            </w:tcBorders>
            <w:shd w:val="clear" w:color="auto" w:fill="auto"/>
            <w:noWrap/>
            <w:vAlign w:val="bottom"/>
            <w:hideMark/>
          </w:tcPr>
          <w:p w14:paraId="2E7E10B8"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9,9</w:t>
            </w:r>
          </w:p>
        </w:tc>
      </w:tr>
      <w:tr w:rsidR="00B63DA0" w:rsidRPr="00606E51" w14:paraId="34A2576F" w14:textId="77777777" w:rsidTr="00EC5CC6">
        <w:trPr>
          <w:trHeight w:val="20"/>
          <w:jc w:val="center"/>
        </w:trPr>
        <w:tc>
          <w:tcPr>
            <w:tcW w:w="4029" w:type="dxa"/>
            <w:tcBorders>
              <w:top w:val="nil"/>
              <w:left w:val="nil"/>
              <w:bottom w:val="single" w:sz="4" w:space="0" w:color="auto"/>
              <w:right w:val="nil"/>
            </w:tcBorders>
            <w:shd w:val="clear" w:color="auto" w:fill="auto"/>
            <w:noWrap/>
            <w:vAlign w:val="center"/>
            <w:hideMark/>
          </w:tcPr>
          <w:p w14:paraId="77B23BE6" w14:textId="77777777" w:rsidR="00B63DA0" w:rsidRPr="00606E51" w:rsidRDefault="00B63DA0" w:rsidP="00EC5CC6">
            <w:pPr>
              <w:ind w:firstLineChars="200" w:firstLine="320"/>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Costo estancia intrahospitalaria</w:t>
            </w:r>
          </w:p>
        </w:tc>
        <w:tc>
          <w:tcPr>
            <w:tcW w:w="1674" w:type="dxa"/>
            <w:tcBorders>
              <w:top w:val="nil"/>
              <w:left w:val="nil"/>
              <w:bottom w:val="single" w:sz="4" w:space="0" w:color="auto"/>
              <w:right w:val="nil"/>
            </w:tcBorders>
            <w:shd w:val="clear" w:color="auto" w:fill="auto"/>
            <w:noWrap/>
            <w:vAlign w:val="bottom"/>
            <w:hideMark/>
          </w:tcPr>
          <w:p w14:paraId="0BB0DA2C"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$134.900</w:t>
            </w:r>
          </w:p>
        </w:tc>
        <w:tc>
          <w:tcPr>
            <w:tcW w:w="1583" w:type="dxa"/>
            <w:tcBorders>
              <w:top w:val="nil"/>
              <w:left w:val="nil"/>
              <w:bottom w:val="single" w:sz="4" w:space="0" w:color="auto"/>
              <w:right w:val="nil"/>
            </w:tcBorders>
            <w:shd w:val="clear" w:color="auto" w:fill="auto"/>
            <w:noWrap/>
            <w:vAlign w:val="bottom"/>
            <w:hideMark/>
          </w:tcPr>
          <w:p w14:paraId="1AAE87F4"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$134.900</w:t>
            </w:r>
          </w:p>
        </w:tc>
      </w:tr>
      <w:tr w:rsidR="00B63DA0" w:rsidRPr="00606E51" w14:paraId="09295A3A" w14:textId="77777777" w:rsidTr="00EC5CC6">
        <w:trPr>
          <w:trHeight w:val="20"/>
          <w:jc w:val="center"/>
        </w:trPr>
        <w:tc>
          <w:tcPr>
            <w:tcW w:w="4029" w:type="dxa"/>
            <w:tcBorders>
              <w:top w:val="nil"/>
              <w:left w:val="nil"/>
              <w:bottom w:val="single" w:sz="4" w:space="0" w:color="auto"/>
              <w:right w:val="nil"/>
            </w:tcBorders>
            <w:shd w:val="clear" w:color="auto" w:fill="auto"/>
            <w:noWrap/>
            <w:vAlign w:val="center"/>
            <w:hideMark/>
          </w:tcPr>
          <w:p w14:paraId="53011537" w14:textId="77777777" w:rsidR="00B63DA0" w:rsidRPr="00606E51" w:rsidRDefault="00B63DA0" w:rsidP="00EC5CC6">
            <w:pPr>
              <w:rPr>
                <w:rFonts w:eastAsia="Times New Roman" w:cs="Times New Roman"/>
                <w:b/>
                <w:bCs/>
                <w:color w:val="000000"/>
                <w:sz w:val="16"/>
                <w:szCs w:val="16"/>
                <w:lang w:val="es-CO" w:eastAsia="es-CO"/>
              </w:rPr>
            </w:pPr>
            <w:r w:rsidRPr="00606E51">
              <w:rPr>
                <w:rFonts w:eastAsia="Times New Roman" w:cs="Times New Roman"/>
                <w:b/>
                <w:bCs/>
                <w:color w:val="000000"/>
                <w:sz w:val="16"/>
                <w:szCs w:val="16"/>
                <w:lang w:val="es-CO" w:eastAsia="es-CO"/>
              </w:rPr>
              <w:t>Total</w:t>
            </w:r>
          </w:p>
        </w:tc>
        <w:tc>
          <w:tcPr>
            <w:tcW w:w="1674" w:type="dxa"/>
            <w:tcBorders>
              <w:top w:val="nil"/>
              <w:left w:val="nil"/>
              <w:bottom w:val="single" w:sz="4" w:space="0" w:color="auto"/>
              <w:right w:val="nil"/>
            </w:tcBorders>
            <w:shd w:val="clear" w:color="auto" w:fill="auto"/>
            <w:noWrap/>
            <w:vAlign w:val="bottom"/>
            <w:hideMark/>
          </w:tcPr>
          <w:p w14:paraId="6B97BB4A"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1.465.405</w:t>
            </w:r>
          </w:p>
        </w:tc>
        <w:tc>
          <w:tcPr>
            <w:tcW w:w="1583" w:type="dxa"/>
            <w:tcBorders>
              <w:top w:val="nil"/>
              <w:left w:val="nil"/>
              <w:bottom w:val="single" w:sz="4" w:space="0" w:color="auto"/>
              <w:right w:val="nil"/>
            </w:tcBorders>
            <w:shd w:val="clear" w:color="auto" w:fill="auto"/>
            <w:noWrap/>
            <w:vAlign w:val="bottom"/>
            <w:hideMark/>
          </w:tcPr>
          <w:p w14:paraId="36F8FDB2" w14:textId="77777777" w:rsidR="00B63DA0" w:rsidRPr="00606E51" w:rsidRDefault="00B63DA0" w:rsidP="00EC5CC6">
            <w:pPr>
              <w:jc w:val="right"/>
              <w:rPr>
                <w:rFonts w:eastAsia="Times New Roman" w:cs="Times New Roman"/>
                <w:color w:val="000000"/>
                <w:sz w:val="16"/>
                <w:szCs w:val="16"/>
                <w:lang w:val="es-CO" w:eastAsia="es-CO"/>
              </w:rPr>
            </w:pPr>
            <w:r w:rsidRPr="00606E51">
              <w:rPr>
                <w:rFonts w:eastAsia="Times New Roman" w:cs="Times New Roman"/>
                <w:color w:val="000000"/>
                <w:sz w:val="16"/>
                <w:szCs w:val="16"/>
                <w:lang w:val="es-CO" w:eastAsia="es-CO"/>
              </w:rPr>
              <w:t>1.433.190</w:t>
            </w:r>
          </w:p>
        </w:tc>
      </w:tr>
    </w:tbl>
    <w:p w14:paraId="12771E44" w14:textId="77777777" w:rsidR="00B63DA0" w:rsidRPr="00606E51" w:rsidRDefault="00B63DA0" w:rsidP="00230768">
      <w:pPr>
        <w:jc w:val="both"/>
        <w:rPr>
          <w:lang w:val="es-CO"/>
        </w:rPr>
      </w:pPr>
      <w:r w:rsidRPr="00606E51">
        <w:rPr>
          <w:bCs/>
          <w:sz w:val="18"/>
          <w:szCs w:val="20"/>
          <w:lang w:val="es-CO"/>
        </w:rPr>
        <w:t xml:space="preserve">Fuente: </w:t>
      </w:r>
      <w:r w:rsidRPr="00606E51">
        <w:rPr>
          <w:bCs/>
          <w:sz w:val="18"/>
          <w:szCs w:val="20"/>
          <w:vertAlign w:val="superscript"/>
          <w:lang w:val="es-CO"/>
        </w:rPr>
        <w:t>1</w:t>
      </w:r>
      <w:r w:rsidRPr="00606E51">
        <w:rPr>
          <w:bCs/>
          <w:sz w:val="18"/>
          <w:szCs w:val="20"/>
          <w:lang w:val="es-CO"/>
        </w:rPr>
        <w:t xml:space="preserve">UNICEF, </w:t>
      </w:r>
      <w:r w:rsidRPr="00606E51">
        <w:rPr>
          <w:bCs/>
          <w:sz w:val="18"/>
          <w:szCs w:val="20"/>
          <w:vertAlign w:val="superscript"/>
          <w:lang w:val="es-CO"/>
        </w:rPr>
        <w:t>2</w:t>
      </w:r>
      <w:r w:rsidRPr="00606E51">
        <w:rPr>
          <w:bCs/>
          <w:sz w:val="18"/>
          <w:szCs w:val="20"/>
          <w:lang w:val="es-CO"/>
        </w:rPr>
        <w:t xml:space="preserve">UNICEF-MSPS, </w:t>
      </w:r>
      <w:r w:rsidRPr="00606E51">
        <w:rPr>
          <w:bCs/>
          <w:sz w:val="18"/>
          <w:szCs w:val="20"/>
          <w:vertAlign w:val="superscript"/>
          <w:lang w:val="es-CO"/>
        </w:rPr>
        <w:t>3</w:t>
      </w:r>
      <w:r w:rsidRPr="00606E51">
        <w:rPr>
          <w:bCs/>
          <w:sz w:val="18"/>
          <w:szCs w:val="20"/>
          <w:lang w:val="es-CO"/>
        </w:rPr>
        <w:t xml:space="preserve">Estimación de los autores a partir del Lineamiento, </w:t>
      </w:r>
      <w:r w:rsidRPr="00606E51">
        <w:rPr>
          <w:bCs/>
          <w:sz w:val="18"/>
          <w:szCs w:val="20"/>
          <w:vertAlign w:val="superscript"/>
          <w:lang w:val="es-CO"/>
        </w:rPr>
        <w:t>4</w:t>
      </w:r>
      <w:r w:rsidRPr="00606E51">
        <w:rPr>
          <w:bCs/>
          <w:sz w:val="18"/>
          <w:szCs w:val="20"/>
          <w:lang w:val="es-CO"/>
        </w:rPr>
        <w:t xml:space="preserve">RIPS, </w:t>
      </w:r>
      <w:r w:rsidRPr="00606E51">
        <w:rPr>
          <w:bCs/>
          <w:sz w:val="18"/>
          <w:szCs w:val="20"/>
          <w:vertAlign w:val="superscript"/>
          <w:lang w:val="es-CO"/>
        </w:rPr>
        <w:t>5</w:t>
      </w:r>
      <w:r w:rsidRPr="00606E51">
        <w:rPr>
          <w:bCs/>
          <w:sz w:val="18"/>
          <w:szCs w:val="20"/>
          <w:lang w:val="es-CO"/>
        </w:rPr>
        <w:t>Autores a partir del Lineamiento SISMED, tarifario SOAT-2016 y UNICEF. Precios de 2016</w:t>
      </w:r>
      <w:r w:rsidRPr="00606E51">
        <w:rPr>
          <w:bCs/>
          <w:sz w:val="21"/>
          <w:lang w:val="es-CO"/>
        </w:rPr>
        <w:t>.</w:t>
      </w:r>
    </w:p>
    <w:p w14:paraId="7ED0DD35" w14:textId="77777777" w:rsidR="0074083D" w:rsidRPr="00606E51" w:rsidRDefault="0074083D" w:rsidP="00230768">
      <w:pPr>
        <w:jc w:val="both"/>
        <w:rPr>
          <w:lang w:val="es-CO"/>
        </w:rPr>
      </w:pPr>
    </w:p>
    <w:p w14:paraId="2DC33789" w14:textId="77777777" w:rsidR="00BA4E60" w:rsidRPr="00606E51" w:rsidRDefault="00BA4E60" w:rsidP="00997568">
      <w:pPr>
        <w:pStyle w:val="Heading3"/>
        <w:rPr>
          <w:lang w:val="es-CO"/>
        </w:rPr>
      </w:pPr>
      <w:bookmarkStart w:id="60" w:name="_Toc482216919"/>
      <w:bookmarkStart w:id="61" w:name="_Toc505090947"/>
      <w:r w:rsidRPr="00606E51">
        <w:rPr>
          <w:lang w:val="es-CO"/>
        </w:rPr>
        <w:t>Escenarios de evaluación</w:t>
      </w:r>
      <w:bookmarkEnd w:id="60"/>
      <w:bookmarkEnd w:id="61"/>
    </w:p>
    <w:p w14:paraId="35365138" w14:textId="77777777" w:rsidR="00961280" w:rsidRPr="00606E51" w:rsidRDefault="00961280" w:rsidP="00230768">
      <w:pPr>
        <w:jc w:val="both"/>
        <w:rPr>
          <w:lang w:val="es-CO"/>
        </w:rPr>
      </w:pPr>
    </w:p>
    <w:p w14:paraId="7FD6B1FF" w14:textId="77777777" w:rsidR="00BA4E60" w:rsidRPr="00606E51" w:rsidRDefault="00BA4E60" w:rsidP="00230768">
      <w:pPr>
        <w:jc w:val="both"/>
        <w:rPr>
          <w:lang w:val="es-CO"/>
        </w:rPr>
      </w:pPr>
      <w:r w:rsidRPr="00606E51">
        <w:rPr>
          <w:lang w:val="es-CO"/>
        </w:rPr>
        <w:t>Con el fin de evaluar los efectos de lineamento, de tal manera que sea posible identificar la variación en la medida de efectividad como resu</w:t>
      </w:r>
      <w:r w:rsidR="003B2A8F" w:rsidRPr="00606E51">
        <w:rPr>
          <w:lang w:val="es-CO"/>
        </w:rPr>
        <w:t>ltado de la implementación del L</w:t>
      </w:r>
      <w:r w:rsidRPr="00606E51">
        <w:rPr>
          <w:lang w:val="es-CO"/>
        </w:rPr>
        <w:t xml:space="preserve">ineamiento, es necesario describir </w:t>
      </w:r>
      <w:r w:rsidR="009E5D12">
        <w:rPr>
          <w:lang w:val="es-CO"/>
        </w:rPr>
        <w:t xml:space="preserve">dos </w:t>
      </w:r>
      <w:r w:rsidRPr="00606E51">
        <w:rPr>
          <w:lang w:val="es-CO"/>
        </w:rPr>
        <w:t>escenario</w:t>
      </w:r>
      <w:r w:rsidR="009E5D12">
        <w:rPr>
          <w:lang w:val="es-CO"/>
        </w:rPr>
        <w:t xml:space="preserve">s: Uno, </w:t>
      </w:r>
      <w:r w:rsidR="009E5D12" w:rsidRPr="00473097">
        <w:rPr>
          <w:highlight w:val="yellow"/>
          <w:lang w:val="es-CO"/>
        </w:rPr>
        <w:t xml:space="preserve">asumiendo la </w:t>
      </w:r>
      <w:r w:rsidR="003B2A8F" w:rsidRPr="00473097">
        <w:rPr>
          <w:highlight w:val="yellow"/>
          <w:lang w:val="es-CO"/>
        </w:rPr>
        <w:t>implementación del L</w:t>
      </w:r>
      <w:r w:rsidR="009E5D12" w:rsidRPr="00473097">
        <w:rPr>
          <w:highlight w:val="yellow"/>
          <w:lang w:val="es-CO"/>
        </w:rPr>
        <w:t xml:space="preserve">ineamiento, y el otro, </w:t>
      </w:r>
      <w:r w:rsidRPr="00473097">
        <w:rPr>
          <w:highlight w:val="yellow"/>
          <w:lang w:val="es-CO"/>
        </w:rPr>
        <w:t>sin implementación.</w:t>
      </w:r>
      <w:r w:rsidRPr="00606E51">
        <w:rPr>
          <w:lang w:val="es-CO"/>
        </w:rPr>
        <w:t xml:space="preserve"> </w:t>
      </w:r>
      <w:r w:rsidR="009E5D12">
        <w:rPr>
          <w:lang w:val="es-CO"/>
        </w:rPr>
        <w:t xml:space="preserve"> </w:t>
      </w:r>
      <w:r w:rsidRPr="00606E51">
        <w:rPr>
          <w:lang w:val="es-CO"/>
        </w:rPr>
        <w:t>Es importante aclarar que, considerando la información recopilada y los objetivos propuestos, este estudio no se debe considerar como una evaluación de impacto, sino como un análisis de costo efectividad, en donde se tienen en cuenta los costos i</w:t>
      </w:r>
      <w:r w:rsidR="003B2A8F" w:rsidRPr="00606E51">
        <w:rPr>
          <w:lang w:val="es-CO"/>
        </w:rPr>
        <w:t>ncrementales de implementar el L</w:t>
      </w:r>
      <w:r w:rsidRPr="00606E51">
        <w:rPr>
          <w:lang w:val="es-CO"/>
        </w:rPr>
        <w:t>ineamiento y el mejoramiento de las medidas de efectividad consideradas.</w:t>
      </w:r>
    </w:p>
    <w:p w14:paraId="6A778FFA" w14:textId="77777777" w:rsidR="0074083D" w:rsidRPr="00606E51" w:rsidRDefault="0074083D" w:rsidP="00230768">
      <w:pPr>
        <w:jc w:val="both"/>
        <w:rPr>
          <w:lang w:val="es-CO"/>
        </w:rPr>
      </w:pPr>
    </w:p>
    <w:p w14:paraId="02FBADD8" w14:textId="636BC14C" w:rsidR="00BA4E60" w:rsidRPr="0022109F" w:rsidRDefault="003B2A8F" w:rsidP="00720146">
      <w:pPr>
        <w:pStyle w:val="Heading4"/>
        <w:rPr>
          <w:lang w:val="es-CO"/>
        </w:rPr>
        <w:sectPr w:rsidR="00BA4E60" w:rsidRPr="0022109F" w:rsidSect="00720146">
          <w:pgSz w:w="12240" w:h="15840"/>
          <w:pgMar w:top="1418" w:right="1701" w:bottom="1418" w:left="1701" w:header="709" w:footer="709" w:gutter="0"/>
          <w:cols w:space="708"/>
          <w:docGrid w:linePitch="360"/>
        </w:sectPr>
      </w:pPr>
      <w:r w:rsidRPr="0022109F">
        <w:rPr>
          <w:lang w:val="es-CO"/>
        </w:rPr>
        <w:t>Implementación del L</w:t>
      </w:r>
      <w:r w:rsidR="00C46AD0" w:rsidRPr="00720146">
        <w:rPr>
          <w:lang w:val="es-CO"/>
        </w:rPr>
        <w:t>ineamiento</w:t>
      </w:r>
    </w:p>
    <w:p w14:paraId="2A1475D1" w14:textId="77777777" w:rsidR="00D14A34" w:rsidRDefault="00D14A34" w:rsidP="00961280">
      <w:pPr>
        <w:jc w:val="both"/>
        <w:rPr>
          <w:lang w:val="es-CO"/>
        </w:rPr>
      </w:pPr>
    </w:p>
    <w:p w14:paraId="0C48F18B" w14:textId="526C9171" w:rsidR="00BA4E60" w:rsidRPr="00606E51" w:rsidRDefault="00BA4E60" w:rsidP="00961280">
      <w:pPr>
        <w:jc w:val="both"/>
        <w:rPr>
          <w:lang w:val="es-CO"/>
        </w:rPr>
      </w:pPr>
      <w:r w:rsidRPr="00606E51">
        <w:rPr>
          <w:lang w:val="es-CO"/>
        </w:rPr>
        <w:t>A pesa</w:t>
      </w:r>
      <w:r w:rsidR="00DF0E7B" w:rsidRPr="00606E51">
        <w:rPr>
          <w:lang w:val="es-CO"/>
        </w:rPr>
        <w:t>r de que la implementación del L</w:t>
      </w:r>
      <w:r w:rsidRPr="00606E51">
        <w:rPr>
          <w:lang w:val="es-CO"/>
        </w:rPr>
        <w:t>ineamiento está compuesta por la atención de niños y niñas con manejo en el hogar y de manera intrahospitalaria, la información disponible sobre</w:t>
      </w:r>
      <w:r w:rsidR="00DF0E7B" w:rsidRPr="00606E51">
        <w:rPr>
          <w:lang w:val="es-CO"/>
        </w:rPr>
        <w:t xml:space="preserve"> la implementación inicial del L</w:t>
      </w:r>
      <w:r w:rsidRPr="00606E51">
        <w:rPr>
          <w:lang w:val="es-CO"/>
        </w:rPr>
        <w:t xml:space="preserve">ineamiento </w:t>
      </w:r>
      <w:r w:rsidR="00496D14" w:rsidRPr="00473097">
        <w:rPr>
          <w:highlight w:val="yellow"/>
          <w:lang w:val="es-CO"/>
        </w:rPr>
        <w:t xml:space="preserve">obligó a tomar en cuenta solo a </w:t>
      </w:r>
      <w:r w:rsidRPr="00473097">
        <w:rPr>
          <w:highlight w:val="yellow"/>
          <w:lang w:val="es-CO"/>
        </w:rPr>
        <w:t>niños y niñas que fueron atendidos a través de equipos extramurales</w:t>
      </w:r>
      <w:r w:rsidR="00496D14" w:rsidRPr="00473097">
        <w:rPr>
          <w:highlight w:val="yellow"/>
          <w:lang w:val="es-CO"/>
        </w:rPr>
        <w:t>.</w:t>
      </w:r>
      <w:r w:rsidR="00496D14">
        <w:rPr>
          <w:lang w:val="es-CO"/>
        </w:rPr>
        <w:t xml:space="preserve">  No fue posible, entonces, </w:t>
      </w:r>
      <w:r w:rsidRPr="00606E51">
        <w:rPr>
          <w:lang w:val="es-CO"/>
        </w:rPr>
        <w:t xml:space="preserve">determinar el efecto en los niños y niñas con atención ambulatoria </w:t>
      </w:r>
      <w:r w:rsidR="00CB0A69" w:rsidRPr="00606E51">
        <w:rPr>
          <w:lang w:val="es-CO"/>
        </w:rPr>
        <w:t>intramural</w:t>
      </w:r>
      <w:r w:rsidR="00CB45A6" w:rsidRPr="00606E51">
        <w:rPr>
          <w:lang w:val="es-CO"/>
        </w:rPr>
        <w:t xml:space="preserve"> de una IPS de baja complejidad</w:t>
      </w:r>
      <w:r w:rsidRPr="00606E51">
        <w:rPr>
          <w:lang w:val="es-CO"/>
        </w:rPr>
        <w:t xml:space="preserve">. </w:t>
      </w:r>
      <w:r w:rsidR="00496D14">
        <w:rPr>
          <w:lang w:val="es-CO"/>
        </w:rPr>
        <w:t xml:space="preserve"> </w:t>
      </w:r>
      <w:r w:rsidRPr="00606E51">
        <w:rPr>
          <w:lang w:val="es-CO"/>
        </w:rPr>
        <w:t>De esta manera, el enfoque se realizó sobre los niños y niñas que fueron atendidos a través de los grupos extra-murales del programa de atención integral en salud y nutrición con enfoque comunitario dirigido a familias en condición de vulnerabilidad de territorios rurales y rurales dispersos implementado por el MSPS en las ESE de los municipios de Riohacha, Manaure, Maicao y Uribia</w:t>
      </w:r>
      <w:r w:rsidR="00CB45A6" w:rsidRPr="00606E51">
        <w:rPr>
          <w:rStyle w:val="FootnoteReference"/>
          <w:lang w:val="es-CO"/>
        </w:rPr>
        <w:footnoteReference w:id="49"/>
      </w:r>
      <w:r w:rsidR="000737ED" w:rsidRPr="00606E51">
        <w:rPr>
          <w:lang w:val="es-CO"/>
        </w:rPr>
        <w:t>.</w:t>
      </w:r>
      <w:r w:rsidR="00CB45A6" w:rsidRPr="00606E51">
        <w:rPr>
          <w:lang w:val="es-CO"/>
        </w:rPr>
        <w:t xml:space="preserve">  </w:t>
      </w:r>
    </w:p>
    <w:p w14:paraId="65670C35" w14:textId="77777777" w:rsidR="00C46AD0" w:rsidRPr="00606E51" w:rsidRDefault="00C46AD0" w:rsidP="00230768">
      <w:pPr>
        <w:jc w:val="both"/>
        <w:rPr>
          <w:lang w:val="es-CO"/>
        </w:rPr>
      </w:pPr>
    </w:p>
    <w:p w14:paraId="3D4C2C41" w14:textId="77777777" w:rsidR="00C46AD0" w:rsidRPr="00606E51" w:rsidRDefault="00496D14" w:rsidP="00230768">
      <w:pPr>
        <w:jc w:val="both"/>
        <w:rPr>
          <w:lang w:val="es-CO"/>
        </w:rPr>
      </w:pPr>
      <w:r>
        <w:rPr>
          <w:lang w:val="es-CO"/>
        </w:rPr>
        <w:t>E</w:t>
      </w:r>
      <w:r w:rsidR="00BA4E60" w:rsidRPr="00606E51">
        <w:rPr>
          <w:lang w:val="es-CO"/>
        </w:rPr>
        <w:t>n el esce</w:t>
      </w:r>
      <w:r w:rsidR="00DF0E7B" w:rsidRPr="00606E51">
        <w:rPr>
          <w:lang w:val="es-CO"/>
        </w:rPr>
        <w:t>nario de la implementación del L</w:t>
      </w:r>
      <w:r w:rsidR="00BA4E60" w:rsidRPr="00606E51">
        <w:rPr>
          <w:lang w:val="es-CO"/>
        </w:rPr>
        <w:t>ineamiento se considera que una vez se ha identificado un niño o niña con desnutrición aguda se le debe dar</w:t>
      </w:r>
      <w:r w:rsidR="00DF0E7B" w:rsidRPr="00606E51">
        <w:rPr>
          <w:lang w:val="es-CO"/>
        </w:rPr>
        <w:t xml:space="preserve"> el tratamiento indicado en el L</w:t>
      </w:r>
      <w:r w:rsidR="00BA4E60" w:rsidRPr="00606E51">
        <w:rPr>
          <w:lang w:val="es-CO"/>
        </w:rPr>
        <w:t xml:space="preserve">ineamiento, el cual puede ser en el hogar o intrahospitalario; si el tratamiento que debe recibir es intrahospitalario y se cumplen los criterios de egreso, se debe continuar la recuperación en el hogar hasta que se cumplan los criterios de recuperación. En este proceso se causan los costos que </w:t>
      </w:r>
      <w:r>
        <w:rPr>
          <w:lang w:val="es-CO"/>
        </w:rPr>
        <w:t xml:space="preserve">deben ser </w:t>
      </w:r>
      <w:r w:rsidR="00BA4E60" w:rsidRPr="00606E51">
        <w:rPr>
          <w:lang w:val="es-CO"/>
        </w:rPr>
        <w:t xml:space="preserve">estimados y que </w:t>
      </w:r>
      <w:r>
        <w:rPr>
          <w:lang w:val="es-CO"/>
        </w:rPr>
        <w:t xml:space="preserve">sirven </w:t>
      </w:r>
      <w:r w:rsidR="00BA4E60" w:rsidRPr="00606E51">
        <w:rPr>
          <w:lang w:val="es-CO"/>
        </w:rPr>
        <w:t>para el ACE.</w:t>
      </w:r>
    </w:p>
    <w:p w14:paraId="2E4A9075" w14:textId="77777777" w:rsidR="007224F3" w:rsidRPr="00606E51" w:rsidRDefault="007224F3" w:rsidP="00230768">
      <w:pPr>
        <w:jc w:val="both"/>
        <w:rPr>
          <w:lang w:val="es-CO"/>
        </w:rPr>
      </w:pPr>
    </w:p>
    <w:p w14:paraId="7D949FFB" w14:textId="77777777" w:rsidR="00BA4E60" w:rsidRPr="00606E51" w:rsidRDefault="00DF0E7B" w:rsidP="00997568">
      <w:pPr>
        <w:pStyle w:val="Heading4"/>
        <w:rPr>
          <w:lang w:val="es-CO"/>
        </w:rPr>
      </w:pPr>
      <w:bookmarkStart w:id="62" w:name="_Toc482216921"/>
      <w:r w:rsidRPr="00606E51">
        <w:rPr>
          <w:lang w:val="es-CO"/>
        </w:rPr>
        <w:t>Sin implementación del L</w:t>
      </w:r>
      <w:r w:rsidR="00BA4E60" w:rsidRPr="00606E51">
        <w:rPr>
          <w:lang w:val="es-CO"/>
        </w:rPr>
        <w:t>ineamiento</w:t>
      </w:r>
      <w:bookmarkEnd w:id="62"/>
    </w:p>
    <w:p w14:paraId="49CA6B53" w14:textId="77777777" w:rsidR="00C46AD0" w:rsidRPr="00606E51" w:rsidRDefault="00C46AD0" w:rsidP="00230768">
      <w:pPr>
        <w:jc w:val="both"/>
        <w:rPr>
          <w:lang w:val="es-CO"/>
        </w:rPr>
      </w:pPr>
    </w:p>
    <w:p w14:paraId="758434D4" w14:textId="77777777" w:rsidR="00BA4E60" w:rsidRPr="00606E51" w:rsidRDefault="00BA4E60" w:rsidP="00230768">
      <w:pPr>
        <w:jc w:val="both"/>
        <w:rPr>
          <w:lang w:val="es-CO"/>
        </w:rPr>
      </w:pPr>
      <w:r w:rsidRPr="00606E51">
        <w:rPr>
          <w:lang w:val="es-CO"/>
        </w:rPr>
        <w:t>Para realizar de manera correcta el análisis de los costos incrementales y del efecto</w:t>
      </w:r>
      <w:r w:rsidR="009E5D12">
        <w:rPr>
          <w:lang w:val="es-CO"/>
        </w:rPr>
        <w:t xml:space="preserve"> </w:t>
      </w:r>
      <w:r w:rsidR="00DF0E7B" w:rsidRPr="00606E51">
        <w:rPr>
          <w:lang w:val="es-CO"/>
        </w:rPr>
        <w:t>de la implementación del L</w:t>
      </w:r>
      <w:r w:rsidR="009E5D12">
        <w:rPr>
          <w:lang w:val="es-CO"/>
        </w:rPr>
        <w:t xml:space="preserve">ineamiento, </w:t>
      </w:r>
      <w:r w:rsidRPr="00606E51">
        <w:rPr>
          <w:lang w:val="es-CO"/>
        </w:rPr>
        <w:t>es necesario tener una aproximación a lo que hubiera ocur</w:t>
      </w:r>
      <w:r w:rsidR="00DF0E7B" w:rsidRPr="00606E51">
        <w:rPr>
          <w:lang w:val="es-CO"/>
        </w:rPr>
        <w:t xml:space="preserve">rido </w:t>
      </w:r>
      <w:r w:rsidR="00496D14">
        <w:rPr>
          <w:lang w:val="es-CO"/>
        </w:rPr>
        <w:t xml:space="preserve">SIN </w:t>
      </w:r>
      <w:r w:rsidR="00DF0E7B" w:rsidRPr="00606E51">
        <w:rPr>
          <w:lang w:val="es-CO"/>
        </w:rPr>
        <w:t>la implementación del L</w:t>
      </w:r>
      <w:r w:rsidRPr="00606E51">
        <w:rPr>
          <w:lang w:val="es-CO"/>
        </w:rPr>
        <w:t>ineamiento</w:t>
      </w:r>
      <w:r w:rsidR="00496D14">
        <w:rPr>
          <w:lang w:val="es-CO"/>
        </w:rPr>
        <w:t>.  L</w:t>
      </w:r>
      <w:r w:rsidRPr="00606E51">
        <w:rPr>
          <w:lang w:val="es-CO"/>
        </w:rPr>
        <w:t>a estrategia para el desarrollo de este ejercicio se encuentra estrechamente relacionada con la información disponible sobre la población, así como sus características y los costos asociados a la atención de niños y niñas con desnutrición aguda.</w:t>
      </w:r>
    </w:p>
    <w:p w14:paraId="6BEB9582" w14:textId="77777777" w:rsidR="00C46AD0" w:rsidRPr="00606E51" w:rsidRDefault="00C46AD0" w:rsidP="00230768">
      <w:pPr>
        <w:jc w:val="both"/>
        <w:rPr>
          <w:lang w:val="es-CO"/>
        </w:rPr>
      </w:pPr>
    </w:p>
    <w:p w14:paraId="47D39D07" w14:textId="77777777" w:rsidR="00010022" w:rsidRPr="00606E51" w:rsidRDefault="00066F29" w:rsidP="00CD0526">
      <w:pPr>
        <w:jc w:val="both"/>
        <w:rPr>
          <w:lang w:val="es-CO"/>
        </w:rPr>
      </w:pPr>
      <w:r>
        <w:rPr>
          <w:lang w:val="es-CO"/>
        </w:rPr>
        <w:t xml:space="preserve">Considerando </w:t>
      </w:r>
      <w:r w:rsidR="00BA4E60" w:rsidRPr="00606E51">
        <w:rPr>
          <w:lang w:val="es-CO"/>
        </w:rPr>
        <w:t xml:space="preserve">que no </w:t>
      </w:r>
      <w:r>
        <w:rPr>
          <w:lang w:val="es-CO"/>
        </w:rPr>
        <w:t>existe</w:t>
      </w:r>
      <w:r w:rsidR="00BA4E60" w:rsidRPr="00606E51">
        <w:rPr>
          <w:lang w:val="es-CO"/>
        </w:rPr>
        <w:t xml:space="preserve"> información disponible </w:t>
      </w:r>
      <w:r>
        <w:rPr>
          <w:lang w:val="es-CO"/>
        </w:rPr>
        <w:t xml:space="preserve">que muestre el eventual </w:t>
      </w:r>
      <w:r w:rsidR="00BA4E60" w:rsidRPr="00606E51">
        <w:rPr>
          <w:lang w:val="es-CO"/>
        </w:rPr>
        <w:t xml:space="preserve">efecto </w:t>
      </w:r>
      <w:r>
        <w:rPr>
          <w:lang w:val="es-CO"/>
        </w:rPr>
        <w:t xml:space="preserve">que tendría </w:t>
      </w:r>
      <w:r w:rsidR="00D77E9B" w:rsidRPr="00606E51">
        <w:rPr>
          <w:lang w:val="es-CO"/>
        </w:rPr>
        <w:t xml:space="preserve">otro tipo de atención ambulatoria </w:t>
      </w:r>
      <w:r w:rsidR="00D77E9B">
        <w:rPr>
          <w:lang w:val="es-CO"/>
        </w:rPr>
        <w:t>para el</w:t>
      </w:r>
      <w:r w:rsidR="00D77E9B" w:rsidRPr="00606E51">
        <w:rPr>
          <w:lang w:val="es-CO"/>
        </w:rPr>
        <w:t xml:space="preserve"> manejo en el hogar </w:t>
      </w:r>
      <w:r w:rsidR="00D77E9B">
        <w:rPr>
          <w:lang w:val="es-CO"/>
        </w:rPr>
        <w:t xml:space="preserve">de la desnutrición aguda </w:t>
      </w:r>
      <w:r>
        <w:rPr>
          <w:lang w:val="es-CO"/>
        </w:rPr>
        <w:t xml:space="preserve">sobre los indicadores de efectividad, </w:t>
      </w:r>
      <w:r w:rsidR="00BA4E60" w:rsidRPr="00606E51">
        <w:rPr>
          <w:lang w:val="es-CO"/>
        </w:rPr>
        <w:t xml:space="preserve">se ha </w:t>
      </w:r>
      <w:r w:rsidR="00D77E9B">
        <w:rPr>
          <w:lang w:val="es-CO"/>
        </w:rPr>
        <w:t>asumido</w:t>
      </w:r>
      <w:r w:rsidR="00DF0E7B" w:rsidRPr="00606E51">
        <w:rPr>
          <w:lang w:val="es-CO"/>
        </w:rPr>
        <w:t xml:space="preserve"> que </w:t>
      </w:r>
      <w:r w:rsidR="002500EB">
        <w:rPr>
          <w:lang w:val="es-CO"/>
        </w:rPr>
        <w:t>SIN</w:t>
      </w:r>
      <w:r w:rsidR="00DF0E7B" w:rsidRPr="00606E51">
        <w:rPr>
          <w:lang w:val="es-CO"/>
        </w:rPr>
        <w:t xml:space="preserve"> la implementación del L</w:t>
      </w:r>
      <w:r w:rsidR="00BA4E60" w:rsidRPr="00606E51">
        <w:rPr>
          <w:lang w:val="es-CO"/>
        </w:rPr>
        <w:t xml:space="preserve">ineamiento los niños y niñas con </w:t>
      </w:r>
      <w:r w:rsidR="00BA4E60" w:rsidRPr="00606E51">
        <w:rPr>
          <w:lang w:val="es-CO"/>
        </w:rPr>
        <w:lastRenderedPageBreak/>
        <w:t>desnutrición aguda no recibirían una atención comparable</w:t>
      </w:r>
      <w:r w:rsidR="00BA4E60" w:rsidRPr="00606E51">
        <w:rPr>
          <w:vertAlign w:val="superscript"/>
          <w:lang w:val="es-CO"/>
        </w:rPr>
        <w:footnoteReference w:id="50"/>
      </w:r>
      <w:r w:rsidR="00BA4E60" w:rsidRPr="00606E51">
        <w:rPr>
          <w:lang w:val="es-CO"/>
        </w:rPr>
        <w:t xml:space="preserve">. </w:t>
      </w:r>
      <w:r w:rsidR="00D77E9B">
        <w:rPr>
          <w:lang w:val="es-CO"/>
        </w:rPr>
        <w:t>L</w:t>
      </w:r>
      <w:r w:rsidR="002500EB">
        <w:rPr>
          <w:lang w:val="es-CO"/>
        </w:rPr>
        <w:t xml:space="preserve">a </w:t>
      </w:r>
      <w:r w:rsidR="00BA4E60" w:rsidRPr="00606E51">
        <w:rPr>
          <w:lang w:val="es-CO"/>
        </w:rPr>
        <w:t xml:space="preserve">experiencia de campo </w:t>
      </w:r>
      <w:r w:rsidR="00D77E9B">
        <w:rPr>
          <w:lang w:val="es-CO"/>
        </w:rPr>
        <w:t xml:space="preserve">indica que </w:t>
      </w:r>
      <w:r w:rsidR="00BA4E60" w:rsidRPr="00606E51">
        <w:rPr>
          <w:lang w:val="es-CO"/>
        </w:rPr>
        <w:t xml:space="preserve">este supuesto </w:t>
      </w:r>
      <w:r w:rsidR="002500EB">
        <w:rPr>
          <w:lang w:val="es-CO"/>
        </w:rPr>
        <w:t>es, además de necesario, razonable</w:t>
      </w:r>
      <w:r w:rsidR="00BA4E60" w:rsidRPr="00606E51">
        <w:rPr>
          <w:lang w:val="es-CO"/>
        </w:rPr>
        <w:t>.</w:t>
      </w:r>
      <w:bookmarkStart w:id="63" w:name="_Toc482216922"/>
    </w:p>
    <w:p w14:paraId="1C3BF8AD" w14:textId="77777777" w:rsidR="00CD0526" w:rsidRPr="00606E51" w:rsidRDefault="00CD0526" w:rsidP="00CD0526">
      <w:pPr>
        <w:jc w:val="both"/>
        <w:rPr>
          <w:lang w:val="es-CO"/>
        </w:rPr>
      </w:pPr>
    </w:p>
    <w:p w14:paraId="43BFC43D" w14:textId="77777777" w:rsidR="00BA4E60" w:rsidRPr="00606E51" w:rsidRDefault="00180D25" w:rsidP="00997568">
      <w:pPr>
        <w:pStyle w:val="Heading3"/>
        <w:rPr>
          <w:lang w:val="es-CO"/>
        </w:rPr>
      </w:pPr>
      <w:bookmarkStart w:id="64" w:name="_Toc505090948"/>
      <w:r>
        <w:rPr>
          <w:lang w:val="es-CO"/>
        </w:rPr>
        <w:t xml:space="preserve">Análisis de </w:t>
      </w:r>
      <w:r w:rsidR="00BA4E60" w:rsidRPr="00606E51">
        <w:rPr>
          <w:lang w:val="es-CO"/>
        </w:rPr>
        <w:t>Costos</w:t>
      </w:r>
      <w:bookmarkEnd w:id="63"/>
      <w:bookmarkEnd w:id="64"/>
    </w:p>
    <w:p w14:paraId="2ED82543" w14:textId="77777777" w:rsidR="00010022" w:rsidRPr="00606E51" w:rsidRDefault="00010022" w:rsidP="00230768">
      <w:pPr>
        <w:jc w:val="both"/>
        <w:rPr>
          <w:lang w:val="es-CO"/>
        </w:rPr>
      </w:pPr>
    </w:p>
    <w:p w14:paraId="351A51A9" w14:textId="77777777" w:rsidR="00BA4E60" w:rsidRPr="00606E51" w:rsidRDefault="00BA4E60" w:rsidP="00230768">
      <w:pPr>
        <w:jc w:val="both"/>
        <w:rPr>
          <w:lang w:val="es-CO"/>
        </w:rPr>
      </w:pPr>
      <w:r w:rsidRPr="00606E51">
        <w:rPr>
          <w:lang w:val="es-CO"/>
        </w:rPr>
        <w:t xml:space="preserve">El enfoque considerado para la estimación de los costos </w:t>
      </w:r>
      <w:r w:rsidRPr="00473097">
        <w:rPr>
          <w:highlight w:val="yellow"/>
          <w:lang w:val="es-CO"/>
        </w:rPr>
        <w:t>considera solamente la carga económica</w:t>
      </w:r>
      <w:r w:rsidRPr="00606E51">
        <w:rPr>
          <w:lang w:val="es-CO"/>
        </w:rPr>
        <w:t xml:space="preserve"> para el SGSS</w:t>
      </w:r>
      <w:r w:rsidR="0017465A" w:rsidRPr="00606E51">
        <w:rPr>
          <w:lang w:val="es-CO"/>
        </w:rPr>
        <w:t>S</w:t>
      </w:r>
      <w:r w:rsidRPr="00606E51">
        <w:rPr>
          <w:vertAlign w:val="superscript"/>
          <w:lang w:val="es-CO"/>
        </w:rPr>
        <w:footnoteReference w:id="51"/>
      </w:r>
      <w:r w:rsidRPr="00606E51">
        <w:rPr>
          <w:lang w:val="es-CO"/>
        </w:rPr>
        <w:t>, la cual corresponde al costo de atención de la patología, sin consideración de los medios de financiamiento del SGSS</w:t>
      </w:r>
      <w:r w:rsidR="00CB530A" w:rsidRPr="00606E51">
        <w:rPr>
          <w:lang w:val="es-CO"/>
        </w:rPr>
        <w:t>S</w:t>
      </w:r>
      <w:r w:rsidRPr="00606E51">
        <w:rPr>
          <w:lang w:val="es-CO"/>
        </w:rPr>
        <w:t xml:space="preserve"> o el origen de las transferencias.</w:t>
      </w:r>
    </w:p>
    <w:p w14:paraId="4DBB7D76" w14:textId="77777777" w:rsidR="007531FB" w:rsidRPr="00606E51" w:rsidRDefault="007531FB" w:rsidP="00230768">
      <w:pPr>
        <w:jc w:val="both"/>
        <w:rPr>
          <w:lang w:val="es-CO"/>
        </w:rPr>
      </w:pPr>
    </w:p>
    <w:p w14:paraId="2CC8F322" w14:textId="77777777" w:rsidR="00180D25" w:rsidRDefault="00BA4E60" w:rsidP="00230768">
      <w:pPr>
        <w:jc w:val="both"/>
        <w:rPr>
          <w:lang w:val="es-CO"/>
        </w:rPr>
      </w:pPr>
      <w:r w:rsidRPr="00606E51">
        <w:rPr>
          <w:lang w:val="es-CO"/>
        </w:rPr>
        <w:t>Teniendo en cuenta que, “la calidad, oportunidad y efectividad del tratamiento de los niños y niñas con desnutrición aguda, y la consecuente reducción de la morbimortalidad relacionada con la desnutrición aguda, depende de la aplicación rigurosa de los criterios de inclusión para definir si los niños y las niñas se pueden tratar en su hogar o deben ser remitidos a un hospital de II nivel o mayor complejidad”</w:t>
      </w:r>
      <w:r w:rsidRPr="00606E51">
        <w:rPr>
          <w:vertAlign w:val="superscript"/>
          <w:lang w:val="es-CO"/>
        </w:rPr>
        <w:footnoteReference w:id="52"/>
      </w:r>
      <w:r w:rsidRPr="00606E51">
        <w:rPr>
          <w:lang w:val="es-CO"/>
        </w:rPr>
        <w:t xml:space="preserve">, es necesario </w:t>
      </w:r>
      <w:r w:rsidRPr="00473097">
        <w:rPr>
          <w:highlight w:val="yellow"/>
          <w:lang w:val="es-CO"/>
        </w:rPr>
        <w:t>considerar los costos en los dos tipos de manejo</w:t>
      </w:r>
      <w:r w:rsidRPr="00606E51">
        <w:rPr>
          <w:lang w:val="es-CO"/>
        </w:rPr>
        <w:t xml:space="preserve"> de los niños(as) identificados con desnutrición aguda: </w:t>
      </w:r>
    </w:p>
    <w:p w14:paraId="34241BF8" w14:textId="77777777" w:rsidR="00180D25" w:rsidRDefault="00BA4E60" w:rsidP="00BB1D7B">
      <w:pPr>
        <w:pStyle w:val="ListParagraph"/>
        <w:numPr>
          <w:ilvl w:val="0"/>
          <w:numId w:val="25"/>
        </w:numPr>
        <w:jc w:val="both"/>
        <w:rPr>
          <w:lang w:val="es-CO"/>
        </w:rPr>
      </w:pPr>
      <w:r w:rsidRPr="00180D25">
        <w:rPr>
          <w:lang w:val="es-CO"/>
        </w:rPr>
        <w:t xml:space="preserve">en el hogar (bajo el seguimiento de una IPS de baja complejidad a través de equipos extramurales) </w:t>
      </w:r>
    </w:p>
    <w:p w14:paraId="6851D0E8" w14:textId="77777777" w:rsidR="00180D25" w:rsidRDefault="00BA4E60" w:rsidP="00BB1D7B">
      <w:pPr>
        <w:pStyle w:val="ListParagraph"/>
        <w:numPr>
          <w:ilvl w:val="0"/>
          <w:numId w:val="25"/>
        </w:numPr>
        <w:jc w:val="both"/>
        <w:rPr>
          <w:lang w:val="es-CO"/>
        </w:rPr>
      </w:pPr>
      <w:r w:rsidRPr="00180D25">
        <w:rPr>
          <w:lang w:val="es-CO"/>
        </w:rPr>
        <w:t xml:space="preserve">intrahospitalario en IPS de mediana o alta complejidad; </w:t>
      </w:r>
    </w:p>
    <w:p w14:paraId="25C84FFD" w14:textId="77777777" w:rsidR="00180D25" w:rsidRDefault="00180D25" w:rsidP="00180D25">
      <w:pPr>
        <w:jc w:val="both"/>
        <w:rPr>
          <w:lang w:val="es-CO"/>
        </w:rPr>
      </w:pPr>
    </w:p>
    <w:p w14:paraId="10B1727B" w14:textId="77777777" w:rsidR="00BA4E60" w:rsidRPr="00180D25" w:rsidRDefault="00BA4E60" w:rsidP="00180D25">
      <w:pPr>
        <w:jc w:val="both"/>
        <w:rPr>
          <w:lang w:val="es-CO"/>
        </w:rPr>
      </w:pPr>
      <w:r w:rsidRPr="00180D25">
        <w:rPr>
          <w:lang w:val="es-CO"/>
        </w:rPr>
        <w:t xml:space="preserve">En el </w:t>
      </w:r>
      <w:r w:rsidRPr="00180D25">
        <w:rPr>
          <w:lang w:val="es-CO"/>
        </w:rPr>
        <w:fldChar w:fldCharType="begin"/>
      </w:r>
      <w:r w:rsidRPr="00180D25">
        <w:rPr>
          <w:lang w:val="es-CO"/>
        </w:rPr>
        <w:instrText xml:space="preserve"> REF  _Ref478108698 \* Lower \h  \* MERGEFORMAT </w:instrText>
      </w:r>
      <w:r w:rsidRPr="00180D25">
        <w:rPr>
          <w:lang w:val="es-CO"/>
        </w:rPr>
      </w:r>
      <w:r w:rsidRPr="00180D25">
        <w:rPr>
          <w:lang w:val="es-CO"/>
        </w:rPr>
        <w:fldChar w:fldCharType="separate"/>
      </w:r>
      <w:r w:rsidR="00B01F0F" w:rsidRPr="00180D25">
        <w:rPr>
          <w:lang w:val="es-CO"/>
        </w:rPr>
        <w:t>cuadro 4</w:t>
      </w:r>
      <w:r w:rsidR="00B01F0F" w:rsidRPr="00180D25">
        <w:rPr>
          <w:lang w:val="es-CO"/>
        </w:rPr>
        <w:noBreakHyphen/>
        <w:t>11</w:t>
      </w:r>
      <w:r w:rsidRPr="00180D25">
        <w:rPr>
          <w:lang w:val="es-CO"/>
        </w:rPr>
        <w:fldChar w:fldCharType="end"/>
      </w:r>
      <w:r w:rsidRPr="00180D25">
        <w:rPr>
          <w:lang w:val="es-CO"/>
        </w:rPr>
        <w:t xml:space="preserve"> se resumen los elementos del costo total que se tendrán en cuenta para la estimación de los resultados.</w:t>
      </w:r>
    </w:p>
    <w:p w14:paraId="02819CCC" w14:textId="77777777" w:rsidR="00F046C2" w:rsidRPr="00606E51" w:rsidRDefault="00F046C2" w:rsidP="00230768">
      <w:pPr>
        <w:jc w:val="both"/>
        <w:rPr>
          <w:lang w:val="es-CO"/>
        </w:rPr>
      </w:pPr>
    </w:p>
    <w:p w14:paraId="4168F5DB" w14:textId="77777777" w:rsidR="00BA4E60" w:rsidRPr="00606E51" w:rsidRDefault="00BA4E60" w:rsidP="00F046C2">
      <w:pPr>
        <w:jc w:val="center"/>
        <w:rPr>
          <w:b/>
          <w:bCs/>
          <w:lang w:val="es-CO"/>
        </w:rPr>
      </w:pPr>
      <w:bookmarkStart w:id="65" w:name="_Ref478108698"/>
      <w:bookmarkStart w:id="66" w:name="_Toc490045709"/>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XI</w:t>
      </w:r>
      <w:r w:rsidR="00F1370E" w:rsidRPr="00606E51">
        <w:rPr>
          <w:b/>
          <w:bCs/>
          <w:lang w:val="es-CO"/>
        </w:rPr>
        <w:fldChar w:fldCharType="end"/>
      </w:r>
      <w:bookmarkEnd w:id="65"/>
      <w:r w:rsidRPr="00606E51">
        <w:rPr>
          <w:b/>
          <w:bCs/>
          <w:lang w:val="es-CO"/>
        </w:rPr>
        <w:t>. Componentes del costo de atención de casos de desnutrición aguda</w:t>
      </w:r>
      <w:bookmarkEnd w:id="66"/>
    </w:p>
    <w:tbl>
      <w:tblPr>
        <w:tblStyle w:val="TableGrid"/>
        <w:tblW w:w="5000" w:type="pct"/>
        <w:jc w:val="center"/>
        <w:tblLook w:val="04A0" w:firstRow="1" w:lastRow="0" w:firstColumn="1" w:lastColumn="0" w:noHBand="0" w:noVBand="1"/>
      </w:tblPr>
      <w:tblGrid>
        <w:gridCol w:w="2887"/>
        <w:gridCol w:w="3176"/>
        <w:gridCol w:w="2721"/>
      </w:tblGrid>
      <w:tr w:rsidR="00F046C2" w:rsidRPr="00606E51" w14:paraId="0638B480" w14:textId="77777777" w:rsidTr="007224F3">
        <w:trPr>
          <w:tblHeader/>
          <w:jc w:val="center"/>
        </w:trPr>
        <w:tc>
          <w:tcPr>
            <w:tcW w:w="1643" w:type="pct"/>
            <w:tcBorders>
              <w:top w:val="nil"/>
              <w:left w:val="nil"/>
            </w:tcBorders>
          </w:tcPr>
          <w:p w14:paraId="72ACB1CB" w14:textId="77777777" w:rsidR="00F046C2" w:rsidRPr="00606E51" w:rsidRDefault="00F046C2" w:rsidP="007224F3">
            <w:pPr>
              <w:jc w:val="both"/>
              <w:rPr>
                <w:b w:val="0"/>
                <w:sz w:val="20"/>
                <w:szCs w:val="20"/>
                <w:lang w:val="es-CO"/>
              </w:rPr>
            </w:pPr>
          </w:p>
        </w:tc>
        <w:tc>
          <w:tcPr>
            <w:tcW w:w="1807" w:type="pct"/>
            <w:vAlign w:val="center"/>
          </w:tcPr>
          <w:p w14:paraId="662DA46B" w14:textId="77777777" w:rsidR="00F046C2" w:rsidRPr="00606E51" w:rsidRDefault="00CF1A07" w:rsidP="007224F3">
            <w:pPr>
              <w:jc w:val="center"/>
              <w:rPr>
                <w:sz w:val="20"/>
                <w:szCs w:val="20"/>
                <w:lang w:val="es-CO"/>
              </w:rPr>
            </w:pPr>
            <w:r w:rsidRPr="00606E51">
              <w:rPr>
                <w:sz w:val="20"/>
                <w:szCs w:val="20"/>
                <w:lang w:val="es-CO"/>
              </w:rPr>
              <w:t>Con implementación del L</w:t>
            </w:r>
            <w:r w:rsidR="00F046C2" w:rsidRPr="00606E51">
              <w:rPr>
                <w:sz w:val="20"/>
                <w:szCs w:val="20"/>
                <w:lang w:val="es-CO"/>
              </w:rPr>
              <w:t>ineamiento</w:t>
            </w:r>
          </w:p>
        </w:tc>
        <w:tc>
          <w:tcPr>
            <w:tcW w:w="1549" w:type="pct"/>
          </w:tcPr>
          <w:p w14:paraId="00097777" w14:textId="77777777" w:rsidR="00F046C2" w:rsidRPr="00606E51" w:rsidRDefault="00CF1A07" w:rsidP="007224F3">
            <w:pPr>
              <w:jc w:val="center"/>
              <w:rPr>
                <w:sz w:val="20"/>
                <w:szCs w:val="20"/>
                <w:lang w:val="es-CO"/>
              </w:rPr>
            </w:pPr>
            <w:r w:rsidRPr="00606E51">
              <w:rPr>
                <w:sz w:val="20"/>
                <w:szCs w:val="20"/>
                <w:lang w:val="es-CO"/>
              </w:rPr>
              <w:t>Sin implementación del L</w:t>
            </w:r>
            <w:r w:rsidR="00F046C2" w:rsidRPr="00606E51">
              <w:rPr>
                <w:sz w:val="20"/>
                <w:szCs w:val="20"/>
                <w:lang w:val="es-CO"/>
              </w:rPr>
              <w:t>ineamiento</w:t>
            </w:r>
          </w:p>
        </w:tc>
      </w:tr>
      <w:tr w:rsidR="00F046C2" w:rsidRPr="00606E51" w14:paraId="2A7A4C9D" w14:textId="77777777" w:rsidTr="007224F3">
        <w:trPr>
          <w:cantSplit/>
          <w:trHeight w:val="1134"/>
          <w:jc w:val="center"/>
        </w:trPr>
        <w:tc>
          <w:tcPr>
            <w:tcW w:w="1643" w:type="pct"/>
            <w:shd w:val="clear" w:color="auto" w:fill="D9DFEF" w:themeFill="accent1" w:themeFillTint="33"/>
            <w:vAlign w:val="center"/>
          </w:tcPr>
          <w:p w14:paraId="487142AE" w14:textId="77777777" w:rsidR="00F046C2" w:rsidRPr="00606E51" w:rsidRDefault="00F046C2" w:rsidP="007224F3">
            <w:pPr>
              <w:jc w:val="center"/>
              <w:rPr>
                <w:sz w:val="20"/>
                <w:szCs w:val="20"/>
                <w:lang w:val="es-CO"/>
              </w:rPr>
            </w:pPr>
            <w:r w:rsidRPr="00606E51">
              <w:rPr>
                <w:sz w:val="20"/>
                <w:szCs w:val="20"/>
                <w:lang w:val="es-CO"/>
              </w:rPr>
              <w:t>Atención IPS de baja complejidad –</w:t>
            </w:r>
          </w:p>
          <w:p w14:paraId="3C17ECD7" w14:textId="77777777" w:rsidR="00F046C2" w:rsidRPr="00606E51" w:rsidRDefault="00F046C2" w:rsidP="007224F3">
            <w:pPr>
              <w:jc w:val="center"/>
              <w:rPr>
                <w:b w:val="0"/>
                <w:sz w:val="20"/>
                <w:szCs w:val="20"/>
                <w:lang w:val="es-CO"/>
              </w:rPr>
            </w:pPr>
            <w:r w:rsidRPr="00606E51">
              <w:rPr>
                <w:sz w:val="20"/>
                <w:szCs w:val="20"/>
                <w:lang w:val="es-CO"/>
              </w:rPr>
              <w:t xml:space="preserve"> manejo en el hogar</w:t>
            </w:r>
          </w:p>
        </w:tc>
        <w:tc>
          <w:tcPr>
            <w:tcW w:w="1807" w:type="pct"/>
            <w:vAlign w:val="center"/>
          </w:tcPr>
          <w:p w14:paraId="7CE5BD62"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Insumos: FTLC, Kit FTLC, otros</w:t>
            </w:r>
          </w:p>
          <w:p w14:paraId="149F4B2B"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Otros costos no comunes</w:t>
            </w:r>
          </w:p>
          <w:p w14:paraId="3E13801F" w14:textId="77777777" w:rsidR="00F046C2" w:rsidRPr="00606E51" w:rsidRDefault="00F046C2" w:rsidP="00F046C2">
            <w:pPr>
              <w:pStyle w:val="ListParagraph"/>
              <w:numPr>
                <w:ilvl w:val="0"/>
                <w:numId w:val="2"/>
              </w:numPr>
              <w:ind w:left="174" w:hanging="174"/>
              <w:rPr>
                <w:sz w:val="20"/>
                <w:szCs w:val="20"/>
                <w:lang w:val="es-CO"/>
              </w:rPr>
            </w:pPr>
            <w:r w:rsidRPr="00606E51">
              <w:rPr>
                <w:b w:val="0"/>
                <w:sz w:val="20"/>
                <w:szCs w:val="20"/>
                <w:lang w:val="es-CO"/>
              </w:rPr>
              <w:t>Costos de entrenamiento del personal de las IPS directamente relacio</w:t>
            </w:r>
            <w:r w:rsidR="00CF1A07" w:rsidRPr="00606E51">
              <w:rPr>
                <w:b w:val="0"/>
                <w:sz w:val="20"/>
                <w:szCs w:val="20"/>
                <w:lang w:val="es-CO"/>
              </w:rPr>
              <w:t>nado con la implementación del L</w:t>
            </w:r>
            <w:r w:rsidRPr="00606E51">
              <w:rPr>
                <w:b w:val="0"/>
                <w:sz w:val="20"/>
                <w:szCs w:val="20"/>
                <w:lang w:val="es-CO"/>
              </w:rPr>
              <w:t>ineamiento</w:t>
            </w:r>
          </w:p>
        </w:tc>
        <w:tc>
          <w:tcPr>
            <w:tcW w:w="1549" w:type="pct"/>
            <w:vAlign w:val="center"/>
          </w:tcPr>
          <w:p w14:paraId="0D26F464" w14:textId="77777777" w:rsidR="00F046C2" w:rsidRPr="00606E51" w:rsidRDefault="00F046C2" w:rsidP="007224F3">
            <w:pPr>
              <w:rPr>
                <w:sz w:val="20"/>
                <w:szCs w:val="20"/>
                <w:lang w:val="es-CO"/>
              </w:rPr>
            </w:pPr>
          </w:p>
        </w:tc>
      </w:tr>
      <w:tr w:rsidR="00F046C2" w:rsidRPr="00606E51" w14:paraId="376AD3BD" w14:textId="77777777" w:rsidTr="007224F3">
        <w:trPr>
          <w:cantSplit/>
          <w:trHeight w:val="1134"/>
          <w:jc w:val="center"/>
        </w:trPr>
        <w:tc>
          <w:tcPr>
            <w:tcW w:w="1643" w:type="pct"/>
            <w:shd w:val="clear" w:color="auto" w:fill="D9DFEF" w:themeFill="accent1" w:themeFillTint="33"/>
            <w:vAlign w:val="center"/>
          </w:tcPr>
          <w:p w14:paraId="30D9E3ED" w14:textId="77777777" w:rsidR="00F046C2" w:rsidRPr="00606E51" w:rsidRDefault="00F046C2" w:rsidP="007224F3">
            <w:pPr>
              <w:jc w:val="center"/>
              <w:rPr>
                <w:sz w:val="20"/>
                <w:szCs w:val="20"/>
                <w:lang w:val="es-CO"/>
              </w:rPr>
            </w:pPr>
            <w:r w:rsidRPr="00606E51">
              <w:rPr>
                <w:sz w:val="20"/>
                <w:szCs w:val="20"/>
                <w:lang w:val="es-CO"/>
              </w:rPr>
              <w:t>Atención IPS de mediana/alta complejidad – manejo intrahospitalario</w:t>
            </w:r>
          </w:p>
        </w:tc>
        <w:tc>
          <w:tcPr>
            <w:tcW w:w="1807" w:type="pct"/>
            <w:vAlign w:val="center"/>
          </w:tcPr>
          <w:p w14:paraId="3209BA1D"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Consultas</w:t>
            </w:r>
          </w:p>
          <w:p w14:paraId="3A35BB29"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Procedimientos</w:t>
            </w:r>
          </w:p>
          <w:p w14:paraId="3A59D874"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Medicamentos e insumos</w:t>
            </w:r>
          </w:p>
          <w:p w14:paraId="23D1BBB3" w14:textId="77777777" w:rsidR="00F046C2" w:rsidRPr="00606E51" w:rsidRDefault="00F046C2" w:rsidP="00F046C2">
            <w:pPr>
              <w:pStyle w:val="ListParagraph"/>
              <w:numPr>
                <w:ilvl w:val="0"/>
                <w:numId w:val="2"/>
              </w:numPr>
              <w:ind w:left="174" w:hanging="174"/>
              <w:rPr>
                <w:sz w:val="20"/>
                <w:szCs w:val="20"/>
                <w:lang w:val="es-CO"/>
              </w:rPr>
            </w:pPr>
            <w:r w:rsidRPr="00606E51">
              <w:rPr>
                <w:b w:val="0"/>
                <w:sz w:val="20"/>
                <w:szCs w:val="20"/>
                <w:lang w:val="es-CO"/>
              </w:rPr>
              <w:t>Días de estancia hospitalaria</w:t>
            </w:r>
          </w:p>
        </w:tc>
        <w:tc>
          <w:tcPr>
            <w:tcW w:w="1549" w:type="pct"/>
            <w:vAlign w:val="center"/>
          </w:tcPr>
          <w:p w14:paraId="401A8889"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Consultas</w:t>
            </w:r>
          </w:p>
          <w:p w14:paraId="54F4C6AF"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Procedimientos</w:t>
            </w:r>
          </w:p>
          <w:p w14:paraId="4D771C63" w14:textId="77777777" w:rsidR="00F046C2" w:rsidRPr="00606E51" w:rsidRDefault="00F046C2" w:rsidP="00F046C2">
            <w:pPr>
              <w:pStyle w:val="ListParagraph"/>
              <w:numPr>
                <w:ilvl w:val="0"/>
                <w:numId w:val="2"/>
              </w:numPr>
              <w:ind w:left="174" w:hanging="174"/>
              <w:rPr>
                <w:b w:val="0"/>
                <w:sz w:val="20"/>
                <w:szCs w:val="20"/>
                <w:lang w:val="es-CO"/>
              </w:rPr>
            </w:pPr>
            <w:r w:rsidRPr="00606E51">
              <w:rPr>
                <w:b w:val="0"/>
                <w:sz w:val="20"/>
                <w:szCs w:val="20"/>
                <w:lang w:val="es-CO"/>
              </w:rPr>
              <w:t>Medicamentos e insumos</w:t>
            </w:r>
          </w:p>
          <w:p w14:paraId="6D88E29F" w14:textId="77777777" w:rsidR="00F046C2" w:rsidRPr="00606E51" w:rsidRDefault="00F046C2" w:rsidP="00F046C2">
            <w:pPr>
              <w:pStyle w:val="ListParagraph"/>
              <w:numPr>
                <w:ilvl w:val="0"/>
                <w:numId w:val="2"/>
              </w:numPr>
              <w:ind w:left="174" w:hanging="174"/>
              <w:rPr>
                <w:sz w:val="20"/>
                <w:szCs w:val="20"/>
                <w:lang w:val="es-CO"/>
              </w:rPr>
            </w:pPr>
            <w:r w:rsidRPr="00606E51">
              <w:rPr>
                <w:b w:val="0"/>
                <w:sz w:val="20"/>
                <w:szCs w:val="20"/>
                <w:lang w:val="es-CO"/>
              </w:rPr>
              <w:t>Días de estancia hospitalaria</w:t>
            </w:r>
          </w:p>
        </w:tc>
      </w:tr>
    </w:tbl>
    <w:p w14:paraId="1849DBBE" w14:textId="77777777" w:rsidR="00BA4E60" w:rsidRPr="00606E51" w:rsidRDefault="00BA4E60" w:rsidP="00230768">
      <w:pPr>
        <w:jc w:val="both"/>
        <w:rPr>
          <w:sz w:val="20"/>
          <w:lang w:val="es-CO"/>
        </w:rPr>
      </w:pPr>
      <w:r w:rsidRPr="00606E51">
        <w:rPr>
          <w:sz w:val="20"/>
          <w:lang w:val="es-CO"/>
        </w:rPr>
        <w:t>Fuente: elaboración propia</w:t>
      </w:r>
    </w:p>
    <w:p w14:paraId="647FD8F2" w14:textId="77777777" w:rsidR="00F046C2" w:rsidRPr="00606E51" w:rsidRDefault="00F046C2" w:rsidP="00230768">
      <w:pPr>
        <w:jc w:val="both"/>
        <w:rPr>
          <w:lang w:val="es-CO"/>
        </w:rPr>
      </w:pPr>
    </w:p>
    <w:p w14:paraId="17B29C59" w14:textId="77777777" w:rsidR="00BA4E60" w:rsidRPr="00606E51" w:rsidRDefault="00BA4E60" w:rsidP="00997568">
      <w:pPr>
        <w:pStyle w:val="Heading4"/>
        <w:rPr>
          <w:lang w:val="es-CO"/>
        </w:rPr>
      </w:pPr>
      <w:bookmarkStart w:id="67" w:name="_Toc482216923"/>
      <w:r w:rsidRPr="00606E51">
        <w:rPr>
          <w:lang w:val="es-CO"/>
        </w:rPr>
        <w:t>Insumos requeridos para el manejo en el hogar</w:t>
      </w:r>
      <w:bookmarkEnd w:id="67"/>
    </w:p>
    <w:p w14:paraId="3A24D368" w14:textId="77777777" w:rsidR="00F046C2" w:rsidRPr="00606E51" w:rsidRDefault="00F046C2" w:rsidP="00230768">
      <w:pPr>
        <w:jc w:val="both"/>
        <w:rPr>
          <w:lang w:val="es-CO"/>
        </w:rPr>
      </w:pPr>
    </w:p>
    <w:p w14:paraId="31CF04CA" w14:textId="77777777" w:rsidR="00BA4E60" w:rsidRPr="00606E51" w:rsidRDefault="00BA4E60" w:rsidP="00230768">
      <w:pPr>
        <w:jc w:val="both"/>
        <w:rPr>
          <w:lang w:val="es-CO"/>
        </w:rPr>
      </w:pPr>
      <w:r w:rsidRPr="00606E51">
        <w:rPr>
          <w:lang w:val="es-CO"/>
        </w:rPr>
        <w:t>Se consideran como insumos necesar</w:t>
      </w:r>
      <w:r w:rsidR="00CF1A07" w:rsidRPr="00606E51">
        <w:rPr>
          <w:lang w:val="es-CO"/>
        </w:rPr>
        <w:t>ios para la implementación del L</w:t>
      </w:r>
      <w:r w:rsidRPr="00606E51">
        <w:rPr>
          <w:lang w:val="es-CO"/>
        </w:rPr>
        <w:t xml:space="preserve">ineamiento aquellos que son exclusivos de este escenario; en particular, los sobres de fórmula terapéutica lista para consumir </w:t>
      </w:r>
      <w:r w:rsidR="005977B2" w:rsidRPr="00606E51">
        <w:rPr>
          <w:b/>
          <w:lang w:val="es-CO"/>
        </w:rPr>
        <w:lastRenderedPageBreak/>
        <w:t>(</w:t>
      </w:r>
      <w:r w:rsidRPr="00606E51">
        <w:rPr>
          <w:lang w:val="es-CO"/>
        </w:rPr>
        <w:t>FTL</w:t>
      </w:r>
      <w:r w:rsidR="005977B2" w:rsidRPr="00606E51">
        <w:rPr>
          <w:lang w:val="es-CO"/>
        </w:rPr>
        <w:t>P</w:t>
      </w:r>
      <w:r w:rsidRPr="00606E51">
        <w:rPr>
          <w:lang w:val="es-CO"/>
        </w:rPr>
        <w:t>C</w:t>
      </w:r>
      <w:r w:rsidR="005977B2" w:rsidRPr="00606E51">
        <w:rPr>
          <w:lang w:val="es-CO"/>
        </w:rPr>
        <w:t>)</w:t>
      </w:r>
      <w:r w:rsidR="005977B2" w:rsidRPr="00606E51">
        <w:rPr>
          <w:b/>
          <w:lang w:val="es-CO"/>
        </w:rPr>
        <w:t xml:space="preserve"> </w:t>
      </w:r>
      <w:r w:rsidRPr="00606E51">
        <w:rPr>
          <w:lang w:val="es-CO"/>
        </w:rPr>
        <w:t xml:space="preserve">y el Kit para su manejo. </w:t>
      </w:r>
      <w:r w:rsidR="00180D25">
        <w:rPr>
          <w:lang w:val="es-CO"/>
        </w:rPr>
        <w:t xml:space="preserve">Lamentablemente, la información disponible no permitió </w:t>
      </w:r>
      <w:r w:rsidRPr="00606E51">
        <w:rPr>
          <w:lang w:val="es-CO"/>
        </w:rPr>
        <w:t xml:space="preserve">identificar </w:t>
      </w:r>
      <w:r w:rsidR="00180D25">
        <w:rPr>
          <w:lang w:val="es-CO"/>
        </w:rPr>
        <w:t xml:space="preserve">ni </w:t>
      </w:r>
      <w:r w:rsidRPr="00606E51">
        <w:rPr>
          <w:lang w:val="es-CO"/>
        </w:rPr>
        <w:t xml:space="preserve">cuantificar el valor de otros insumos por atención de niño con desnutrición aguda. Los elementos consideraros de la FTLC y el kit para su manejo se presentan en el </w:t>
      </w:r>
      <w:r w:rsidRPr="00606E51">
        <w:rPr>
          <w:lang w:val="es-CO"/>
        </w:rPr>
        <w:fldChar w:fldCharType="begin"/>
      </w:r>
      <w:r w:rsidRPr="00606E51">
        <w:rPr>
          <w:lang w:val="es-CO"/>
        </w:rPr>
        <w:instrText xml:space="preserve"> REF  _Ref479006971 \* Lower \h  \* MERGEFORMAT </w:instrText>
      </w:r>
      <w:r w:rsidRPr="00606E51">
        <w:rPr>
          <w:lang w:val="es-CO"/>
        </w:rPr>
      </w:r>
      <w:r w:rsidRPr="00606E51">
        <w:rPr>
          <w:lang w:val="es-CO"/>
        </w:rPr>
        <w:fldChar w:fldCharType="separate"/>
      </w:r>
      <w:r w:rsidR="00B01F0F" w:rsidRPr="00606E51">
        <w:rPr>
          <w:lang w:val="es-CO"/>
        </w:rPr>
        <w:t>cuadro 4</w:t>
      </w:r>
      <w:r w:rsidR="00B01F0F" w:rsidRPr="00606E51">
        <w:rPr>
          <w:lang w:val="es-CO"/>
        </w:rPr>
        <w:noBreakHyphen/>
        <w:t>12</w:t>
      </w:r>
      <w:r w:rsidRPr="00606E51">
        <w:rPr>
          <w:lang w:val="es-CO"/>
        </w:rPr>
        <w:fldChar w:fldCharType="end"/>
      </w:r>
      <w:r w:rsidRPr="00606E51">
        <w:rPr>
          <w:lang w:val="es-CO"/>
        </w:rPr>
        <w:t>. De esta manera, se estima el costo promedio por atención en insumos en el manejo ambulatorio en el hogar (</w:t>
      </w:r>
      <m:oMath>
        <m:r>
          <w:rPr>
            <w:rFonts w:ascii="Cambria Math" w:hAnsi="Cambria Math"/>
            <w:lang w:val="es-CO"/>
          </w:rPr>
          <m:t>CPIE</m:t>
        </m:r>
      </m:oMath>
      <w:r w:rsidRPr="00606E51">
        <w:rPr>
          <w:lang w:val="es-CO"/>
        </w:rPr>
        <w:t>).</w:t>
      </w:r>
      <w:bookmarkStart w:id="68" w:name="_Ref478110063"/>
    </w:p>
    <w:p w14:paraId="6DF78236" w14:textId="77777777" w:rsidR="00F33EA6" w:rsidRPr="00606E51" w:rsidRDefault="00F33EA6"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7E5A658D" w14:textId="77777777" w:rsidTr="00BA4E60">
        <w:trPr>
          <w:trHeight w:val="591"/>
        </w:trPr>
        <w:tc>
          <w:tcPr>
            <w:tcW w:w="8167" w:type="dxa"/>
            <w:vAlign w:val="center"/>
          </w:tcPr>
          <w:p w14:paraId="4B4B40BC" w14:textId="77777777" w:rsidR="00BA4E60" w:rsidRPr="00606E51" w:rsidRDefault="00F33EA6" w:rsidP="00230768">
            <w:pPr>
              <w:jc w:val="both"/>
              <w:rPr>
                <w:b w:val="0"/>
                <w:sz w:val="22"/>
                <w:lang w:val="es-CO"/>
              </w:rPr>
            </w:pPr>
            <m:oMathPara>
              <m:oMath>
                <m:r>
                  <m:rPr>
                    <m:sty m:val="bi"/>
                  </m:rPr>
                  <w:rPr>
                    <w:rFonts w:ascii="Cambria Math" w:hAnsi="Cambria Math"/>
                    <w:sz w:val="22"/>
                    <w:lang w:val="es-CO"/>
                  </w:rPr>
                  <m:t>CPIE=FTLC por niño+Costo por kit FTLC</m:t>
                </m:r>
              </m:oMath>
            </m:oMathPara>
          </w:p>
        </w:tc>
        <w:tc>
          <w:tcPr>
            <w:tcW w:w="563" w:type="dxa"/>
            <w:vAlign w:val="center"/>
          </w:tcPr>
          <w:p w14:paraId="20FF5486"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1</w:t>
            </w:r>
            <w:r w:rsidRPr="00606E51">
              <w:rPr>
                <w:lang w:val="es-CO"/>
              </w:rPr>
              <w:fldChar w:fldCharType="end"/>
            </w:r>
            <w:r w:rsidRPr="00606E51">
              <w:rPr>
                <w:b w:val="0"/>
                <w:sz w:val="22"/>
                <w:lang w:val="es-CO"/>
              </w:rPr>
              <w:t>)</w:t>
            </w:r>
          </w:p>
        </w:tc>
      </w:tr>
    </w:tbl>
    <w:p w14:paraId="6CF6E05C" w14:textId="77777777" w:rsidR="00BA4E60" w:rsidRPr="00606E51" w:rsidRDefault="00BA4E60" w:rsidP="00F046C2">
      <w:pPr>
        <w:jc w:val="center"/>
        <w:rPr>
          <w:lang w:val="es-CO"/>
        </w:rPr>
      </w:pPr>
      <w:bookmarkStart w:id="69" w:name="_Ref479006971"/>
      <w:bookmarkStart w:id="70" w:name="_Toc490045710"/>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XII</w:t>
      </w:r>
      <w:r w:rsidR="00F1370E" w:rsidRPr="00606E51">
        <w:rPr>
          <w:b/>
          <w:bCs/>
          <w:lang w:val="es-CO"/>
        </w:rPr>
        <w:fldChar w:fldCharType="end"/>
      </w:r>
      <w:bookmarkEnd w:id="68"/>
      <w:bookmarkEnd w:id="69"/>
      <w:r w:rsidRPr="00606E51">
        <w:rPr>
          <w:b/>
          <w:bCs/>
          <w:lang w:val="es-CO"/>
        </w:rPr>
        <w:t>. Costo insumos en el escenario con lineamiento</w:t>
      </w:r>
      <w:bookmarkEnd w:id="70"/>
    </w:p>
    <w:tbl>
      <w:tblPr>
        <w:tblW w:w="0" w:type="auto"/>
        <w:jc w:val="center"/>
        <w:tblCellMar>
          <w:left w:w="70" w:type="dxa"/>
          <w:right w:w="70" w:type="dxa"/>
        </w:tblCellMar>
        <w:tblLook w:val="04A0" w:firstRow="1" w:lastRow="0" w:firstColumn="1" w:lastColumn="0" w:noHBand="0" w:noVBand="1"/>
      </w:tblPr>
      <w:tblGrid>
        <w:gridCol w:w="2984"/>
      </w:tblGrid>
      <w:tr w:rsidR="00BA4E60" w:rsidRPr="00606E51" w14:paraId="5C790D10" w14:textId="77777777" w:rsidTr="00BA4E60">
        <w:trPr>
          <w:trHeight w:val="20"/>
          <w:jc w:val="center"/>
        </w:trPr>
        <w:tc>
          <w:tcPr>
            <w:tcW w:w="0" w:type="auto"/>
            <w:tcBorders>
              <w:top w:val="single" w:sz="4" w:space="0" w:color="auto"/>
              <w:left w:val="nil"/>
              <w:bottom w:val="single" w:sz="4" w:space="0" w:color="auto"/>
              <w:right w:val="nil"/>
            </w:tcBorders>
            <w:shd w:val="clear" w:color="auto" w:fill="auto"/>
            <w:noWrap/>
            <w:vAlign w:val="bottom"/>
          </w:tcPr>
          <w:p w14:paraId="560A194A" w14:textId="77777777" w:rsidR="00BA4E60" w:rsidRPr="00606E51" w:rsidRDefault="00BA4E60" w:rsidP="00230768">
            <w:pPr>
              <w:jc w:val="both"/>
              <w:rPr>
                <w:b/>
                <w:sz w:val="20"/>
                <w:szCs w:val="20"/>
                <w:lang w:val="es-CO"/>
              </w:rPr>
            </w:pPr>
            <w:r w:rsidRPr="00606E51">
              <w:rPr>
                <w:b/>
                <w:sz w:val="20"/>
                <w:szCs w:val="20"/>
                <w:lang w:val="es-CO"/>
              </w:rPr>
              <w:t>FTLC</w:t>
            </w:r>
          </w:p>
        </w:tc>
      </w:tr>
      <w:tr w:rsidR="00BA4E60" w:rsidRPr="00606E51" w14:paraId="630F2969" w14:textId="77777777" w:rsidTr="00BA4E60">
        <w:trPr>
          <w:trHeight w:val="20"/>
          <w:jc w:val="center"/>
        </w:trPr>
        <w:tc>
          <w:tcPr>
            <w:tcW w:w="0" w:type="auto"/>
            <w:tcBorders>
              <w:top w:val="single" w:sz="4" w:space="0" w:color="auto"/>
              <w:left w:val="nil"/>
              <w:bottom w:val="nil"/>
              <w:right w:val="nil"/>
            </w:tcBorders>
            <w:shd w:val="clear" w:color="auto" w:fill="auto"/>
            <w:noWrap/>
            <w:vAlign w:val="bottom"/>
          </w:tcPr>
          <w:p w14:paraId="2AF70F35" w14:textId="77777777" w:rsidR="00BA4E60" w:rsidRPr="00606E51" w:rsidRDefault="00BA4E60" w:rsidP="00230768">
            <w:pPr>
              <w:jc w:val="both"/>
              <w:rPr>
                <w:sz w:val="20"/>
                <w:szCs w:val="20"/>
                <w:lang w:val="es-CO"/>
              </w:rPr>
            </w:pPr>
            <w:r w:rsidRPr="00606E51">
              <w:rPr>
                <w:sz w:val="20"/>
                <w:szCs w:val="20"/>
                <w:lang w:val="es-CO"/>
              </w:rPr>
              <w:t>F-75</w:t>
            </w:r>
          </w:p>
        </w:tc>
      </w:tr>
      <w:tr w:rsidR="00BA4E60" w:rsidRPr="00606E51" w14:paraId="45A1DBE5" w14:textId="77777777" w:rsidTr="00BA4E60">
        <w:trPr>
          <w:trHeight w:val="20"/>
          <w:jc w:val="center"/>
        </w:trPr>
        <w:tc>
          <w:tcPr>
            <w:tcW w:w="0" w:type="auto"/>
            <w:tcBorders>
              <w:top w:val="nil"/>
              <w:left w:val="nil"/>
              <w:bottom w:val="single" w:sz="4" w:space="0" w:color="auto"/>
              <w:right w:val="nil"/>
            </w:tcBorders>
            <w:shd w:val="clear" w:color="auto" w:fill="auto"/>
            <w:noWrap/>
            <w:vAlign w:val="bottom"/>
          </w:tcPr>
          <w:p w14:paraId="57B49415" w14:textId="77777777" w:rsidR="00BA4E60" w:rsidRPr="00606E51" w:rsidRDefault="00BA4E60" w:rsidP="00230768">
            <w:pPr>
              <w:jc w:val="both"/>
              <w:rPr>
                <w:sz w:val="20"/>
                <w:szCs w:val="20"/>
                <w:lang w:val="es-CO"/>
              </w:rPr>
            </w:pPr>
            <w:r w:rsidRPr="00606E51">
              <w:rPr>
                <w:sz w:val="20"/>
                <w:szCs w:val="20"/>
                <w:lang w:val="es-CO"/>
              </w:rPr>
              <w:t>FTLC</w:t>
            </w:r>
          </w:p>
        </w:tc>
      </w:tr>
      <w:tr w:rsidR="00BA4E60" w:rsidRPr="00606E51" w14:paraId="0B597674" w14:textId="77777777" w:rsidTr="00BA4E60">
        <w:trPr>
          <w:trHeight w:val="20"/>
          <w:jc w:val="center"/>
        </w:trPr>
        <w:tc>
          <w:tcPr>
            <w:tcW w:w="0" w:type="auto"/>
            <w:tcBorders>
              <w:top w:val="single" w:sz="4" w:space="0" w:color="auto"/>
              <w:left w:val="nil"/>
              <w:bottom w:val="single" w:sz="4" w:space="0" w:color="auto"/>
              <w:right w:val="nil"/>
            </w:tcBorders>
            <w:shd w:val="clear" w:color="auto" w:fill="auto"/>
            <w:noWrap/>
            <w:vAlign w:val="bottom"/>
          </w:tcPr>
          <w:p w14:paraId="6D7DBA1A" w14:textId="77777777" w:rsidR="00BA4E60" w:rsidRPr="00606E51" w:rsidRDefault="00BA4E60" w:rsidP="00230768">
            <w:pPr>
              <w:jc w:val="both"/>
              <w:rPr>
                <w:b/>
                <w:sz w:val="20"/>
                <w:szCs w:val="20"/>
                <w:lang w:val="es-CO"/>
              </w:rPr>
            </w:pPr>
            <w:r w:rsidRPr="00606E51">
              <w:rPr>
                <w:b/>
                <w:sz w:val="20"/>
                <w:szCs w:val="20"/>
                <w:lang w:val="es-CO"/>
              </w:rPr>
              <w:t>Kit FTLC</w:t>
            </w:r>
          </w:p>
        </w:tc>
      </w:tr>
      <w:tr w:rsidR="00BA4E60" w:rsidRPr="00606E51" w14:paraId="6ADF4DD4" w14:textId="77777777" w:rsidTr="00BA4E60">
        <w:trPr>
          <w:trHeight w:val="20"/>
          <w:jc w:val="center"/>
        </w:trPr>
        <w:tc>
          <w:tcPr>
            <w:tcW w:w="0" w:type="auto"/>
            <w:tcBorders>
              <w:top w:val="single" w:sz="4" w:space="0" w:color="auto"/>
              <w:left w:val="nil"/>
              <w:bottom w:val="nil"/>
              <w:right w:val="nil"/>
            </w:tcBorders>
            <w:shd w:val="clear" w:color="auto" w:fill="auto"/>
            <w:noWrap/>
            <w:vAlign w:val="bottom"/>
            <w:hideMark/>
          </w:tcPr>
          <w:p w14:paraId="0221EF20" w14:textId="77777777" w:rsidR="00BA4E60" w:rsidRPr="00606E51" w:rsidRDefault="00BA4E60" w:rsidP="00230768">
            <w:pPr>
              <w:jc w:val="both"/>
              <w:rPr>
                <w:sz w:val="20"/>
                <w:szCs w:val="20"/>
                <w:lang w:val="es-CO"/>
              </w:rPr>
            </w:pPr>
            <w:r w:rsidRPr="00606E51">
              <w:rPr>
                <w:sz w:val="20"/>
                <w:szCs w:val="20"/>
                <w:lang w:val="es-CO"/>
              </w:rPr>
              <w:t>Tijeras</w:t>
            </w:r>
          </w:p>
        </w:tc>
      </w:tr>
      <w:tr w:rsidR="00BA4E60" w:rsidRPr="00606E51" w14:paraId="5481B886" w14:textId="77777777" w:rsidTr="00BA4E60">
        <w:trPr>
          <w:trHeight w:val="20"/>
          <w:jc w:val="center"/>
        </w:trPr>
        <w:tc>
          <w:tcPr>
            <w:tcW w:w="0" w:type="auto"/>
            <w:tcBorders>
              <w:top w:val="nil"/>
              <w:left w:val="nil"/>
              <w:bottom w:val="nil"/>
              <w:right w:val="nil"/>
            </w:tcBorders>
            <w:shd w:val="clear" w:color="auto" w:fill="auto"/>
            <w:noWrap/>
            <w:vAlign w:val="bottom"/>
            <w:hideMark/>
          </w:tcPr>
          <w:p w14:paraId="13B9A87E" w14:textId="77777777" w:rsidR="00BA4E60" w:rsidRPr="00606E51" w:rsidRDefault="00BA4E60" w:rsidP="00230768">
            <w:pPr>
              <w:jc w:val="both"/>
              <w:rPr>
                <w:sz w:val="20"/>
                <w:szCs w:val="20"/>
                <w:lang w:val="es-CO"/>
              </w:rPr>
            </w:pPr>
            <w:r w:rsidRPr="00606E51">
              <w:rPr>
                <w:sz w:val="20"/>
                <w:szCs w:val="20"/>
                <w:lang w:val="es-CO"/>
              </w:rPr>
              <w:t>Pinza</w:t>
            </w:r>
          </w:p>
        </w:tc>
      </w:tr>
      <w:tr w:rsidR="00BA4E60" w:rsidRPr="00606E51" w14:paraId="3F8FD453" w14:textId="77777777" w:rsidTr="00BA4E60">
        <w:trPr>
          <w:trHeight w:val="20"/>
          <w:jc w:val="center"/>
        </w:trPr>
        <w:tc>
          <w:tcPr>
            <w:tcW w:w="0" w:type="auto"/>
            <w:tcBorders>
              <w:top w:val="nil"/>
              <w:left w:val="nil"/>
              <w:bottom w:val="nil"/>
              <w:right w:val="nil"/>
            </w:tcBorders>
            <w:shd w:val="clear" w:color="auto" w:fill="auto"/>
            <w:noWrap/>
            <w:vAlign w:val="bottom"/>
            <w:hideMark/>
          </w:tcPr>
          <w:p w14:paraId="0F90C2DA" w14:textId="77777777" w:rsidR="00BA4E60" w:rsidRPr="00606E51" w:rsidRDefault="00BA4E60" w:rsidP="00230768">
            <w:pPr>
              <w:jc w:val="both"/>
              <w:rPr>
                <w:sz w:val="20"/>
                <w:szCs w:val="20"/>
                <w:lang w:val="es-CO"/>
              </w:rPr>
            </w:pPr>
            <w:r w:rsidRPr="00606E51">
              <w:rPr>
                <w:sz w:val="20"/>
                <w:szCs w:val="20"/>
                <w:lang w:val="es-CO"/>
              </w:rPr>
              <w:t>Taza plástica pequeña con tapa</w:t>
            </w:r>
          </w:p>
        </w:tc>
      </w:tr>
      <w:tr w:rsidR="00BA4E60" w:rsidRPr="00606E51" w14:paraId="791CAA42" w14:textId="77777777" w:rsidTr="00BA4E60">
        <w:trPr>
          <w:trHeight w:val="20"/>
          <w:jc w:val="center"/>
        </w:trPr>
        <w:tc>
          <w:tcPr>
            <w:tcW w:w="0" w:type="auto"/>
            <w:tcBorders>
              <w:top w:val="nil"/>
              <w:left w:val="nil"/>
              <w:right w:val="nil"/>
            </w:tcBorders>
            <w:shd w:val="clear" w:color="auto" w:fill="auto"/>
            <w:noWrap/>
            <w:vAlign w:val="bottom"/>
            <w:hideMark/>
          </w:tcPr>
          <w:p w14:paraId="0BD157A9" w14:textId="77777777" w:rsidR="00BA4E60" w:rsidRPr="00606E51" w:rsidRDefault="00BA4E60" w:rsidP="00230768">
            <w:pPr>
              <w:jc w:val="both"/>
              <w:rPr>
                <w:sz w:val="20"/>
                <w:szCs w:val="20"/>
                <w:lang w:val="es-CO"/>
              </w:rPr>
            </w:pPr>
            <w:r w:rsidRPr="00606E51">
              <w:rPr>
                <w:sz w:val="20"/>
                <w:szCs w:val="20"/>
                <w:lang w:val="es-CO"/>
              </w:rPr>
              <w:t>Cuchara plástica</w:t>
            </w:r>
          </w:p>
        </w:tc>
      </w:tr>
      <w:tr w:rsidR="00BA4E60" w:rsidRPr="00606E51" w14:paraId="70009BDD" w14:textId="77777777" w:rsidTr="00BA4E60">
        <w:trPr>
          <w:trHeight w:val="20"/>
          <w:jc w:val="center"/>
        </w:trPr>
        <w:tc>
          <w:tcPr>
            <w:tcW w:w="0" w:type="auto"/>
            <w:tcBorders>
              <w:top w:val="nil"/>
              <w:left w:val="nil"/>
              <w:bottom w:val="single" w:sz="4" w:space="0" w:color="auto"/>
              <w:right w:val="nil"/>
            </w:tcBorders>
            <w:shd w:val="clear" w:color="auto" w:fill="auto"/>
            <w:noWrap/>
            <w:vAlign w:val="bottom"/>
          </w:tcPr>
          <w:p w14:paraId="5BBCAB33" w14:textId="77777777" w:rsidR="00BA4E60" w:rsidRPr="00606E51" w:rsidRDefault="00BA4E60" w:rsidP="00230768">
            <w:pPr>
              <w:jc w:val="both"/>
              <w:rPr>
                <w:sz w:val="20"/>
                <w:szCs w:val="20"/>
                <w:lang w:val="es-CO"/>
              </w:rPr>
            </w:pPr>
            <w:r w:rsidRPr="00606E51">
              <w:rPr>
                <w:sz w:val="20"/>
                <w:szCs w:val="20"/>
                <w:lang w:val="es-CO"/>
              </w:rPr>
              <w:t>Recipiente plástico grande con tapa</w:t>
            </w:r>
          </w:p>
        </w:tc>
      </w:tr>
    </w:tbl>
    <w:p w14:paraId="62687368" w14:textId="77777777" w:rsidR="00BA4E60" w:rsidRPr="00606E51" w:rsidRDefault="00BA4E60" w:rsidP="00F046C2">
      <w:pPr>
        <w:jc w:val="center"/>
        <w:rPr>
          <w:sz w:val="20"/>
          <w:szCs w:val="20"/>
          <w:lang w:val="es-CO"/>
        </w:rPr>
      </w:pPr>
      <w:r w:rsidRPr="00606E51">
        <w:rPr>
          <w:sz w:val="20"/>
          <w:szCs w:val="20"/>
          <w:lang w:val="es-CO"/>
        </w:rPr>
        <w:t>Fuente: UNICEF y lineamiento</w:t>
      </w:r>
    </w:p>
    <w:p w14:paraId="5C203C04" w14:textId="77777777" w:rsidR="00F33EA6" w:rsidRPr="00606E51" w:rsidRDefault="00F33EA6" w:rsidP="00F046C2">
      <w:pPr>
        <w:jc w:val="center"/>
        <w:rPr>
          <w:sz w:val="20"/>
          <w:szCs w:val="20"/>
          <w:lang w:val="es-CO"/>
        </w:rPr>
      </w:pPr>
    </w:p>
    <w:p w14:paraId="5BAB3A1F" w14:textId="77777777" w:rsidR="00BA4E60" w:rsidRPr="00606E51" w:rsidRDefault="00BA4E60" w:rsidP="00997568">
      <w:pPr>
        <w:pStyle w:val="Heading4"/>
        <w:rPr>
          <w:lang w:val="es-CO"/>
        </w:rPr>
      </w:pPr>
      <w:bookmarkStart w:id="71" w:name="_Toc482216924"/>
      <w:r w:rsidRPr="00606E51">
        <w:rPr>
          <w:lang w:val="es-CO"/>
        </w:rPr>
        <w:t>Costo de entrenamiento</w:t>
      </w:r>
      <w:bookmarkEnd w:id="71"/>
    </w:p>
    <w:p w14:paraId="52E19AD7" w14:textId="77777777" w:rsidR="00F33EA6" w:rsidRPr="00606E51" w:rsidRDefault="00F33EA6" w:rsidP="00230768">
      <w:pPr>
        <w:jc w:val="both"/>
        <w:rPr>
          <w:lang w:val="es-CO"/>
        </w:rPr>
      </w:pPr>
    </w:p>
    <w:p w14:paraId="33FE134E" w14:textId="77777777" w:rsidR="003D1805" w:rsidRPr="00606E51" w:rsidRDefault="00BA4E60" w:rsidP="00230768">
      <w:pPr>
        <w:jc w:val="both"/>
        <w:rPr>
          <w:lang w:val="es-CO"/>
        </w:rPr>
      </w:pPr>
      <w:r w:rsidRPr="00606E51">
        <w:rPr>
          <w:lang w:val="es-CO"/>
        </w:rPr>
        <w:t>Como costo de entrenamiento se considera el gasto generado por las capacitaciones necesarias al personal médico de las IPS (de baja, media y alta complejida</w:t>
      </w:r>
      <w:r w:rsidR="00CF1A07" w:rsidRPr="00606E51">
        <w:rPr>
          <w:lang w:val="es-CO"/>
        </w:rPr>
        <w:t>d) sobre la implementación del L</w:t>
      </w:r>
      <w:r w:rsidRPr="00606E51">
        <w:rPr>
          <w:lang w:val="es-CO"/>
        </w:rPr>
        <w:t>ineamiento. Si bien no se contó con un valor para adicionarlo al costo total, sería posible utilizar como proxy los honorarios pagados a las personas encargadas del entrenamiento de los equipos extramu</w:t>
      </w:r>
      <w:r w:rsidR="00CF1A07" w:rsidRPr="00606E51">
        <w:rPr>
          <w:lang w:val="es-CO"/>
        </w:rPr>
        <w:t>rales en la implementación del L</w:t>
      </w:r>
      <w:r w:rsidRPr="00606E51">
        <w:rPr>
          <w:lang w:val="es-CO"/>
        </w:rPr>
        <w:t>ineamiento, de acuerdo a la disponibilidad de información. Los costos de entrenamiento (</w:t>
      </w:r>
      <m:oMath>
        <m:r>
          <w:rPr>
            <w:rFonts w:ascii="Cambria Math" w:hAnsi="Cambria Math"/>
            <w:lang w:val="es-CO"/>
          </w:rPr>
          <m:t>CEntr</m:t>
        </m:r>
      </m:oMath>
      <w:r w:rsidRPr="00606E51">
        <w:rPr>
          <w:lang w:val="es-CO"/>
        </w:rPr>
        <w:t>) se consideran como costos fijos y no dependen del número de niños o niñas atendidos.</w:t>
      </w:r>
    </w:p>
    <w:p w14:paraId="35377213" w14:textId="77777777" w:rsidR="00F33EA6" w:rsidRPr="00606E51" w:rsidRDefault="00F33EA6" w:rsidP="00230768">
      <w:pPr>
        <w:jc w:val="both"/>
        <w:rPr>
          <w:lang w:val="es-CO"/>
        </w:rPr>
      </w:pPr>
    </w:p>
    <w:p w14:paraId="2B201B78" w14:textId="77777777" w:rsidR="00BA4E60" w:rsidRPr="00606E51" w:rsidRDefault="00BA4E60" w:rsidP="00997568">
      <w:pPr>
        <w:pStyle w:val="Heading4"/>
        <w:rPr>
          <w:lang w:val="es-CO"/>
        </w:rPr>
      </w:pPr>
      <w:bookmarkStart w:id="72" w:name="_Toc482216925"/>
      <w:r w:rsidRPr="00606E51">
        <w:rPr>
          <w:lang w:val="es-CO"/>
        </w:rPr>
        <w:t>Otros costos no comunes</w:t>
      </w:r>
      <w:bookmarkEnd w:id="72"/>
    </w:p>
    <w:p w14:paraId="09CA98E6" w14:textId="77777777" w:rsidR="00F33EA6" w:rsidRPr="00606E51" w:rsidRDefault="00F33EA6" w:rsidP="00230768">
      <w:pPr>
        <w:jc w:val="both"/>
        <w:rPr>
          <w:lang w:val="es-CO"/>
        </w:rPr>
      </w:pPr>
    </w:p>
    <w:p w14:paraId="3C585BEA" w14:textId="77777777" w:rsidR="00BA4E60" w:rsidRPr="00606E51" w:rsidRDefault="00180D25" w:rsidP="00230768">
      <w:pPr>
        <w:jc w:val="both"/>
        <w:rPr>
          <w:lang w:val="es-CO"/>
        </w:rPr>
      </w:pPr>
      <w:r>
        <w:rPr>
          <w:lang w:val="es-CO"/>
        </w:rPr>
        <w:t xml:space="preserve">Los </w:t>
      </w:r>
      <w:r w:rsidR="00BA4E60" w:rsidRPr="00606E51">
        <w:rPr>
          <w:lang w:val="es-CO"/>
        </w:rPr>
        <w:t xml:space="preserve">costos no comunes </w:t>
      </w:r>
      <w:r>
        <w:rPr>
          <w:lang w:val="es-CO"/>
        </w:rPr>
        <w:t xml:space="preserve">son aquellos que </w:t>
      </w:r>
      <w:r w:rsidR="00BA4E60" w:rsidRPr="00606E51">
        <w:rPr>
          <w:lang w:val="es-CO"/>
        </w:rPr>
        <w:t>no están directamente relacionados con la atención médica, pero que son necesarios y exclusivos de la implementación del</w:t>
      </w:r>
      <w:r w:rsidR="00CF1A07" w:rsidRPr="00606E51">
        <w:rPr>
          <w:lang w:val="es-CO"/>
        </w:rPr>
        <w:t xml:space="preserve"> L</w:t>
      </w:r>
      <w:r w:rsidR="00BA4E60" w:rsidRPr="00606E51">
        <w:rPr>
          <w:lang w:val="es-CO"/>
        </w:rPr>
        <w:t>ineamiento en el manejo en el hogar. Aunque la información disponible no permitió cuantificar estos elementos, se considera como potenciales los siguientes componentes: las visitas relacionadas exclusiv</w:t>
      </w:r>
      <w:r w:rsidR="00CF1A07" w:rsidRPr="00606E51">
        <w:rPr>
          <w:lang w:val="es-CO"/>
        </w:rPr>
        <w:t>amente a la implementación del L</w:t>
      </w:r>
      <w:r w:rsidR="00BA4E60" w:rsidRPr="00606E51">
        <w:rPr>
          <w:lang w:val="es-CO"/>
        </w:rPr>
        <w:t>ineamiento y personal adicional necesario para la implementación de lineamiento.</w:t>
      </w:r>
    </w:p>
    <w:p w14:paraId="24CAE7DE" w14:textId="77777777" w:rsidR="00F33EA6" w:rsidRPr="00606E51" w:rsidRDefault="00F33EA6" w:rsidP="00230768">
      <w:pPr>
        <w:jc w:val="both"/>
        <w:rPr>
          <w:lang w:val="es-CO"/>
        </w:rPr>
      </w:pPr>
    </w:p>
    <w:p w14:paraId="172DEA8B" w14:textId="77777777" w:rsidR="00BA4E60" w:rsidRPr="00606E51" w:rsidRDefault="00BA4E60" w:rsidP="00230768">
      <w:pPr>
        <w:jc w:val="both"/>
        <w:rPr>
          <w:lang w:val="es-CO"/>
        </w:rPr>
      </w:pPr>
      <w:r w:rsidRPr="00606E51">
        <w:rPr>
          <w:lang w:val="es-CO"/>
        </w:rPr>
        <w:t>Teniendo en cuenta que para el ACE el objetivo es estimar la variación de los costos o costo</w:t>
      </w:r>
      <w:r w:rsidR="00CF1A07" w:rsidRPr="00606E51">
        <w:rPr>
          <w:lang w:val="es-CO"/>
        </w:rPr>
        <w:t xml:space="preserve"> incremental de implementar el L</w:t>
      </w:r>
      <w:r w:rsidRPr="00606E51">
        <w:rPr>
          <w:lang w:val="es-CO"/>
        </w:rPr>
        <w:t>ineamiento, los costos no comunes son los únicos que generan una variación en los costos totales. Lo anterior es relevante si se tiene en cuenta que todos los demás costos no tienen ningún impacto en el costo incremental. En el caso particular de la atención brindada por los equipos extramurales, es importante tener en cuenta que al estar creados para la atención integral en salud y nutrición y no únicame</w:t>
      </w:r>
      <w:r w:rsidR="00CF1A07" w:rsidRPr="00606E51">
        <w:rPr>
          <w:lang w:val="es-CO"/>
        </w:rPr>
        <w:t>nte para la implementación del L</w:t>
      </w:r>
      <w:r w:rsidRPr="00606E51">
        <w:rPr>
          <w:lang w:val="es-CO"/>
        </w:rPr>
        <w:t>ineamiento, sus costos son principalmente comunes entre el es</w:t>
      </w:r>
      <w:r w:rsidR="00CF1A07" w:rsidRPr="00606E51">
        <w:rPr>
          <w:lang w:val="es-CO"/>
        </w:rPr>
        <w:t>cenario con implementación del L</w:t>
      </w:r>
      <w:r w:rsidRPr="00606E51">
        <w:rPr>
          <w:lang w:val="es-CO"/>
        </w:rPr>
        <w:t>ineam</w:t>
      </w:r>
      <w:r w:rsidR="00CF1A07" w:rsidRPr="00606E51">
        <w:rPr>
          <w:lang w:val="es-CO"/>
        </w:rPr>
        <w:t>iento y sin implementación del L</w:t>
      </w:r>
      <w:r w:rsidRPr="00606E51">
        <w:rPr>
          <w:lang w:val="es-CO"/>
        </w:rPr>
        <w:t>ineamiento; de esta manera no generan un impacto sobre el costo incremental.</w:t>
      </w:r>
    </w:p>
    <w:p w14:paraId="578BA77E" w14:textId="77777777" w:rsidR="00F33EA6" w:rsidRDefault="00F33EA6" w:rsidP="00230768">
      <w:pPr>
        <w:jc w:val="both"/>
        <w:rPr>
          <w:lang w:val="es-CO"/>
        </w:rPr>
      </w:pPr>
    </w:p>
    <w:p w14:paraId="23A5742D" w14:textId="77777777" w:rsidR="00180D25" w:rsidRDefault="00180D25" w:rsidP="00230768">
      <w:pPr>
        <w:jc w:val="both"/>
        <w:rPr>
          <w:lang w:val="es-CO"/>
        </w:rPr>
      </w:pPr>
    </w:p>
    <w:p w14:paraId="1D66AF4D" w14:textId="77777777" w:rsidR="00180D25" w:rsidRDefault="00180D25" w:rsidP="00230768">
      <w:pPr>
        <w:jc w:val="both"/>
        <w:rPr>
          <w:lang w:val="es-CO"/>
        </w:rPr>
      </w:pPr>
    </w:p>
    <w:p w14:paraId="075FE55B" w14:textId="77777777" w:rsidR="00180D25" w:rsidRPr="00606E51" w:rsidRDefault="00180D25" w:rsidP="00230768">
      <w:pPr>
        <w:jc w:val="both"/>
        <w:rPr>
          <w:lang w:val="es-CO"/>
        </w:rPr>
      </w:pPr>
    </w:p>
    <w:p w14:paraId="04EE995F" w14:textId="77777777" w:rsidR="00BA4E60" w:rsidRPr="00606E51" w:rsidRDefault="00BA4E60" w:rsidP="00997568">
      <w:pPr>
        <w:pStyle w:val="Heading4"/>
        <w:rPr>
          <w:lang w:val="es-CO"/>
        </w:rPr>
      </w:pPr>
      <w:bookmarkStart w:id="73" w:name="_Toc482216926"/>
      <w:r w:rsidRPr="00606E51">
        <w:rPr>
          <w:lang w:val="es-CO"/>
        </w:rPr>
        <w:lastRenderedPageBreak/>
        <w:t>Costos de tratamiento en IPS de mediana/alta complejidad – manejo intrahospitalario</w:t>
      </w:r>
      <w:bookmarkEnd w:id="73"/>
    </w:p>
    <w:p w14:paraId="507E85A9" w14:textId="77777777" w:rsidR="00F33EA6" w:rsidRPr="00606E51" w:rsidRDefault="00F33EA6" w:rsidP="00230768">
      <w:pPr>
        <w:jc w:val="both"/>
        <w:rPr>
          <w:lang w:val="es-CO"/>
        </w:rPr>
      </w:pPr>
    </w:p>
    <w:p w14:paraId="20DA8E6C" w14:textId="77777777" w:rsidR="00BA4E60" w:rsidRPr="00606E51" w:rsidRDefault="00BA4E60" w:rsidP="00230768">
      <w:pPr>
        <w:jc w:val="both"/>
        <w:rPr>
          <w:lang w:val="es-CO"/>
        </w:rPr>
      </w:pPr>
      <w:r w:rsidRPr="00606E51">
        <w:rPr>
          <w:lang w:val="es-CO"/>
        </w:rPr>
        <w:t>Como se mencionó anteriormente, se consideraron los costos generados para el SGSS, los cuales corresponden al costo para las IPS de mediana/alta complejidad por e</w:t>
      </w:r>
      <w:r w:rsidR="003C3A30" w:rsidRPr="00606E51">
        <w:rPr>
          <w:lang w:val="es-CO"/>
        </w:rPr>
        <w:t xml:space="preserve">l manejo inicial de las complicaciones asociadas a la desnutrición aguda, como son consultas, procedimientos, medicamentos e </w:t>
      </w:r>
      <w:r w:rsidR="00180D25" w:rsidRPr="00606E51">
        <w:rPr>
          <w:lang w:val="es-CO"/>
        </w:rPr>
        <w:t>insumos</w:t>
      </w:r>
      <w:r w:rsidRPr="00606E51">
        <w:rPr>
          <w:vertAlign w:val="superscript"/>
          <w:lang w:val="es-CO"/>
        </w:rPr>
        <w:footnoteReference w:id="53"/>
      </w:r>
      <w:r w:rsidRPr="00606E51">
        <w:rPr>
          <w:lang w:val="es-CO"/>
        </w:rPr>
        <w:t>.</w:t>
      </w:r>
    </w:p>
    <w:p w14:paraId="7B967988" w14:textId="77777777" w:rsidR="00F33EA6" w:rsidRPr="00606E51" w:rsidRDefault="00F33EA6" w:rsidP="00230768">
      <w:pPr>
        <w:jc w:val="both"/>
        <w:rPr>
          <w:lang w:val="es-CO"/>
        </w:rPr>
      </w:pPr>
    </w:p>
    <w:p w14:paraId="56C14E5E" w14:textId="77777777" w:rsidR="00BA4E60" w:rsidRPr="00606E51" w:rsidRDefault="00BA4E60" w:rsidP="00BB1D7B">
      <w:pPr>
        <w:pStyle w:val="Heading5"/>
        <w:numPr>
          <w:ilvl w:val="4"/>
          <w:numId w:val="18"/>
        </w:numPr>
        <w:jc w:val="left"/>
        <w:rPr>
          <w:lang w:val="es-CO"/>
        </w:rPr>
      </w:pPr>
      <w:r w:rsidRPr="00606E51">
        <w:rPr>
          <w:lang w:val="es-CO"/>
        </w:rPr>
        <w:t>Consultas</w:t>
      </w:r>
    </w:p>
    <w:p w14:paraId="50E83EA5" w14:textId="77777777" w:rsidR="00F33EA6" w:rsidRPr="00606E51" w:rsidRDefault="00F33EA6" w:rsidP="00230768">
      <w:pPr>
        <w:jc w:val="both"/>
        <w:rPr>
          <w:lang w:val="es-CO"/>
        </w:rPr>
      </w:pPr>
    </w:p>
    <w:p w14:paraId="78B81941" w14:textId="77777777" w:rsidR="00BA4E60" w:rsidRPr="00606E51" w:rsidRDefault="00BA4E60" w:rsidP="00230768">
      <w:pPr>
        <w:jc w:val="both"/>
        <w:rPr>
          <w:lang w:val="es-CO"/>
        </w:rPr>
      </w:pPr>
      <w:r w:rsidRPr="00606E51">
        <w:rPr>
          <w:lang w:val="es-CO"/>
        </w:rPr>
        <w:t xml:space="preserve">El costo en consultas </w:t>
      </w:r>
      <w:r w:rsidR="00180D25">
        <w:rPr>
          <w:lang w:val="es-CO"/>
        </w:rPr>
        <w:t xml:space="preserve">en los </w:t>
      </w:r>
      <w:r w:rsidRPr="00606E51">
        <w:rPr>
          <w:lang w:val="es-CO"/>
        </w:rPr>
        <w:t>es</w:t>
      </w:r>
      <w:r w:rsidR="00CF1A07" w:rsidRPr="00606E51">
        <w:rPr>
          <w:lang w:val="es-CO"/>
        </w:rPr>
        <w:t>cenario</w:t>
      </w:r>
      <w:r w:rsidR="00180D25">
        <w:rPr>
          <w:lang w:val="es-CO"/>
        </w:rPr>
        <w:t>s</w:t>
      </w:r>
      <w:r w:rsidR="00CF1A07" w:rsidRPr="00606E51">
        <w:rPr>
          <w:lang w:val="es-CO"/>
        </w:rPr>
        <w:t xml:space="preserve"> </w:t>
      </w:r>
      <w:r w:rsidR="00180D25">
        <w:rPr>
          <w:lang w:val="es-CO"/>
        </w:rPr>
        <w:t>CON</w:t>
      </w:r>
      <w:r w:rsidR="00CF1A07" w:rsidRPr="00606E51">
        <w:rPr>
          <w:lang w:val="es-CO"/>
        </w:rPr>
        <w:t xml:space="preserve"> </w:t>
      </w:r>
      <w:r w:rsidR="00180D25">
        <w:rPr>
          <w:lang w:val="es-CO"/>
        </w:rPr>
        <w:t xml:space="preserve">y SIN </w:t>
      </w:r>
      <w:r w:rsidR="00CF1A07" w:rsidRPr="00606E51">
        <w:rPr>
          <w:lang w:val="es-CO"/>
        </w:rPr>
        <w:t>implementación del L</w:t>
      </w:r>
      <w:r w:rsidRPr="00606E51">
        <w:rPr>
          <w:lang w:val="es-CO"/>
        </w:rPr>
        <w:t xml:space="preserve">ineamiento fue calculado a partir de los cubos de los RIPS, en precios de 2016. </w:t>
      </w:r>
      <w:r w:rsidR="00180D25">
        <w:rPr>
          <w:lang w:val="es-CO"/>
        </w:rPr>
        <w:t xml:space="preserve"> </w:t>
      </w:r>
      <w:r w:rsidRPr="00606E51">
        <w:rPr>
          <w:lang w:val="es-CO"/>
        </w:rPr>
        <w:t xml:space="preserve">Considerando que los reportes generados por los cubos de RIPS no permiten identificar individualmente la atención de cada caso de desnutrición aguda, se tomó el costo total en consultas para los códigos CIE-10 asociados con desnutrición aguda (ver </w:t>
      </w:r>
      <w:r w:rsidRPr="00606E51">
        <w:rPr>
          <w:lang w:val="es-CO"/>
        </w:rPr>
        <w:fldChar w:fldCharType="begin"/>
      </w:r>
      <w:r w:rsidRPr="00606E51">
        <w:rPr>
          <w:lang w:val="es-CO"/>
        </w:rPr>
        <w:instrText xml:space="preserve"> REF  _Ref477274068 \* Lower \h  \* MERGEFORMAT </w:instrText>
      </w:r>
      <w:r w:rsidRPr="00606E51">
        <w:rPr>
          <w:lang w:val="es-CO"/>
        </w:rPr>
      </w:r>
      <w:r w:rsidRPr="00606E51">
        <w:rPr>
          <w:lang w:val="es-CO"/>
        </w:rPr>
        <w:fldChar w:fldCharType="separate"/>
      </w:r>
      <w:r w:rsidR="00B01F0F" w:rsidRPr="00606E51">
        <w:rPr>
          <w:lang w:val="es-CO"/>
        </w:rPr>
        <w:t xml:space="preserve">cuadro </w:t>
      </w:r>
      <w:r w:rsidR="00B01F0F" w:rsidRPr="00606E51">
        <w:rPr>
          <w:bCs/>
          <w:lang w:val="es-CO"/>
        </w:rPr>
        <w:t>4</w:t>
      </w:r>
      <w:r w:rsidR="00B01F0F" w:rsidRPr="00606E51">
        <w:rPr>
          <w:bCs/>
          <w:lang w:val="es-CO"/>
        </w:rPr>
        <w:noBreakHyphen/>
        <w:t>4</w:t>
      </w:r>
      <w:r w:rsidRPr="00606E51">
        <w:rPr>
          <w:lang w:val="es-CO"/>
        </w:rPr>
        <w:fldChar w:fldCharType="end"/>
      </w:r>
      <w:r w:rsidRPr="00606E51">
        <w:rPr>
          <w:lang w:val="es-CO"/>
        </w:rPr>
        <w:t>) y se dividió por el número total de atención en dichos códigos; de esta manera, se encuentra el costo promedio por atención en consultas (</w:t>
      </w:r>
      <m:oMath>
        <m:r>
          <w:rPr>
            <w:rFonts w:ascii="Cambria Math" w:hAnsi="Cambria Math"/>
            <w:lang w:val="es-CO"/>
          </w:rPr>
          <m:t>CPC</m:t>
        </m:r>
      </m:oMath>
      <w:r w:rsidRPr="00606E51">
        <w:rPr>
          <w:lang w:val="es-CO"/>
        </w:rPr>
        <w:t>).</w:t>
      </w:r>
    </w:p>
    <w:p w14:paraId="49ADC03C" w14:textId="77777777" w:rsidR="00C030E9" w:rsidRPr="00606E51" w:rsidRDefault="00C030E9"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5DE15949" w14:textId="77777777" w:rsidTr="00BA4E60">
        <w:trPr>
          <w:trHeight w:val="591"/>
        </w:trPr>
        <w:tc>
          <w:tcPr>
            <w:tcW w:w="8167" w:type="dxa"/>
          </w:tcPr>
          <w:p w14:paraId="29B48DBF" w14:textId="77777777" w:rsidR="00BA4E60" w:rsidRPr="00606E51" w:rsidRDefault="00C030E9" w:rsidP="00230768">
            <w:pPr>
              <w:jc w:val="both"/>
              <w:rPr>
                <w:b w:val="0"/>
                <w:sz w:val="22"/>
                <w:lang w:val="es-CO"/>
              </w:rPr>
            </w:pPr>
            <m:oMathPara>
              <m:oMath>
                <m:r>
                  <m:rPr>
                    <m:sty m:val="bi"/>
                  </m:rPr>
                  <w:rPr>
                    <w:rFonts w:ascii="Cambria Math" w:hAnsi="Cambria Math"/>
                    <w:sz w:val="22"/>
                    <w:lang w:val="es-CO"/>
                  </w:rPr>
                  <m:t>CPC=</m:t>
                </m:r>
                <m:f>
                  <m:fPr>
                    <m:ctrlPr>
                      <w:rPr>
                        <w:rFonts w:ascii="Cambria Math" w:hAnsi="Cambria Math"/>
                        <w:b w:val="0"/>
                        <w:i/>
                        <w:sz w:val="22"/>
                        <w:lang w:val="es-CO"/>
                      </w:rPr>
                    </m:ctrlPr>
                  </m:fPr>
                  <m:num>
                    <m:r>
                      <m:rPr>
                        <m:sty m:val="bi"/>
                      </m:rPr>
                      <w:rPr>
                        <w:rFonts w:ascii="Cambria Math" w:hAnsi="Cambria Math"/>
                        <w:sz w:val="22"/>
                        <w:lang w:val="es-CO"/>
                      </w:rPr>
                      <m:t>Total costos en consultas</m:t>
                    </m:r>
                  </m:num>
                  <m:den>
                    <m:r>
                      <m:rPr>
                        <m:sty m:val="bi"/>
                      </m:rPr>
                      <w:rPr>
                        <w:rFonts w:ascii="Cambria Math" w:hAnsi="Cambria Math"/>
                        <w:sz w:val="22"/>
                        <w:lang w:val="es-CO"/>
                      </w:rPr>
                      <m:t>Número de atenciones en consultas</m:t>
                    </m:r>
                  </m:den>
                </m:f>
              </m:oMath>
            </m:oMathPara>
          </w:p>
        </w:tc>
        <w:tc>
          <w:tcPr>
            <w:tcW w:w="563" w:type="dxa"/>
            <w:vAlign w:val="center"/>
          </w:tcPr>
          <w:p w14:paraId="0EAEAAF6"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2</w:t>
            </w:r>
            <w:r w:rsidRPr="00606E51">
              <w:rPr>
                <w:lang w:val="es-CO"/>
              </w:rPr>
              <w:fldChar w:fldCharType="end"/>
            </w:r>
            <w:r w:rsidRPr="00606E51">
              <w:rPr>
                <w:b w:val="0"/>
                <w:sz w:val="22"/>
                <w:lang w:val="es-CO"/>
              </w:rPr>
              <w:t>)</w:t>
            </w:r>
          </w:p>
        </w:tc>
      </w:tr>
    </w:tbl>
    <w:p w14:paraId="292B2F05" w14:textId="77777777" w:rsidR="00C030E9" w:rsidRPr="00606E51" w:rsidRDefault="00C030E9" w:rsidP="00230768">
      <w:pPr>
        <w:jc w:val="both"/>
        <w:rPr>
          <w:lang w:val="es-CO"/>
        </w:rPr>
      </w:pPr>
    </w:p>
    <w:p w14:paraId="78B7A310" w14:textId="77777777" w:rsidR="00736577" w:rsidRPr="00606E51" w:rsidRDefault="00BA4E60" w:rsidP="00230768">
      <w:pPr>
        <w:jc w:val="both"/>
        <w:rPr>
          <w:lang w:val="es-CO"/>
        </w:rPr>
      </w:pPr>
      <w:r w:rsidRPr="00606E51">
        <w:rPr>
          <w:lang w:val="es-CO"/>
        </w:rPr>
        <w:t xml:space="preserve">Se </w:t>
      </w:r>
      <w:r w:rsidR="00F33EA6" w:rsidRPr="00606E51">
        <w:rPr>
          <w:lang w:val="es-CO"/>
        </w:rPr>
        <w:t>supuso</w:t>
      </w:r>
      <w:r w:rsidRPr="00606E51">
        <w:rPr>
          <w:lang w:val="es-CO"/>
        </w:rPr>
        <w:t xml:space="preserve"> que el costo en consultas es igual en los dos escenarios de análisis.</w:t>
      </w:r>
    </w:p>
    <w:p w14:paraId="37F78B42" w14:textId="77777777" w:rsidR="00C030E9" w:rsidRPr="00606E51" w:rsidRDefault="00C030E9" w:rsidP="00230768">
      <w:pPr>
        <w:jc w:val="both"/>
        <w:rPr>
          <w:lang w:val="es-CO"/>
        </w:rPr>
      </w:pPr>
    </w:p>
    <w:p w14:paraId="2EA632ED" w14:textId="77777777" w:rsidR="00BA4E60" w:rsidRPr="00606E51" w:rsidRDefault="00BA4E60" w:rsidP="00BB1D7B">
      <w:pPr>
        <w:pStyle w:val="Heading5"/>
        <w:numPr>
          <w:ilvl w:val="4"/>
          <w:numId w:val="18"/>
        </w:numPr>
        <w:jc w:val="left"/>
        <w:rPr>
          <w:lang w:val="es-CO"/>
        </w:rPr>
      </w:pPr>
      <w:r w:rsidRPr="00606E51">
        <w:rPr>
          <w:lang w:val="es-CO"/>
        </w:rPr>
        <w:t>Procedimientos</w:t>
      </w:r>
    </w:p>
    <w:p w14:paraId="38FC80AB" w14:textId="77777777" w:rsidR="00C030E9" w:rsidRPr="00606E51" w:rsidRDefault="00C030E9" w:rsidP="00230768">
      <w:pPr>
        <w:jc w:val="both"/>
        <w:rPr>
          <w:lang w:val="es-CO"/>
        </w:rPr>
      </w:pPr>
    </w:p>
    <w:p w14:paraId="49E10067" w14:textId="77777777" w:rsidR="00BA4E60" w:rsidRPr="00606E51" w:rsidRDefault="00BA4E60" w:rsidP="00230768">
      <w:pPr>
        <w:jc w:val="both"/>
        <w:rPr>
          <w:lang w:val="es-CO"/>
        </w:rPr>
      </w:pPr>
      <w:r w:rsidRPr="00606E51">
        <w:rPr>
          <w:lang w:val="es-CO"/>
        </w:rPr>
        <w:t xml:space="preserve">A diferencia del costo en consultas, el costo en procedimientos se </w:t>
      </w:r>
      <w:r w:rsidR="00C030E9" w:rsidRPr="00606E51">
        <w:rPr>
          <w:lang w:val="es-CO"/>
        </w:rPr>
        <w:t>supuso</w:t>
      </w:r>
      <w:r w:rsidRPr="00606E51">
        <w:rPr>
          <w:lang w:val="es-CO"/>
        </w:rPr>
        <w:t xml:space="preserve"> diferente entre los dos escenarios, considerando que</w:t>
      </w:r>
      <w:r w:rsidR="00CF1A07" w:rsidRPr="00606E51">
        <w:rPr>
          <w:lang w:val="es-CO"/>
        </w:rPr>
        <w:t xml:space="preserve"> el protocolo propuesto por el L</w:t>
      </w:r>
      <w:r w:rsidRPr="00606E51">
        <w:rPr>
          <w:lang w:val="es-CO"/>
        </w:rPr>
        <w:t>ineamiento puede diferir con la atención que están recibiendo los niños y niñas que llegan a atención intrahospital</w:t>
      </w:r>
      <w:r w:rsidR="00CF1A07" w:rsidRPr="00606E51">
        <w:rPr>
          <w:lang w:val="es-CO"/>
        </w:rPr>
        <w:t>aria sin la implementación del L</w:t>
      </w:r>
      <w:r w:rsidRPr="00606E51">
        <w:rPr>
          <w:lang w:val="es-CO"/>
        </w:rPr>
        <w:t>ineamiento. De esta manera, como estimación del costo en procedimientos por atención hospitalaria en mediana/alta complejidad de casos con desnutrición aguda se han utilizado la información disponible en los cubos de RIPS, para los códigos CIE-10 asociados con desnutrición aguda (ver</w:t>
      </w:r>
      <w:r w:rsidRPr="00606E51">
        <w:rPr>
          <w:lang w:val="es-CO"/>
        </w:rPr>
        <w:fldChar w:fldCharType="begin"/>
      </w:r>
      <w:r w:rsidRPr="00606E51">
        <w:rPr>
          <w:lang w:val="es-CO"/>
        </w:rPr>
        <w:instrText xml:space="preserve"> REF  _Ref477274068 \* Lower \h  \* MERGEFORMAT </w:instrText>
      </w:r>
      <w:r w:rsidRPr="00606E51">
        <w:rPr>
          <w:lang w:val="es-CO"/>
        </w:rPr>
      </w:r>
      <w:r w:rsidRPr="00606E51">
        <w:rPr>
          <w:lang w:val="es-CO"/>
        </w:rPr>
        <w:fldChar w:fldCharType="separate"/>
      </w:r>
      <w:r w:rsidR="005B2CA1" w:rsidRPr="00606E51">
        <w:rPr>
          <w:lang w:val="es-CO"/>
        </w:rPr>
        <w:t xml:space="preserve"> </w:t>
      </w:r>
      <w:r w:rsidR="00B01F0F" w:rsidRPr="00606E51">
        <w:rPr>
          <w:lang w:val="es-CO"/>
        </w:rPr>
        <w:t xml:space="preserve">cuadro </w:t>
      </w:r>
      <w:r w:rsidR="00B01F0F" w:rsidRPr="00606E51">
        <w:rPr>
          <w:bCs/>
          <w:lang w:val="es-CO"/>
        </w:rPr>
        <w:t>4</w:t>
      </w:r>
      <w:r w:rsidR="00B01F0F" w:rsidRPr="00606E51">
        <w:rPr>
          <w:bCs/>
          <w:lang w:val="es-CO"/>
        </w:rPr>
        <w:noBreakHyphen/>
        <w:t>4</w:t>
      </w:r>
      <w:r w:rsidRPr="00606E51">
        <w:rPr>
          <w:lang w:val="es-CO"/>
        </w:rPr>
        <w:fldChar w:fldCharType="end"/>
      </w:r>
      <w:r w:rsidRPr="00606E51">
        <w:rPr>
          <w:lang w:val="es-CO"/>
        </w:rPr>
        <w:t>), dividiendo el costo total en procedimientos en el número de atenciones prestadas y como resultado se tiene el costo promedio por atención en procedim</w:t>
      </w:r>
      <w:r w:rsidR="00CF1A07" w:rsidRPr="00606E51">
        <w:rPr>
          <w:lang w:val="es-CO"/>
        </w:rPr>
        <w:t>ientos, sin implementación del L</w:t>
      </w:r>
      <w:r w:rsidRPr="00606E51">
        <w:rPr>
          <w:lang w:val="es-CO"/>
        </w:rPr>
        <w:t>ineamiento (</w:t>
      </w:r>
      <m:oMath>
        <m:r>
          <w:rPr>
            <w:rFonts w:ascii="Cambria Math" w:hAnsi="Cambria Math"/>
            <w:lang w:val="es-CO"/>
          </w:rPr>
          <m:t>CP</m:t>
        </m:r>
        <m:sSub>
          <m:sSubPr>
            <m:ctrlPr>
              <w:rPr>
                <w:rFonts w:ascii="Cambria Math" w:hAnsi="Cambria Math"/>
                <w:i/>
                <w:lang w:val="es-CO"/>
              </w:rPr>
            </m:ctrlPr>
          </m:sSubPr>
          <m:e>
            <m:r>
              <w:rPr>
                <w:rFonts w:ascii="Cambria Math" w:hAnsi="Cambria Math"/>
                <w:lang w:val="es-CO"/>
              </w:rPr>
              <m:t>P</m:t>
            </m:r>
          </m:e>
          <m:sub>
            <m:r>
              <w:rPr>
                <w:rFonts w:ascii="Cambria Math" w:hAnsi="Cambria Math"/>
                <w:lang w:val="es-CO"/>
              </w:rPr>
              <m:t>SL</m:t>
            </m:r>
          </m:sub>
        </m:sSub>
      </m:oMath>
      <w:r w:rsidRPr="00606E51">
        <w:rPr>
          <w:lang w:val="es-CO"/>
        </w:rPr>
        <w:t>)</w:t>
      </w:r>
    </w:p>
    <w:p w14:paraId="57D958EA" w14:textId="77777777" w:rsidR="00C030E9" w:rsidRPr="00606E51" w:rsidRDefault="00C030E9"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795AB444" w14:textId="77777777" w:rsidTr="00BA4E60">
        <w:trPr>
          <w:trHeight w:val="591"/>
        </w:trPr>
        <w:tc>
          <w:tcPr>
            <w:tcW w:w="8167" w:type="dxa"/>
          </w:tcPr>
          <w:p w14:paraId="4834FF9E" w14:textId="77777777" w:rsidR="00BA4E60" w:rsidRPr="00606E51" w:rsidRDefault="00C030E9" w:rsidP="00230768">
            <w:pPr>
              <w:jc w:val="both"/>
              <w:rPr>
                <w:b w:val="0"/>
                <w:sz w:val="22"/>
                <w:lang w:val="es-CO"/>
              </w:rPr>
            </w:pPr>
            <m:oMathPara>
              <m:oMath>
                <m:r>
                  <m:rPr>
                    <m:sty m:val="bi"/>
                  </m:rPr>
                  <w:rPr>
                    <w:rFonts w:ascii="Cambria Math" w:hAnsi="Cambria Math"/>
                    <w:sz w:val="22"/>
                    <w:lang w:val="es-CO"/>
                  </w:rPr>
                  <m:t>CP</m:t>
                </m:r>
                <m:sSub>
                  <m:sSubPr>
                    <m:ctrlPr>
                      <w:rPr>
                        <w:rFonts w:ascii="Cambria Math" w:hAnsi="Cambria Math"/>
                        <w:b w:val="0"/>
                        <w:i/>
                        <w:sz w:val="22"/>
                        <w:lang w:val="es-CO"/>
                      </w:rPr>
                    </m:ctrlPr>
                  </m:sSubPr>
                  <m:e>
                    <m:r>
                      <m:rPr>
                        <m:sty m:val="bi"/>
                      </m:rPr>
                      <w:rPr>
                        <w:rFonts w:ascii="Cambria Math" w:hAnsi="Cambria Math"/>
                        <w:sz w:val="22"/>
                        <w:lang w:val="es-CO"/>
                      </w:rPr>
                      <m:t>P</m:t>
                    </m:r>
                  </m:e>
                  <m:sub>
                    <m:r>
                      <m:rPr>
                        <m:sty m:val="bi"/>
                      </m:rPr>
                      <w:rPr>
                        <w:rFonts w:ascii="Cambria Math" w:hAnsi="Cambria Math"/>
                        <w:sz w:val="22"/>
                        <w:lang w:val="es-CO"/>
                      </w:rPr>
                      <m:t>SL</m:t>
                    </m:r>
                  </m:sub>
                </m:sSub>
                <m:r>
                  <m:rPr>
                    <m:sty m:val="bi"/>
                  </m:rPr>
                  <w:rPr>
                    <w:rFonts w:ascii="Cambria Math" w:hAnsi="Cambria Math"/>
                    <w:sz w:val="22"/>
                    <w:lang w:val="es-CO"/>
                  </w:rPr>
                  <m:t>=</m:t>
                </m:r>
                <m:f>
                  <m:fPr>
                    <m:ctrlPr>
                      <w:rPr>
                        <w:rFonts w:ascii="Cambria Math" w:hAnsi="Cambria Math"/>
                        <w:b w:val="0"/>
                        <w:i/>
                        <w:sz w:val="22"/>
                        <w:lang w:val="es-CO"/>
                      </w:rPr>
                    </m:ctrlPr>
                  </m:fPr>
                  <m:num>
                    <m:r>
                      <m:rPr>
                        <m:sty m:val="bi"/>
                      </m:rPr>
                      <w:rPr>
                        <w:rFonts w:ascii="Cambria Math" w:hAnsi="Cambria Math"/>
                        <w:sz w:val="22"/>
                        <w:lang w:val="es-CO"/>
                      </w:rPr>
                      <m:t>Total costos en procedimientos</m:t>
                    </m:r>
                  </m:num>
                  <m:den>
                    <m:r>
                      <m:rPr>
                        <m:sty m:val="bi"/>
                      </m:rPr>
                      <w:rPr>
                        <w:rFonts w:ascii="Cambria Math" w:hAnsi="Cambria Math"/>
                        <w:sz w:val="22"/>
                        <w:lang w:val="es-CO"/>
                      </w:rPr>
                      <m:t>Número de atenciones en procedimientos</m:t>
                    </m:r>
                  </m:den>
                </m:f>
              </m:oMath>
            </m:oMathPara>
          </w:p>
        </w:tc>
        <w:tc>
          <w:tcPr>
            <w:tcW w:w="563" w:type="dxa"/>
            <w:vAlign w:val="center"/>
          </w:tcPr>
          <w:p w14:paraId="343F3ED8"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3</w:t>
            </w:r>
            <w:r w:rsidRPr="00606E51">
              <w:rPr>
                <w:lang w:val="es-CO"/>
              </w:rPr>
              <w:fldChar w:fldCharType="end"/>
            </w:r>
            <w:r w:rsidRPr="00606E51">
              <w:rPr>
                <w:b w:val="0"/>
                <w:sz w:val="22"/>
                <w:lang w:val="es-CO"/>
              </w:rPr>
              <w:t>)</w:t>
            </w:r>
          </w:p>
        </w:tc>
      </w:tr>
    </w:tbl>
    <w:p w14:paraId="27C27FB4" w14:textId="77777777" w:rsidR="00C030E9" w:rsidRPr="00606E51" w:rsidRDefault="00C030E9" w:rsidP="00230768">
      <w:pPr>
        <w:jc w:val="both"/>
        <w:rPr>
          <w:lang w:val="es-CO"/>
        </w:rPr>
      </w:pPr>
    </w:p>
    <w:p w14:paraId="6BA9DE8D" w14:textId="77777777" w:rsidR="00BA4E60" w:rsidRPr="00606E51" w:rsidRDefault="00BA4E60" w:rsidP="00230768">
      <w:pPr>
        <w:jc w:val="both"/>
        <w:rPr>
          <w:lang w:val="es-CO"/>
        </w:rPr>
      </w:pPr>
      <w:r w:rsidRPr="00606E51">
        <w:rPr>
          <w:lang w:val="es-CO"/>
        </w:rPr>
        <w:t>Por su parte, el costo en procedimientos para el escenario co</w:t>
      </w:r>
      <w:r w:rsidR="00CF1A07" w:rsidRPr="00606E51">
        <w:rPr>
          <w:lang w:val="es-CO"/>
        </w:rPr>
        <w:t>n implementación del L</w:t>
      </w:r>
      <w:r w:rsidRPr="00606E51">
        <w:rPr>
          <w:lang w:val="es-CO"/>
        </w:rPr>
        <w:t>ineamiento se estimó a partir del protocolo de atención de un caso hipotético de desnutrición aguda que fue remitido a atención intrahospitalaria y se encuentra con diarrea, deshidratación y anemia; esta selección se realizó de manera arbitraria, pero considerando los precios de los procedimientos según el tarifario del SOAT - 2016. De esta manera, se consideró para el costo promedio por atención en procedim</w:t>
      </w:r>
      <w:r w:rsidR="009E7E6B" w:rsidRPr="00606E51">
        <w:rPr>
          <w:lang w:val="es-CO"/>
        </w:rPr>
        <w:t>ientos, con implementación del L</w:t>
      </w:r>
      <w:r w:rsidRPr="00606E51">
        <w:rPr>
          <w:lang w:val="es-CO"/>
        </w:rPr>
        <w:t>ineamiento (</w:t>
      </w:r>
      <m:oMath>
        <m:r>
          <w:rPr>
            <w:rFonts w:ascii="Cambria Math" w:hAnsi="Cambria Math"/>
            <w:lang w:val="es-CO"/>
          </w:rPr>
          <m:t>CP</m:t>
        </m:r>
        <m:sSub>
          <m:sSubPr>
            <m:ctrlPr>
              <w:rPr>
                <w:rFonts w:ascii="Cambria Math" w:hAnsi="Cambria Math"/>
                <w:i/>
                <w:lang w:val="es-CO"/>
              </w:rPr>
            </m:ctrlPr>
          </m:sSubPr>
          <m:e>
            <m:r>
              <w:rPr>
                <w:rFonts w:ascii="Cambria Math" w:hAnsi="Cambria Math"/>
                <w:lang w:val="es-CO"/>
              </w:rPr>
              <m:t>P</m:t>
            </m:r>
          </m:e>
          <m:sub>
            <m:r>
              <w:rPr>
                <w:rFonts w:ascii="Cambria Math" w:hAnsi="Cambria Math"/>
                <w:lang w:val="es-CO"/>
              </w:rPr>
              <m:t>CL</m:t>
            </m:r>
          </m:sub>
        </m:sSub>
      </m:oMath>
      <w:r w:rsidRPr="00606E51">
        <w:rPr>
          <w:lang w:val="es-CO"/>
        </w:rPr>
        <w:t>), solamente el costo de aplicación de glóbulos rojos en paciente hospitalizado</w:t>
      </w:r>
      <w:r w:rsidRPr="00606E51">
        <w:rPr>
          <w:vertAlign w:val="superscript"/>
          <w:lang w:val="es-CO"/>
        </w:rPr>
        <w:footnoteReference w:id="54"/>
      </w:r>
      <w:r w:rsidRPr="00606E51">
        <w:rPr>
          <w:lang w:val="es-CO"/>
        </w:rPr>
        <w:t>.</w:t>
      </w:r>
    </w:p>
    <w:p w14:paraId="4846B17D" w14:textId="77777777" w:rsidR="00BA4E60" w:rsidRPr="00606E51" w:rsidRDefault="00BA4E60" w:rsidP="00BB1D7B">
      <w:pPr>
        <w:pStyle w:val="Heading5"/>
        <w:numPr>
          <w:ilvl w:val="4"/>
          <w:numId w:val="18"/>
        </w:numPr>
        <w:jc w:val="left"/>
        <w:rPr>
          <w:lang w:val="es-CO"/>
        </w:rPr>
      </w:pPr>
      <w:r w:rsidRPr="00606E51">
        <w:rPr>
          <w:lang w:val="es-CO"/>
        </w:rPr>
        <w:lastRenderedPageBreak/>
        <w:t>Medicamentos e insumos</w:t>
      </w:r>
    </w:p>
    <w:p w14:paraId="5B13D224" w14:textId="77777777" w:rsidR="00C030E9" w:rsidRPr="00606E51" w:rsidRDefault="00C030E9" w:rsidP="00230768">
      <w:pPr>
        <w:jc w:val="both"/>
        <w:rPr>
          <w:lang w:val="es-CO"/>
        </w:rPr>
      </w:pPr>
    </w:p>
    <w:p w14:paraId="227195BB" w14:textId="77777777" w:rsidR="00BA4E60" w:rsidRPr="00606E51" w:rsidRDefault="00BA4E60" w:rsidP="00230768">
      <w:pPr>
        <w:jc w:val="both"/>
        <w:rPr>
          <w:lang w:val="es-CO"/>
        </w:rPr>
      </w:pPr>
      <w:r w:rsidRPr="00606E51">
        <w:rPr>
          <w:lang w:val="es-CO"/>
        </w:rPr>
        <w:t xml:space="preserve">Al igual que el costo en procedimientos, el costo en medicamentos e insumos se </w:t>
      </w:r>
      <w:r w:rsidR="00C030E9" w:rsidRPr="00606E51">
        <w:rPr>
          <w:lang w:val="es-CO"/>
        </w:rPr>
        <w:t>supuso</w:t>
      </w:r>
      <w:r w:rsidRPr="00606E51">
        <w:rPr>
          <w:lang w:val="es-CO"/>
        </w:rPr>
        <w:t xml:space="preserve"> diferente entre los dos escenarios de análisis, teniendo en cuenta que</w:t>
      </w:r>
      <w:r w:rsidR="009E7E6B" w:rsidRPr="00606E51">
        <w:rPr>
          <w:lang w:val="es-CO"/>
        </w:rPr>
        <w:t xml:space="preserve"> el protocolo propuesto por el L</w:t>
      </w:r>
      <w:r w:rsidRPr="00606E51">
        <w:rPr>
          <w:lang w:val="es-CO"/>
        </w:rPr>
        <w:t>ineamiento puede diferir con la atención que están recibiendo los niños y niñas que llegan a atención intrahospital</w:t>
      </w:r>
      <w:r w:rsidR="009E7E6B" w:rsidRPr="00606E51">
        <w:rPr>
          <w:lang w:val="es-CO"/>
        </w:rPr>
        <w:t>aria sin la implementación del L</w:t>
      </w:r>
      <w:r w:rsidRPr="00606E51">
        <w:rPr>
          <w:lang w:val="es-CO"/>
        </w:rPr>
        <w:t xml:space="preserve">ineamiento. En el escenario </w:t>
      </w:r>
      <w:r w:rsidR="00C84FB8">
        <w:rPr>
          <w:lang w:val="es-CO"/>
        </w:rPr>
        <w:t>SIN</w:t>
      </w:r>
      <w:r w:rsidRPr="00606E51">
        <w:rPr>
          <w:lang w:val="es-CO"/>
        </w:rPr>
        <w:t xml:space="preserve"> lineamiento, no se encontró información que permita estimar o aproximar el costo promedio por atención, ya que, si bien se tuvo acceso a los cubos de RIPS, estos no tienen información de medicamentos y aunque a partir de los microdatos de los RIPS sería posible tener una aproximación, no se tuvo acceso a dicha base de datos (microdatos RIPS).</w:t>
      </w:r>
    </w:p>
    <w:p w14:paraId="7A89FAED" w14:textId="77777777" w:rsidR="00C030E9" w:rsidRPr="00606E51" w:rsidRDefault="00C030E9" w:rsidP="00230768">
      <w:pPr>
        <w:jc w:val="both"/>
        <w:rPr>
          <w:lang w:val="es-CO"/>
        </w:rPr>
      </w:pPr>
    </w:p>
    <w:p w14:paraId="1A6C47B1" w14:textId="77777777" w:rsidR="00BA4E60" w:rsidRPr="00606E51" w:rsidRDefault="00BA4E60" w:rsidP="00230768">
      <w:pPr>
        <w:jc w:val="both"/>
        <w:rPr>
          <w:lang w:val="es-CO"/>
        </w:rPr>
      </w:pPr>
      <w:r w:rsidRPr="00606E51">
        <w:rPr>
          <w:lang w:val="es-CO"/>
        </w:rPr>
        <w:t xml:space="preserve">El costo en medicamentos e insumos en el escenario </w:t>
      </w:r>
      <w:r w:rsidR="00C84FB8">
        <w:rPr>
          <w:lang w:val="es-CO"/>
        </w:rPr>
        <w:t>CON</w:t>
      </w:r>
      <w:r w:rsidRPr="00606E51">
        <w:rPr>
          <w:lang w:val="es-CO"/>
        </w:rPr>
        <w:t xml:space="preserve"> </w:t>
      </w:r>
      <w:r w:rsidR="00C84FB8">
        <w:rPr>
          <w:lang w:val="es-CO"/>
        </w:rPr>
        <w:t>L</w:t>
      </w:r>
      <w:r w:rsidRPr="00606E51">
        <w:rPr>
          <w:lang w:val="es-CO"/>
        </w:rPr>
        <w:t xml:space="preserve">ineamiento se ha estimado de manera similar al costo en procedimientos; en otras palabras, a partir del protocolo de atención de un caso con desnutrición aguda que es remitido a atención intrahospitalaria y se encuentra </w:t>
      </w:r>
      <w:r w:rsidR="0050356E" w:rsidRPr="00606E51">
        <w:rPr>
          <w:lang w:val="es-CO"/>
        </w:rPr>
        <w:t>con hipotermia, hipoglicemia, diarrea, deshidratación, y/o alteraciones de la consciencia</w:t>
      </w:r>
      <w:r w:rsidRPr="00606E51">
        <w:rPr>
          <w:lang w:val="es-CO"/>
        </w:rPr>
        <w:t xml:space="preserve">. Esta selección se ha realizado de manera arbitraria, pero considerando los precios de los medicamentos e insumos del Sistema de Información de Precio de Medicamentos –SISMED–. El </w:t>
      </w:r>
      <w:r w:rsidRPr="00606E51">
        <w:rPr>
          <w:lang w:val="es-CO"/>
        </w:rPr>
        <w:fldChar w:fldCharType="begin"/>
      </w:r>
      <w:r w:rsidRPr="00606E51">
        <w:rPr>
          <w:lang w:val="es-CO"/>
        </w:rPr>
        <w:instrText xml:space="preserve"> REF  _Ref481858763 \* Lower \h  \* MERGEFORMAT </w:instrText>
      </w:r>
      <w:r w:rsidRPr="00606E51">
        <w:rPr>
          <w:lang w:val="es-CO"/>
        </w:rPr>
      </w:r>
      <w:r w:rsidRPr="00606E51">
        <w:rPr>
          <w:lang w:val="es-CO"/>
        </w:rPr>
        <w:fldChar w:fldCharType="separate"/>
      </w:r>
      <w:r w:rsidR="00B01F0F" w:rsidRPr="00606E51">
        <w:rPr>
          <w:lang w:val="es-CO"/>
        </w:rPr>
        <w:t>cuadro 4</w:t>
      </w:r>
      <w:r w:rsidR="00B01F0F" w:rsidRPr="00606E51">
        <w:rPr>
          <w:lang w:val="es-CO"/>
        </w:rPr>
        <w:noBreakHyphen/>
        <w:t>13</w:t>
      </w:r>
      <w:r w:rsidRPr="00606E51">
        <w:rPr>
          <w:lang w:val="es-CO"/>
        </w:rPr>
        <w:fldChar w:fldCharType="end"/>
      </w:r>
      <w:r w:rsidRPr="00606E51">
        <w:rPr>
          <w:lang w:val="es-CO"/>
        </w:rPr>
        <w:t xml:space="preserve"> presenta los medicamentos e insumos que se han considera para la estimación del costo promedio por atención en medicamentos e insumos con lineamiento (</w:t>
      </w:r>
      <m:oMath>
        <m:r>
          <w:rPr>
            <w:rFonts w:ascii="Cambria Math" w:hAnsi="Cambria Math"/>
            <w:lang w:val="es-CO"/>
          </w:rPr>
          <m:t>CP</m:t>
        </m:r>
        <m:sSub>
          <m:sSubPr>
            <m:ctrlPr>
              <w:rPr>
                <w:rFonts w:ascii="Cambria Math" w:hAnsi="Cambria Math"/>
                <w:i/>
                <w:lang w:val="es-CO"/>
              </w:rPr>
            </m:ctrlPr>
          </m:sSubPr>
          <m:e>
            <m:r>
              <w:rPr>
                <w:rFonts w:ascii="Cambria Math" w:hAnsi="Cambria Math"/>
                <w:lang w:val="es-CO"/>
              </w:rPr>
              <m:t>M</m:t>
            </m:r>
          </m:e>
          <m:sub>
            <m:r>
              <w:rPr>
                <w:rFonts w:ascii="Cambria Math" w:hAnsi="Cambria Math"/>
                <w:lang w:val="es-CO"/>
              </w:rPr>
              <m:t>CL</m:t>
            </m:r>
          </m:sub>
        </m:sSub>
      </m:oMath>
      <w:r w:rsidRPr="00606E51">
        <w:rPr>
          <w:lang w:val="es-CO"/>
        </w:rPr>
        <w:t>).</w:t>
      </w:r>
    </w:p>
    <w:p w14:paraId="470712DD" w14:textId="77777777" w:rsidR="00977466" w:rsidRPr="00606E51" w:rsidRDefault="00977466" w:rsidP="00230768">
      <w:pPr>
        <w:jc w:val="both"/>
        <w:rPr>
          <w:lang w:val="es-CO"/>
        </w:rPr>
      </w:pPr>
    </w:p>
    <w:p w14:paraId="756B7FA6" w14:textId="77777777" w:rsidR="00BA4E60" w:rsidRPr="00606E51" w:rsidRDefault="00BA4E60" w:rsidP="00977466">
      <w:pPr>
        <w:jc w:val="center"/>
        <w:rPr>
          <w:lang w:val="es-CO"/>
        </w:rPr>
      </w:pPr>
      <w:bookmarkStart w:id="74" w:name="_Ref481858763"/>
      <w:bookmarkStart w:id="75" w:name="_Toc490045711"/>
      <w:r w:rsidRPr="00606E51">
        <w:rPr>
          <w:b/>
          <w:bCs/>
          <w:lang w:val="es-CO"/>
        </w:rPr>
        <w:t xml:space="preserve">Cuadro </w:t>
      </w:r>
      <w:r w:rsidR="00F1370E" w:rsidRPr="00606E51">
        <w:rPr>
          <w:b/>
          <w:bCs/>
          <w:lang w:val="es-CO"/>
        </w:rPr>
        <w:fldChar w:fldCharType="begin"/>
      </w:r>
      <w:r w:rsidR="00F1370E" w:rsidRPr="00606E51">
        <w:rPr>
          <w:b/>
          <w:bCs/>
          <w:lang w:val="es-CO"/>
        </w:rPr>
        <w:instrText xml:space="preserve"> STYLEREF 1 \s </w:instrText>
      </w:r>
      <w:r w:rsidR="00F1370E" w:rsidRPr="00606E51">
        <w:rPr>
          <w:b/>
          <w:bCs/>
          <w:lang w:val="es-CO"/>
        </w:rPr>
        <w:fldChar w:fldCharType="separate"/>
      </w:r>
      <w:r w:rsidR="00F1370E" w:rsidRPr="00606E51">
        <w:rPr>
          <w:b/>
          <w:bCs/>
          <w:lang w:val="es-CO"/>
        </w:rPr>
        <w:t>4</w:t>
      </w:r>
      <w:r w:rsidR="00F1370E" w:rsidRPr="00606E51">
        <w:rPr>
          <w:b/>
          <w:bCs/>
          <w:lang w:val="es-CO"/>
        </w:rPr>
        <w:fldChar w:fldCharType="end"/>
      </w:r>
      <w:r w:rsidR="00F1370E" w:rsidRPr="00606E51">
        <w:rPr>
          <w:b/>
          <w:bCs/>
          <w:lang w:val="es-CO"/>
        </w:rPr>
        <w:noBreakHyphen/>
      </w:r>
      <w:r w:rsidR="00F1370E" w:rsidRPr="00606E51">
        <w:rPr>
          <w:b/>
          <w:bCs/>
          <w:lang w:val="es-CO"/>
        </w:rPr>
        <w:fldChar w:fldCharType="begin"/>
      </w:r>
      <w:r w:rsidR="00F1370E" w:rsidRPr="00606E51">
        <w:rPr>
          <w:b/>
          <w:bCs/>
          <w:lang w:val="es-CO"/>
        </w:rPr>
        <w:instrText xml:space="preserve"> SEQ Cuadro \* ROMAN \s 1 </w:instrText>
      </w:r>
      <w:r w:rsidR="00F1370E" w:rsidRPr="00606E51">
        <w:rPr>
          <w:b/>
          <w:bCs/>
          <w:lang w:val="es-CO"/>
        </w:rPr>
        <w:fldChar w:fldCharType="separate"/>
      </w:r>
      <w:r w:rsidR="00F1370E" w:rsidRPr="00606E51">
        <w:rPr>
          <w:b/>
          <w:bCs/>
          <w:lang w:val="es-CO"/>
        </w:rPr>
        <w:t>XIII</w:t>
      </w:r>
      <w:r w:rsidR="00F1370E" w:rsidRPr="00606E51">
        <w:rPr>
          <w:b/>
          <w:bCs/>
          <w:lang w:val="es-CO"/>
        </w:rPr>
        <w:fldChar w:fldCharType="end"/>
      </w:r>
      <w:bookmarkEnd w:id="74"/>
      <w:r w:rsidRPr="00606E51">
        <w:rPr>
          <w:b/>
          <w:bCs/>
          <w:lang w:val="es-CO"/>
        </w:rPr>
        <w:t>. Elementos del costo en medicamentos e insumos en el escenario con lineamiento</w:t>
      </w:r>
      <w:bookmarkEnd w:id="75"/>
    </w:p>
    <w:tbl>
      <w:tblPr>
        <w:tblW w:w="0" w:type="auto"/>
        <w:jc w:val="center"/>
        <w:tblCellMar>
          <w:left w:w="70" w:type="dxa"/>
          <w:right w:w="70" w:type="dxa"/>
        </w:tblCellMar>
        <w:tblLook w:val="04A0" w:firstRow="1" w:lastRow="0" w:firstColumn="1" w:lastColumn="0" w:noHBand="0" w:noVBand="1"/>
      </w:tblPr>
      <w:tblGrid>
        <w:gridCol w:w="5773"/>
        <w:gridCol w:w="941"/>
      </w:tblGrid>
      <w:tr w:rsidR="00BA4E60" w:rsidRPr="00606E51" w14:paraId="727C4F67" w14:textId="77777777" w:rsidTr="00BA4E60">
        <w:trPr>
          <w:trHeight w:val="20"/>
          <w:jc w:val="center"/>
        </w:trPr>
        <w:tc>
          <w:tcPr>
            <w:tcW w:w="0" w:type="auto"/>
            <w:tcBorders>
              <w:top w:val="single" w:sz="4" w:space="0" w:color="auto"/>
              <w:left w:val="nil"/>
              <w:bottom w:val="single" w:sz="4" w:space="0" w:color="auto"/>
              <w:right w:val="nil"/>
            </w:tcBorders>
            <w:shd w:val="clear" w:color="auto" w:fill="auto"/>
            <w:noWrap/>
            <w:vAlign w:val="bottom"/>
            <w:hideMark/>
          </w:tcPr>
          <w:p w14:paraId="380CFB91" w14:textId="77777777" w:rsidR="00BA4E60" w:rsidRPr="00606E51" w:rsidRDefault="00BA4E60" w:rsidP="00230768">
            <w:pPr>
              <w:jc w:val="both"/>
              <w:rPr>
                <w:b/>
                <w:bCs/>
                <w:sz w:val="20"/>
                <w:szCs w:val="20"/>
                <w:lang w:val="es-CO"/>
              </w:rPr>
            </w:pPr>
            <w:r w:rsidRPr="00606E51">
              <w:rPr>
                <w:b/>
                <w:bCs/>
                <w:sz w:val="20"/>
                <w:szCs w:val="20"/>
                <w:lang w:val="es-CO"/>
              </w:rPr>
              <w:t>Medicamento/insumo</w:t>
            </w:r>
          </w:p>
        </w:tc>
        <w:tc>
          <w:tcPr>
            <w:tcW w:w="0" w:type="auto"/>
            <w:tcBorders>
              <w:top w:val="single" w:sz="4" w:space="0" w:color="auto"/>
              <w:left w:val="nil"/>
              <w:bottom w:val="single" w:sz="4" w:space="0" w:color="auto"/>
              <w:right w:val="nil"/>
            </w:tcBorders>
          </w:tcPr>
          <w:p w14:paraId="651BB1AE" w14:textId="77777777" w:rsidR="00BA4E60" w:rsidRPr="00606E51" w:rsidRDefault="00BA4E60" w:rsidP="00230768">
            <w:pPr>
              <w:jc w:val="both"/>
              <w:rPr>
                <w:b/>
                <w:bCs/>
                <w:sz w:val="20"/>
                <w:szCs w:val="20"/>
                <w:lang w:val="es-CO"/>
              </w:rPr>
            </w:pPr>
            <w:r w:rsidRPr="00606E51">
              <w:rPr>
                <w:b/>
                <w:bCs/>
                <w:sz w:val="20"/>
                <w:szCs w:val="20"/>
                <w:lang w:val="es-CO"/>
              </w:rPr>
              <w:t>Cantidad</w:t>
            </w:r>
          </w:p>
        </w:tc>
      </w:tr>
      <w:tr w:rsidR="00BA4E60" w:rsidRPr="00606E51" w14:paraId="40A3AF83" w14:textId="77777777" w:rsidTr="00BA4E60">
        <w:trPr>
          <w:trHeight w:val="20"/>
          <w:jc w:val="center"/>
        </w:trPr>
        <w:tc>
          <w:tcPr>
            <w:tcW w:w="0" w:type="auto"/>
            <w:tcBorders>
              <w:top w:val="single" w:sz="4" w:space="0" w:color="auto"/>
              <w:left w:val="nil"/>
              <w:bottom w:val="nil"/>
              <w:right w:val="nil"/>
            </w:tcBorders>
            <w:shd w:val="clear" w:color="auto" w:fill="auto"/>
            <w:noWrap/>
          </w:tcPr>
          <w:p w14:paraId="25FF118A" w14:textId="77777777" w:rsidR="00BA4E60" w:rsidRPr="00606E51" w:rsidRDefault="00BA4E60" w:rsidP="00230768">
            <w:pPr>
              <w:jc w:val="both"/>
              <w:rPr>
                <w:sz w:val="20"/>
                <w:szCs w:val="20"/>
                <w:lang w:val="es-CO"/>
              </w:rPr>
            </w:pPr>
            <w:r w:rsidRPr="00606E51">
              <w:rPr>
                <w:sz w:val="20"/>
                <w:szCs w:val="20"/>
                <w:lang w:val="es-CO"/>
              </w:rPr>
              <w:t xml:space="preserve">SRO de baja osmolaridad (SRO-75) </w:t>
            </w:r>
          </w:p>
        </w:tc>
        <w:tc>
          <w:tcPr>
            <w:tcW w:w="0" w:type="auto"/>
            <w:tcBorders>
              <w:top w:val="single" w:sz="4" w:space="0" w:color="auto"/>
              <w:left w:val="nil"/>
              <w:bottom w:val="nil"/>
              <w:right w:val="nil"/>
            </w:tcBorders>
          </w:tcPr>
          <w:p w14:paraId="45509CFF" w14:textId="77777777" w:rsidR="00BA4E60" w:rsidRPr="00606E51" w:rsidRDefault="00BA4E60" w:rsidP="00230768">
            <w:pPr>
              <w:jc w:val="both"/>
              <w:rPr>
                <w:sz w:val="20"/>
                <w:szCs w:val="20"/>
                <w:lang w:val="es-CO"/>
              </w:rPr>
            </w:pPr>
            <w:r w:rsidRPr="00606E51">
              <w:rPr>
                <w:sz w:val="20"/>
                <w:szCs w:val="20"/>
                <w:lang w:val="es-CO"/>
              </w:rPr>
              <w:t>2</w:t>
            </w:r>
          </w:p>
        </w:tc>
      </w:tr>
      <w:tr w:rsidR="00BA4E60" w:rsidRPr="00606E51" w14:paraId="5A9B06E7" w14:textId="77777777" w:rsidTr="00BA4E60">
        <w:trPr>
          <w:trHeight w:val="20"/>
          <w:jc w:val="center"/>
        </w:trPr>
        <w:tc>
          <w:tcPr>
            <w:tcW w:w="0" w:type="auto"/>
            <w:tcBorders>
              <w:top w:val="nil"/>
              <w:left w:val="nil"/>
              <w:bottom w:val="nil"/>
              <w:right w:val="nil"/>
            </w:tcBorders>
            <w:shd w:val="clear" w:color="auto" w:fill="auto"/>
            <w:noWrap/>
          </w:tcPr>
          <w:p w14:paraId="62911C5D" w14:textId="77777777" w:rsidR="00BA4E60" w:rsidRPr="00606E51" w:rsidRDefault="00BA4E60" w:rsidP="00230768">
            <w:pPr>
              <w:jc w:val="both"/>
              <w:rPr>
                <w:sz w:val="20"/>
                <w:szCs w:val="20"/>
                <w:lang w:val="es-CO"/>
              </w:rPr>
            </w:pPr>
            <w:r w:rsidRPr="00606E51">
              <w:rPr>
                <w:sz w:val="20"/>
                <w:szCs w:val="20"/>
                <w:lang w:val="es-CO"/>
              </w:rPr>
              <w:t>Cloruro de potasio - Cloruro de potasio 2M Eq/Ml solución inyectable</w:t>
            </w:r>
          </w:p>
        </w:tc>
        <w:tc>
          <w:tcPr>
            <w:tcW w:w="0" w:type="auto"/>
            <w:tcBorders>
              <w:top w:val="nil"/>
              <w:left w:val="nil"/>
              <w:bottom w:val="nil"/>
              <w:right w:val="nil"/>
            </w:tcBorders>
          </w:tcPr>
          <w:p w14:paraId="73FA0B93" w14:textId="77777777" w:rsidR="00BA4E60" w:rsidRPr="00606E51" w:rsidRDefault="00BA4E60" w:rsidP="00230768">
            <w:pPr>
              <w:jc w:val="both"/>
              <w:rPr>
                <w:sz w:val="20"/>
                <w:szCs w:val="20"/>
                <w:lang w:val="es-CO"/>
              </w:rPr>
            </w:pPr>
            <w:r w:rsidRPr="00606E51">
              <w:rPr>
                <w:sz w:val="20"/>
                <w:szCs w:val="20"/>
                <w:lang w:val="es-CO"/>
              </w:rPr>
              <w:t>2</w:t>
            </w:r>
          </w:p>
        </w:tc>
      </w:tr>
      <w:tr w:rsidR="00BA4E60" w:rsidRPr="00606E51" w14:paraId="69961F54" w14:textId="77777777" w:rsidTr="00BA4E60">
        <w:trPr>
          <w:trHeight w:val="20"/>
          <w:jc w:val="center"/>
        </w:trPr>
        <w:tc>
          <w:tcPr>
            <w:tcW w:w="0" w:type="auto"/>
            <w:tcBorders>
              <w:top w:val="nil"/>
              <w:left w:val="nil"/>
              <w:bottom w:val="nil"/>
              <w:right w:val="nil"/>
            </w:tcBorders>
            <w:shd w:val="clear" w:color="auto" w:fill="auto"/>
            <w:noWrap/>
          </w:tcPr>
          <w:p w14:paraId="0864B98B" w14:textId="77777777" w:rsidR="00BA4E60" w:rsidRPr="00606E51" w:rsidRDefault="00BA4E60" w:rsidP="00230768">
            <w:pPr>
              <w:jc w:val="both"/>
              <w:rPr>
                <w:sz w:val="20"/>
                <w:szCs w:val="20"/>
                <w:lang w:val="es-CO"/>
              </w:rPr>
            </w:pPr>
            <w:r w:rsidRPr="00606E51">
              <w:rPr>
                <w:sz w:val="20"/>
                <w:szCs w:val="20"/>
                <w:lang w:val="es-CO"/>
              </w:rPr>
              <w:t>Amoxicilina - Amoxicilina suspensión 250 mg/5 ml</w:t>
            </w:r>
          </w:p>
        </w:tc>
        <w:tc>
          <w:tcPr>
            <w:tcW w:w="0" w:type="auto"/>
            <w:tcBorders>
              <w:top w:val="nil"/>
              <w:left w:val="nil"/>
              <w:bottom w:val="nil"/>
              <w:right w:val="nil"/>
            </w:tcBorders>
          </w:tcPr>
          <w:p w14:paraId="1B2EB302" w14:textId="77777777" w:rsidR="00BA4E60" w:rsidRPr="00606E51" w:rsidRDefault="00BA4E60" w:rsidP="00230768">
            <w:pPr>
              <w:jc w:val="both"/>
              <w:rPr>
                <w:sz w:val="20"/>
                <w:szCs w:val="20"/>
                <w:lang w:val="es-CO"/>
              </w:rPr>
            </w:pPr>
            <w:r w:rsidRPr="00606E51">
              <w:rPr>
                <w:sz w:val="20"/>
                <w:szCs w:val="20"/>
                <w:lang w:val="es-CO"/>
              </w:rPr>
              <w:t>1</w:t>
            </w:r>
          </w:p>
        </w:tc>
      </w:tr>
      <w:tr w:rsidR="00BA4E60" w:rsidRPr="00606E51" w14:paraId="2194E0E9" w14:textId="77777777" w:rsidTr="00BA4E60">
        <w:trPr>
          <w:trHeight w:val="20"/>
          <w:jc w:val="center"/>
        </w:trPr>
        <w:tc>
          <w:tcPr>
            <w:tcW w:w="0" w:type="auto"/>
            <w:tcBorders>
              <w:top w:val="nil"/>
              <w:left w:val="nil"/>
              <w:right w:val="nil"/>
            </w:tcBorders>
            <w:shd w:val="clear" w:color="auto" w:fill="auto"/>
            <w:noWrap/>
          </w:tcPr>
          <w:p w14:paraId="3F3CBDEB" w14:textId="77777777" w:rsidR="00BA4E60" w:rsidRPr="00606E51" w:rsidRDefault="00BA4E60" w:rsidP="00230768">
            <w:pPr>
              <w:jc w:val="both"/>
              <w:rPr>
                <w:sz w:val="20"/>
                <w:szCs w:val="20"/>
                <w:lang w:val="es-CO"/>
              </w:rPr>
            </w:pPr>
            <w:r w:rsidRPr="00606E51">
              <w:rPr>
                <w:sz w:val="20"/>
                <w:szCs w:val="20"/>
                <w:lang w:val="es-CO"/>
              </w:rPr>
              <w:t>Gentaminicina - Gentamicina inyectable 20 mg</w:t>
            </w:r>
          </w:p>
        </w:tc>
        <w:tc>
          <w:tcPr>
            <w:tcW w:w="0" w:type="auto"/>
            <w:tcBorders>
              <w:top w:val="nil"/>
              <w:left w:val="nil"/>
              <w:right w:val="nil"/>
            </w:tcBorders>
          </w:tcPr>
          <w:p w14:paraId="184EC980" w14:textId="77777777" w:rsidR="00BA4E60" w:rsidRPr="00606E51" w:rsidRDefault="00BA4E60" w:rsidP="00230768">
            <w:pPr>
              <w:jc w:val="both"/>
              <w:rPr>
                <w:sz w:val="20"/>
                <w:szCs w:val="20"/>
                <w:lang w:val="es-CO"/>
              </w:rPr>
            </w:pPr>
            <w:r w:rsidRPr="00606E51">
              <w:rPr>
                <w:sz w:val="20"/>
                <w:szCs w:val="20"/>
                <w:lang w:val="es-CO"/>
              </w:rPr>
              <w:t>1</w:t>
            </w:r>
          </w:p>
        </w:tc>
      </w:tr>
      <w:tr w:rsidR="00BA4E60" w:rsidRPr="00606E51" w14:paraId="5F71AE0F" w14:textId="77777777" w:rsidTr="00BA4E60">
        <w:trPr>
          <w:trHeight w:val="20"/>
          <w:jc w:val="center"/>
        </w:trPr>
        <w:tc>
          <w:tcPr>
            <w:tcW w:w="0" w:type="auto"/>
            <w:tcBorders>
              <w:top w:val="nil"/>
              <w:left w:val="nil"/>
              <w:bottom w:val="nil"/>
              <w:right w:val="nil"/>
            </w:tcBorders>
            <w:shd w:val="clear" w:color="auto" w:fill="auto"/>
            <w:noWrap/>
          </w:tcPr>
          <w:p w14:paraId="678500F7" w14:textId="77777777" w:rsidR="00BA4E60" w:rsidRPr="00606E51" w:rsidRDefault="00BA4E60" w:rsidP="00230768">
            <w:pPr>
              <w:jc w:val="both"/>
              <w:rPr>
                <w:sz w:val="20"/>
                <w:szCs w:val="20"/>
                <w:lang w:val="es-CO"/>
              </w:rPr>
            </w:pPr>
            <w:r w:rsidRPr="00606E51">
              <w:rPr>
                <w:sz w:val="20"/>
                <w:szCs w:val="20"/>
                <w:lang w:val="es-CO"/>
              </w:rPr>
              <w:t>F-75 sobre en polvo por 102.5g</w:t>
            </w:r>
          </w:p>
        </w:tc>
        <w:tc>
          <w:tcPr>
            <w:tcW w:w="0" w:type="auto"/>
            <w:tcBorders>
              <w:top w:val="nil"/>
              <w:left w:val="nil"/>
              <w:bottom w:val="nil"/>
              <w:right w:val="nil"/>
            </w:tcBorders>
          </w:tcPr>
          <w:p w14:paraId="7482F804" w14:textId="77777777" w:rsidR="00BA4E60" w:rsidRPr="00606E51" w:rsidRDefault="00BA4E60" w:rsidP="00230768">
            <w:pPr>
              <w:jc w:val="both"/>
              <w:rPr>
                <w:sz w:val="20"/>
                <w:szCs w:val="20"/>
                <w:lang w:val="es-CO"/>
              </w:rPr>
            </w:pPr>
            <w:r w:rsidRPr="00606E51">
              <w:rPr>
                <w:sz w:val="20"/>
                <w:szCs w:val="20"/>
                <w:lang w:val="es-CO"/>
              </w:rPr>
              <w:t>12</w:t>
            </w:r>
          </w:p>
        </w:tc>
      </w:tr>
      <w:tr w:rsidR="00BA4E60" w:rsidRPr="00606E51" w14:paraId="23A0540B" w14:textId="77777777" w:rsidTr="00BA4E60">
        <w:trPr>
          <w:trHeight w:val="20"/>
          <w:jc w:val="center"/>
        </w:trPr>
        <w:tc>
          <w:tcPr>
            <w:tcW w:w="0" w:type="auto"/>
            <w:tcBorders>
              <w:top w:val="nil"/>
              <w:left w:val="nil"/>
              <w:bottom w:val="single" w:sz="4" w:space="0" w:color="auto"/>
              <w:right w:val="nil"/>
            </w:tcBorders>
            <w:shd w:val="clear" w:color="auto" w:fill="auto"/>
            <w:noWrap/>
          </w:tcPr>
          <w:p w14:paraId="272F51FD" w14:textId="77777777" w:rsidR="00BA4E60" w:rsidRPr="00606E51" w:rsidRDefault="00BA4E60" w:rsidP="00230768">
            <w:pPr>
              <w:jc w:val="both"/>
              <w:rPr>
                <w:sz w:val="20"/>
                <w:szCs w:val="20"/>
                <w:lang w:val="es-CO"/>
              </w:rPr>
            </w:pPr>
            <w:r w:rsidRPr="00606E51">
              <w:rPr>
                <w:sz w:val="20"/>
                <w:szCs w:val="20"/>
                <w:lang w:val="es-CO"/>
              </w:rPr>
              <w:t>FTLC sobre por 92g</w:t>
            </w:r>
          </w:p>
        </w:tc>
        <w:tc>
          <w:tcPr>
            <w:tcW w:w="0" w:type="auto"/>
            <w:tcBorders>
              <w:top w:val="nil"/>
              <w:left w:val="nil"/>
              <w:bottom w:val="single" w:sz="4" w:space="0" w:color="auto"/>
              <w:right w:val="nil"/>
            </w:tcBorders>
          </w:tcPr>
          <w:p w14:paraId="5D6916E6" w14:textId="77777777" w:rsidR="00BA4E60" w:rsidRPr="00606E51" w:rsidRDefault="00BA4E60" w:rsidP="00230768">
            <w:pPr>
              <w:jc w:val="both"/>
              <w:rPr>
                <w:sz w:val="20"/>
                <w:szCs w:val="20"/>
                <w:lang w:val="es-CO"/>
              </w:rPr>
            </w:pPr>
            <w:r w:rsidRPr="00606E51">
              <w:rPr>
                <w:sz w:val="20"/>
                <w:szCs w:val="20"/>
                <w:lang w:val="es-CO"/>
              </w:rPr>
              <w:t>6</w:t>
            </w:r>
          </w:p>
        </w:tc>
      </w:tr>
    </w:tbl>
    <w:p w14:paraId="58C4DF58" w14:textId="77777777" w:rsidR="00BA4E60" w:rsidRPr="00606E51" w:rsidRDefault="00BA4E60" w:rsidP="00977466">
      <w:pPr>
        <w:jc w:val="center"/>
        <w:rPr>
          <w:sz w:val="20"/>
          <w:szCs w:val="20"/>
          <w:lang w:val="es-CO"/>
        </w:rPr>
      </w:pPr>
      <w:r w:rsidRPr="00606E51">
        <w:rPr>
          <w:sz w:val="20"/>
          <w:szCs w:val="20"/>
          <w:lang w:val="es-CO"/>
        </w:rPr>
        <w:t>Fuente: Revisi</w:t>
      </w:r>
      <w:r w:rsidR="009E7E6B" w:rsidRPr="00606E51">
        <w:rPr>
          <w:sz w:val="20"/>
          <w:szCs w:val="20"/>
          <w:lang w:val="es-CO"/>
        </w:rPr>
        <w:t>ón de los autores a partir del L</w:t>
      </w:r>
      <w:r w:rsidRPr="00606E51">
        <w:rPr>
          <w:sz w:val="20"/>
          <w:szCs w:val="20"/>
          <w:lang w:val="es-CO"/>
        </w:rPr>
        <w:t>ineamiento y SISMED.</w:t>
      </w:r>
    </w:p>
    <w:p w14:paraId="13B91966" w14:textId="77777777" w:rsidR="00977466" w:rsidRPr="00606E51" w:rsidRDefault="00977466" w:rsidP="00977466">
      <w:pPr>
        <w:jc w:val="center"/>
        <w:rPr>
          <w:sz w:val="20"/>
          <w:szCs w:val="20"/>
          <w:lang w:val="es-CO"/>
        </w:rPr>
      </w:pPr>
    </w:p>
    <w:p w14:paraId="3F101D25" w14:textId="77777777" w:rsidR="00BA4E60" w:rsidRPr="00606E51" w:rsidRDefault="00BA4E60" w:rsidP="00BB1D7B">
      <w:pPr>
        <w:pStyle w:val="Heading5"/>
        <w:numPr>
          <w:ilvl w:val="4"/>
          <w:numId w:val="18"/>
        </w:numPr>
        <w:jc w:val="left"/>
        <w:rPr>
          <w:lang w:val="es-CO"/>
        </w:rPr>
      </w:pPr>
      <w:r w:rsidRPr="00606E51">
        <w:rPr>
          <w:lang w:val="es-CO"/>
        </w:rPr>
        <w:t>Estancia hospitalaria</w:t>
      </w:r>
    </w:p>
    <w:p w14:paraId="683AEC08" w14:textId="77777777" w:rsidR="00977466" w:rsidRPr="00606E51" w:rsidRDefault="00977466" w:rsidP="00230768">
      <w:pPr>
        <w:jc w:val="both"/>
        <w:rPr>
          <w:lang w:val="es-CO"/>
        </w:rPr>
      </w:pPr>
    </w:p>
    <w:p w14:paraId="377DD5B5" w14:textId="77777777" w:rsidR="00BA4E60" w:rsidRPr="00606E51" w:rsidRDefault="00BA4E60" w:rsidP="00230768">
      <w:pPr>
        <w:jc w:val="both"/>
        <w:rPr>
          <w:lang w:val="es-CO"/>
        </w:rPr>
      </w:pPr>
      <w:r w:rsidRPr="00606E51">
        <w:rPr>
          <w:lang w:val="es-CO"/>
        </w:rPr>
        <w:t>Al igual que en costo en consultas, el costo de estancia hospitalaria se tomó igual entre los esc</w:t>
      </w:r>
      <w:r w:rsidR="009E7E6B" w:rsidRPr="00606E51">
        <w:rPr>
          <w:lang w:val="es-CO"/>
        </w:rPr>
        <w:t>enarios con implementación del L</w:t>
      </w:r>
      <w:r w:rsidRPr="00606E51">
        <w:rPr>
          <w:lang w:val="es-CO"/>
        </w:rPr>
        <w:t xml:space="preserve">ineamiento y sin implementación. Para su estimación se utilizará el número promedio de días en hospitalización de las atenciones asociadas con desnutrición aguda (ver </w:t>
      </w:r>
      <w:r w:rsidRPr="00606E51">
        <w:rPr>
          <w:lang w:val="es-CO"/>
        </w:rPr>
        <w:fldChar w:fldCharType="begin"/>
      </w:r>
      <w:r w:rsidRPr="00606E51">
        <w:rPr>
          <w:lang w:val="es-CO"/>
        </w:rPr>
        <w:instrText xml:space="preserve"> REF  _Ref477274068 \* Lower \h  \* MERGEFORMAT </w:instrText>
      </w:r>
      <w:r w:rsidRPr="00606E51">
        <w:rPr>
          <w:lang w:val="es-CO"/>
        </w:rPr>
      </w:r>
      <w:r w:rsidRPr="00606E51">
        <w:rPr>
          <w:lang w:val="es-CO"/>
        </w:rPr>
        <w:fldChar w:fldCharType="separate"/>
      </w:r>
      <w:r w:rsidR="00B01F0F" w:rsidRPr="00606E51">
        <w:rPr>
          <w:lang w:val="es-CO"/>
        </w:rPr>
        <w:t xml:space="preserve">cuadro </w:t>
      </w:r>
      <w:r w:rsidR="00B01F0F" w:rsidRPr="00606E51">
        <w:rPr>
          <w:bCs/>
          <w:lang w:val="es-CO"/>
        </w:rPr>
        <w:t>4</w:t>
      </w:r>
      <w:r w:rsidR="00B01F0F" w:rsidRPr="00606E51">
        <w:rPr>
          <w:bCs/>
          <w:lang w:val="es-CO"/>
        </w:rPr>
        <w:noBreakHyphen/>
        <w:t>4</w:t>
      </w:r>
      <w:r w:rsidRPr="00606E51">
        <w:rPr>
          <w:lang w:val="es-CO"/>
        </w:rPr>
        <w:fldChar w:fldCharType="end"/>
      </w:r>
      <w:r w:rsidRPr="00606E51">
        <w:rPr>
          <w:lang w:val="es-CO"/>
        </w:rPr>
        <w:t>) y el costo por estancia hospitalaria, según el tarifario del SOAT para el año 2016. De esta manera, se calculó el costo por atención en estancia hospitalaria (</w:t>
      </w:r>
      <m:oMath>
        <m:r>
          <w:rPr>
            <w:rFonts w:ascii="Cambria Math" w:hAnsi="Cambria Math"/>
            <w:lang w:val="es-CO"/>
          </w:rPr>
          <m:t>CPEH</m:t>
        </m:r>
      </m:oMath>
      <w:r w:rsidRPr="00606E51">
        <w:rPr>
          <w:lang w:val="es-CO"/>
        </w:rPr>
        <w:t>) multiplicando el número de días por hospitalización por el costo de estancia por día.</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5476928F" w14:textId="77777777" w:rsidTr="00BA4E60">
        <w:trPr>
          <w:trHeight w:val="591"/>
        </w:trPr>
        <w:tc>
          <w:tcPr>
            <w:tcW w:w="8167" w:type="dxa"/>
            <w:vAlign w:val="center"/>
          </w:tcPr>
          <w:p w14:paraId="717C62AF" w14:textId="77777777" w:rsidR="00BA4E60" w:rsidRPr="00606E51" w:rsidRDefault="00977466" w:rsidP="00230768">
            <w:pPr>
              <w:jc w:val="both"/>
              <w:rPr>
                <w:b w:val="0"/>
                <w:sz w:val="22"/>
                <w:lang w:val="es-CO"/>
              </w:rPr>
            </w:pPr>
            <m:oMathPara>
              <m:oMath>
                <m:r>
                  <m:rPr>
                    <m:sty m:val="bi"/>
                  </m:rPr>
                  <w:rPr>
                    <w:rFonts w:ascii="Cambria Math" w:hAnsi="Cambria Math"/>
                    <w:sz w:val="22"/>
                    <w:lang w:val="es-CO"/>
                  </w:rPr>
                  <m:t>CPEH=días promedio de estancia×costo por día</m:t>
                </m:r>
              </m:oMath>
            </m:oMathPara>
          </w:p>
        </w:tc>
        <w:tc>
          <w:tcPr>
            <w:tcW w:w="563" w:type="dxa"/>
            <w:vAlign w:val="center"/>
          </w:tcPr>
          <w:p w14:paraId="4BE2BCEC"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4</w:t>
            </w:r>
            <w:r w:rsidRPr="00606E51">
              <w:rPr>
                <w:lang w:val="es-CO"/>
              </w:rPr>
              <w:fldChar w:fldCharType="end"/>
            </w:r>
            <w:r w:rsidRPr="00606E51">
              <w:rPr>
                <w:b w:val="0"/>
                <w:sz w:val="22"/>
                <w:lang w:val="es-CO"/>
              </w:rPr>
              <w:t>)</w:t>
            </w:r>
          </w:p>
        </w:tc>
      </w:tr>
    </w:tbl>
    <w:p w14:paraId="63E15635" w14:textId="77777777" w:rsidR="00BA4E60" w:rsidRPr="00606E51" w:rsidRDefault="00BA4E60" w:rsidP="00997568">
      <w:pPr>
        <w:pStyle w:val="Heading3"/>
        <w:rPr>
          <w:lang w:val="es-CO"/>
        </w:rPr>
      </w:pPr>
      <w:bookmarkStart w:id="76" w:name="_Toc482216927"/>
      <w:bookmarkStart w:id="77" w:name="_Toc505090949"/>
      <w:r w:rsidRPr="00606E51">
        <w:rPr>
          <w:lang w:val="es-CO"/>
        </w:rPr>
        <w:t>Costos totales</w:t>
      </w:r>
      <w:bookmarkEnd w:id="76"/>
      <w:bookmarkEnd w:id="77"/>
    </w:p>
    <w:p w14:paraId="56B51C6C" w14:textId="77777777" w:rsidR="00736577" w:rsidRPr="00606E51" w:rsidRDefault="00736577" w:rsidP="00230768">
      <w:pPr>
        <w:jc w:val="both"/>
        <w:rPr>
          <w:lang w:val="es-CO"/>
        </w:rPr>
      </w:pPr>
    </w:p>
    <w:p w14:paraId="7D104E05" w14:textId="77777777" w:rsidR="00BA4E60" w:rsidRPr="00606E51" w:rsidRDefault="00BA4E60" w:rsidP="00230768">
      <w:pPr>
        <w:jc w:val="both"/>
        <w:rPr>
          <w:lang w:val="es-CO"/>
        </w:rPr>
      </w:pPr>
      <w:r w:rsidRPr="00606E51">
        <w:rPr>
          <w:lang w:val="es-CO"/>
        </w:rPr>
        <w:t>Considerando los elementos antes descritos, el costo total en el escenario con lineamiento (</w:t>
      </w:r>
      <m:oMath>
        <m:r>
          <w:rPr>
            <w:rFonts w:ascii="Cambria Math" w:hAnsi="Cambria Math"/>
            <w:lang w:val="es-CO"/>
          </w:rPr>
          <m:t>C</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SL</m:t>
            </m:r>
          </m:sub>
        </m:sSub>
      </m:oMath>
      <w:r w:rsidRPr="00606E51">
        <w:rPr>
          <w:lang w:val="es-CO"/>
        </w:rPr>
        <w:t>) será igual a los costos promedio por atención por el número de niños que son remitidos a manejo intrahospitalario (</w:t>
      </w:r>
      <m:oMath>
        <m:r>
          <w:rPr>
            <w:rFonts w:ascii="Cambria Math" w:hAnsi="Cambria Math"/>
            <w:lang w:val="es-CO"/>
          </w:rPr>
          <m:t>DSN</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intra</m:t>
            </m:r>
          </m:sub>
        </m:sSub>
      </m:oMath>
      <w:r w:rsidRPr="00606E51">
        <w:rPr>
          <w:lang w:val="es-CO"/>
        </w:rPr>
        <w:t>).</w:t>
      </w:r>
    </w:p>
    <w:p w14:paraId="758E2081" w14:textId="77777777" w:rsidR="00977466" w:rsidRPr="00606E51" w:rsidRDefault="00977466"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414BB7D9" w14:textId="77777777" w:rsidTr="00BA4E60">
        <w:trPr>
          <w:trHeight w:val="591"/>
        </w:trPr>
        <w:tc>
          <w:tcPr>
            <w:tcW w:w="8167" w:type="dxa"/>
            <w:vAlign w:val="center"/>
          </w:tcPr>
          <w:p w14:paraId="6881FD75" w14:textId="77777777" w:rsidR="00BA4E60" w:rsidRPr="00606E51" w:rsidRDefault="00977466" w:rsidP="00230768">
            <w:pPr>
              <w:jc w:val="both"/>
              <w:rPr>
                <w:b w:val="0"/>
                <w:sz w:val="22"/>
                <w:lang w:val="es-CO"/>
              </w:rPr>
            </w:pPr>
            <m:oMathPara>
              <m:oMath>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SL</m:t>
                    </m:r>
                  </m:sub>
                </m:sSub>
                <m:r>
                  <m:rPr>
                    <m:sty m:val="bi"/>
                  </m:rPr>
                  <w:rPr>
                    <w:rFonts w:ascii="Cambria Math" w:hAnsi="Cambria Math"/>
                    <w:sz w:val="22"/>
                    <w:lang w:val="es-CO"/>
                  </w:rPr>
                  <m:t>=</m:t>
                </m:r>
                <m:d>
                  <m:dPr>
                    <m:ctrlPr>
                      <w:rPr>
                        <w:rFonts w:ascii="Cambria Math" w:hAnsi="Cambria Math"/>
                        <w:b w:val="0"/>
                        <w:i/>
                        <w:sz w:val="22"/>
                        <w:lang w:val="es-CO"/>
                      </w:rPr>
                    </m:ctrlPr>
                  </m:dPr>
                  <m:e>
                    <m:r>
                      <m:rPr>
                        <m:sty m:val="bi"/>
                      </m:rPr>
                      <w:rPr>
                        <w:rFonts w:ascii="Cambria Math" w:hAnsi="Cambria Math"/>
                        <w:sz w:val="22"/>
                        <w:lang w:val="es-CO"/>
                      </w:rPr>
                      <m:t>CPC+CP</m:t>
                    </m:r>
                    <m:sSub>
                      <m:sSubPr>
                        <m:ctrlPr>
                          <w:rPr>
                            <w:rFonts w:ascii="Cambria Math" w:hAnsi="Cambria Math"/>
                            <w:b w:val="0"/>
                            <w:i/>
                            <w:sz w:val="22"/>
                            <w:lang w:val="es-CO"/>
                          </w:rPr>
                        </m:ctrlPr>
                      </m:sSubPr>
                      <m:e>
                        <m:r>
                          <m:rPr>
                            <m:sty m:val="bi"/>
                          </m:rPr>
                          <w:rPr>
                            <w:rFonts w:ascii="Cambria Math" w:hAnsi="Cambria Math"/>
                            <w:sz w:val="22"/>
                            <w:lang w:val="es-CO"/>
                          </w:rPr>
                          <m:t>P</m:t>
                        </m:r>
                      </m:e>
                      <m:sub>
                        <m:r>
                          <m:rPr>
                            <m:sty m:val="bi"/>
                          </m:rPr>
                          <w:rPr>
                            <w:rFonts w:ascii="Cambria Math" w:hAnsi="Cambria Math"/>
                            <w:sz w:val="22"/>
                            <w:lang w:val="es-CO"/>
                          </w:rPr>
                          <m:t>SL</m:t>
                        </m:r>
                      </m:sub>
                    </m:sSub>
                    <m:r>
                      <m:rPr>
                        <m:sty m:val="bi"/>
                      </m:rPr>
                      <w:rPr>
                        <w:rFonts w:ascii="Cambria Math" w:hAnsi="Cambria Math"/>
                        <w:sz w:val="22"/>
                        <w:lang w:val="es-CO"/>
                      </w:rPr>
                      <m:t>+ CPEH</m:t>
                    </m:r>
                  </m:e>
                </m:d>
                <m:r>
                  <m:rPr>
                    <m:sty m:val="bi"/>
                  </m:rPr>
                  <w:rPr>
                    <w:rFonts w:ascii="Cambria Math" w:hAnsi="Cambria Math"/>
                    <w:sz w:val="22"/>
                    <w:lang w:val="es-CO"/>
                  </w:rPr>
                  <m:t>×DSN</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intra</m:t>
                    </m:r>
                  </m:sub>
                </m:sSub>
                <m:r>
                  <m:rPr>
                    <m:sty m:val="bi"/>
                  </m:rPr>
                  <w:rPr>
                    <w:rFonts w:ascii="Cambria Math" w:hAnsi="Cambria Math"/>
                    <w:sz w:val="22"/>
                    <w:lang w:val="es-CO"/>
                  </w:rPr>
                  <m:t xml:space="preserve"> </m:t>
                </m:r>
              </m:oMath>
            </m:oMathPara>
          </w:p>
        </w:tc>
        <w:tc>
          <w:tcPr>
            <w:tcW w:w="563" w:type="dxa"/>
            <w:vAlign w:val="center"/>
          </w:tcPr>
          <w:p w14:paraId="5DE55070"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5</w:t>
            </w:r>
            <w:r w:rsidRPr="00606E51">
              <w:rPr>
                <w:lang w:val="es-CO"/>
              </w:rPr>
              <w:fldChar w:fldCharType="end"/>
            </w:r>
            <w:r w:rsidRPr="00606E51">
              <w:rPr>
                <w:b w:val="0"/>
                <w:sz w:val="22"/>
                <w:lang w:val="es-CO"/>
              </w:rPr>
              <w:t>)</w:t>
            </w:r>
          </w:p>
        </w:tc>
      </w:tr>
    </w:tbl>
    <w:p w14:paraId="10D8CD89" w14:textId="77777777" w:rsidR="00977466" w:rsidRPr="00606E51" w:rsidRDefault="00977466" w:rsidP="00230768">
      <w:pPr>
        <w:jc w:val="both"/>
        <w:rPr>
          <w:lang w:val="es-CO"/>
        </w:rPr>
      </w:pPr>
    </w:p>
    <w:p w14:paraId="6851C21B" w14:textId="77777777" w:rsidR="00BA4E60" w:rsidRPr="00606E51" w:rsidRDefault="00BA4E60" w:rsidP="00230768">
      <w:pPr>
        <w:jc w:val="both"/>
        <w:rPr>
          <w:lang w:val="es-CO"/>
        </w:rPr>
      </w:pPr>
      <w:r w:rsidRPr="00606E51">
        <w:rPr>
          <w:lang w:val="es-CO"/>
        </w:rPr>
        <w:lastRenderedPageBreak/>
        <w:t>Por su parte, el costo total en el escenario con lineamiento (</w:t>
      </w:r>
      <m:oMath>
        <m:r>
          <w:rPr>
            <w:rFonts w:ascii="Cambria Math" w:hAnsi="Cambria Math"/>
            <w:lang w:val="es-CO"/>
          </w:rPr>
          <m:t>C</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CL</m:t>
            </m:r>
          </m:sub>
        </m:sSub>
      </m:oMath>
      <w:r w:rsidRPr="00606E51">
        <w:rPr>
          <w:lang w:val="es-CO"/>
        </w:rPr>
        <w:t>) será igual a los costos totales del manejo en el hogar (</w:t>
      </w:r>
      <m:oMath>
        <m:r>
          <w:rPr>
            <w:rFonts w:ascii="Cambria Math" w:hAnsi="Cambria Math"/>
            <w:lang w:val="es-CO"/>
          </w:rPr>
          <m:t>C</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CL-hogar</m:t>
            </m:r>
          </m:sub>
        </m:sSub>
      </m:oMath>
      <w:r w:rsidRPr="00606E51">
        <w:rPr>
          <w:lang w:val="es-CO"/>
        </w:rPr>
        <w:t>) más los costos totales del manjoe intrahospitalario (</w:t>
      </w:r>
      <m:oMath>
        <m:r>
          <w:rPr>
            <w:rFonts w:ascii="Cambria Math" w:hAnsi="Cambria Math"/>
            <w:lang w:val="es-CO"/>
          </w:rPr>
          <m:t>C</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CL-intra</m:t>
            </m:r>
          </m:sub>
        </m:sSub>
      </m:oMath>
      <w:r w:rsidRPr="00606E51">
        <w:rPr>
          <w:lang w:val="es-CO"/>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1AA9EE58" w14:textId="77777777" w:rsidTr="00BA4E60">
        <w:trPr>
          <w:trHeight w:val="591"/>
        </w:trPr>
        <w:tc>
          <w:tcPr>
            <w:tcW w:w="8167" w:type="dxa"/>
            <w:vAlign w:val="center"/>
          </w:tcPr>
          <w:p w14:paraId="23906EA3" w14:textId="77777777" w:rsidR="00BA4E60" w:rsidRPr="00606E51" w:rsidRDefault="00F47708" w:rsidP="00230768">
            <w:pPr>
              <w:jc w:val="both"/>
              <w:rPr>
                <w:b w:val="0"/>
                <w:sz w:val="22"/>
                <w:lang w:val="es-CO"/>
              </w:rPr>
            </w:pPr>
            <m:oMathPara>
              <m:oMath>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m:t>
                    </m:r>
                  </m:sub>
                </m:sSub>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CL-hogar</m:t>
                    </m:r>
                  </m:sub>
                </m:sSub>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CL-intra</m:t>
                    </m:r>
                  </m:sub>
                </m:sSub>
              </m:oMath>
            </m:oMathPara>
          </w:p>
        </w:tc>
        <w:tc>
          <w:tcPr>
            <w:tcW w:w="563" w:type="dxa"/>
            <w:vAlign w:val="center"/>
          </w:tcPr>
          <w:p w14:paraId="76F11B1C"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6</w:t>
            </w:r>
            <w:r w:rsidRPr="00606E51">
              <w:rPr>
                <w:lang w:val="es-CO"/>
              </w:rPr>
              <w:fldChar w:fldCharType="end"/>
            </w:r>
            <w:r w:rsidRPr="00606E51">
              <w:rPr>
                <w:b w:val="0"/>
                <w:sz w:val="22"/>
                <w:lang w:val="es-CO"/>
              </w:rPr>
              <w:t>)</w:t>
            </w:r>
          </w:p>
        </w:tc>
      </w:tr>
    </w:tbl>
    <w:p w14:paraId="04297279" w14:textId="77777777" w:rsidR="00BA4E60" w:rsidRPr="00606E51" w:rsidRDefault="00BA4E60" w:rsidP="00230768">
      <w:pPr>
        <w:jc w:val="both"/>
        <w:rPr>
          <w:lang w:val="es-CO"/>
        </w:rPr>
      </w:pPr>
      <w:r w:rsidRPr="00606E51">
        <w:rPr>
          <w:lang w:val="es-CO"/>
        </w:rPr>
        <w:t>El costo total de manejo en el hogar es igual al número total de casos de desnutrición aguda con manejo en el hogar (</w:t>
      </w:r>
      <m:oMath>
        <m:r>
          <w:rPr>
            <w:rFonts w:ascii="Cambria Math" w:hAnsi="Cambria Math"/>
            <w:lang w:val="es-CO"/>
          </w:rPr>
          <m:t>DSN</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hogar</m:t>
            </m:r>
          </m:sub>
        </m:sSub>
      </m:oMath>
      <w:r w:rsidRPr="00606E51">
        <w:rPr>
          <w:lang w:val="es-CO"/>
        </w:rPr>
        <w:t>) por el costo promedio por atención más los costos fijos de entrenamiento (</w:t>
      </w:r>
      <m:oMath>
        <m:r>
          <w:rPr>
            <w:rFonts w:ascii="Cambria Math" w:hAnsi="Cambria Math"/>
            <w:lang w:val="es-CO"/>
          </w:rPr>
          <m:t>CEntr</m:t>
        </m:r>
      </m:oMath>
      <w:r w:rsidRPr="00606E51">
        <w:rPr>
          <w:lang w:val="es-CO"/>
        </w:rPr>
        <w:t>). Por su parte, El costo total de manejo intrahospitalario es igual al número total de casos de desnutrición aguda con manejo intrahospitalario (</w:t>
      </w:r>
      <m:oMath>
        <m:r>
          <w:rPr>
            <w:rFonts w:ascii="Cambria Math" w:hAnsi="Cambria Math"/>
            <w:lang w:val="es-CO"/>
          </w:rPr>
          <m:t>DSN</m:t>
        </m:r>
        <m:sSub>
          <m:sSubPr>
            <m:ctrlPr>
              <w:rPr>
                <w:rFonts w:ascii="Cambria Math" w:hAnsi="Cambria Math"/>
                <w:i/>
                <w:lang w:val="es-CO"/>
              </w:rPr>
            </m:ctrlPr>
          </m:sSubPr>
          <m:e>
            <m:r>
              <w:rPr>
                <w:rFonts w:ascii="Cambria Math" w:hAnsi="Cambria Math"/>
                <w:lang w:val="es-CO"/>
              </w:rPr>
              <m:t>T</m:t>
            </m:r>
          </m:e>
          <m:sub>
            <m:r>
              <w:rPr>
                <w:rFonts w:ascii="Cambria Math" w:hAnsi="Cambria Math"/>
                <w:lang w:val="es-CO"/>
              </w:rPr>
              <m:t>intra</m:t>
            </m:r>
          </m:sub>
        </m:sSub>
      </m:oMath>
      <w:r w:rsidRPr="00606E51">
        <w:rPr>
          <w:lang w:val="es-CO"/>
        </w:rPr>
        <w:t>) por el costo promedio por atención.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19"/>
        <w:gridCol w:w="562"/>
      </w:tblGrid>
      <w:tr w:rsidR="00BA4E60" w:rsidRPr="00606E51" w14:paraId="1763AE8E" w14:textId="77777777" w:rsidTr="00BA4E60">
        <w:trPr>
          <w:trHeight w:val="591"/>
        </w:trPr>
        <w:tc>
          <w:tcPr>
            <w:tcW w:w="8167" w:type="dxa"/>
            <w:vAlign w:val="center"/>
          </w:tcPr>
          <w:p w14:paraId="451950E4" w14:textId="77777777" w:rsidR="00BA4E60" w:rsidRPr="00606E51" w:rsidRDefault="00F47708" w:rsidP="00230768">
            <w:pPr>
              <w:jc w:val="both"/>
              <w:rPr>
                <w:b w:val="0"/>
                <w:sz w:val="22"/>
                <w:lang w:val="es-CO"/>
              </w:rPr>
            </w:pPr>
            <m:oMathPara>
              <m:oMath>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CL-hogar</m:t>
                    </m:r>
                  </m:sub>
                </m:sSub>
                <m:r>
                  <m:rPr>
                    <m:sty m:val="bi"/>
                  </m:rPr>
                  <w:rPr>
                    <w:rFonts w:ascii="Cambria Math" w:hAnsi="Cambria Math"/>
                    <w:sz w:val="22"/>
                    <w:lang w:val="es-CO"/>
                  </w:rPr>
                  <m:t>=CEntr+</m:t>
                </m:r>
                <m:d>
                  <m:dPr>
                    <m:ctrlPr>
                      <w:rPr>
                        <w:rFonts w:ascii="Cambria Math" w:hAnsi="Cambria Math"/>
                        <w:b w:val="0"/>
                        <w:i/>
                        <w:sz w:val="22"/>
                        <w:lang w:val="es-CO"/>
                      </w:rPr>
                    </m:ctrlPr>
                  </m:dPr>
                  <m:e>
                    <m:r>
                      <m:rPr>
                        <m:sty m:val="bi"/>
                      </m:rPr>
                      <w:rPr>
                        <w:rFonts w:ascii="Cambria Math" w:hAnsi="Cambria Math"/>
                        <w:sz w:val="22"/>
                        <w:lang w:val="es-CO"/>
                      </w:rPr>
                      <m:t>CPIE</m:t>
                    </m:r>
                  </m:e>
                </m:d>
                <m:r>
                  <m:rPr>
                    <m:sty m:val="bi"/>
                  </m:rPr>
                  <w:rPr>
                    <w:rFonts w:ascii="Cambria Math" w:hAnsi="Cambria Math"/>
                    <w:sz w:val="22"/>
                    <w:lang w:val="es-CO"/>
                  </w:rPr>
                  <m:t>×DSN</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hogar</m:t>
                    </m:r>
                  </m:sub>
                </m:sSub>
              </m:oMath>
            </m:oMathPara>
          </w:p>
        </w:tc>
        <w:tc>
          <w:tcPr>
            <w:tcW w:w="563" w:type="dxa"/>
            <w:vAlign w:val="center"/>
          </w:tcPr>
          <w:p w14:paraId="774118DC"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7</w:t>
            </w:r>
            <w:r w:rsidRPr="00606E51">
              <w:rPr>
                <w:lang w:val="es-CO"/>
              </w:rPr>
              <w:fldChar w:fldCharType="end"/>
            </w:r>
            <w:r w:rsidRPr="00606E51">
              <w:rPr>
                <w:b w:val="0"/>
                <w:sz w:val="22"/>
                <w:lang w:val="es-CO"/>
              </w:rPr>
              <w:t>)</w:t>
            </w:r>
          </w:p>
        </w:tc>
      </w:tr>
      <w:tr w:rsidR="00BA4E60" w:rsidRPr="00606E51" w14:paraId="6E62EBBF" w14:textId="77777777" w:rsidTr="00BA4E60">
        <w:trPr>
          <w:trHeight w:val="591"/>
        </w:trPr>
        <w:tc>
          <w:tcPr>
            <w:tcW w:w="8167" w:type="dxa"/>
            <w:vAlign w:val="center"/>
          </w:tcPr>
          <w:p w14:paraId="662C3029" w14:textId="77777777" w:rsidR="00BA4E60" w:rsidRPr="00606E51" w:rsidRDefault="00F47708" w:rsidP="00230768">
            <w:pPr>
              <w:jc w:val="both"/>
              <w:rPr>
                <w:b w:val="0"/>
                <w:sz w:val="22"/>
                <w:lang w:val="es-CO"/>
              </w:rPr>
            </w:pPr>
            <m:oMathPara>
              <m:oMath>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CL-intra</m:t>
                    </m:r>
                  </m:sub>
                </m:sSub>
                <m:r>
                  <m:rPr>
                    <m:sty m:val="bi"/>
                  </m:rPr>
                  <w:rPr>
                    <w:rFonts w:ascii="Cambria Math" w:hAnsi="Cambria Math"/>
                    <w:sz w:val="22"/>
                    <w:lang w:val="es-CO"/>
                  </w:rPr>
                  <m:t>=</m:t>
                </m:r>
                <m:d>
                  <m:dPr>
                    <m:ctrlPr>
                      <w:rPr>
                        <w:rFonts w:ascii="Cambria Math" w:hAnsi="Cambria Math"/>
                        <w:b w:val="0"/>
                        <w:i/>
                        <w:sz w:val="22"/>
                        <w:lang w:val="es-CO"/>
                      </w:rPr>
                    </m:ctrlPr>
                  </m:dPr>
                  <m:e>
                    <m:r>
                      <m:rPr>
                        <m:sty m:val="bi"/>
                      </m:rPr>
                      <w:rPr>
                        <w:rFonts w:ascii="Cambria Math" w:hAnsi="Cambria Math"/>
                        <w:sz w:val="22"/>
                        <w:lang w:val="es-CO"/>
                      </w:rPr>
                      <m:t>CPC+CP</m:t>
                    </m:r>
                    <m:sSub>
                      <m:sSubPr>
                        <m:ctrlPr>
                          <w:rPr>
                            <w:rFonts w:ascii="Cambria Math" w:hAnsi="Cambria Math"/>
                            <w:b w:val="0"/>
                            <w:i/>
                            <w:sz w:val="22"/>
                            <w:lang w:val="es-CO"/>
                          </w:rPr>
                        </m:ctrlPr>
                      </m:sSubPr>
                      <m:e>
                        <m:r>
                          <m:rPr>
                            <m:sty m:val="bi"/>
                          </m:rPr>
                          <w:rPr>
                            <w:rFonts w:ascii="Cambria Math" w:hAnsi="Cambria Math"/>
                            <w:sz w:val="22"/>
                            <w:lang w:val="es-CO"/>
                          </w:rPr>
                          <m:t>P</m:t>
                        </m:r>
                      </m:e>
                      <m:sub>
                        <m:r>
                          <m:rPr>
                            <m:sty m:val="bi"/>
                          </m:rPr>
                          <w:rPr>
                            <w:rFonts w:ascii="Cambria Math" w:hAnsi="Cambria Math"/>
                            <w:sz w:val="22"/>
                            <w:lang w:val="es-CO"/>
                          </w:rPr>
                          <m:t>CL</m:t>
                        </m:r>
                      </m:sub>
                    </m:sSub>
                    <m:r>
                      <m:rPr>
                        <m:sty m:val="bi"/>
                      </m:rPr>
                      <w:rPr>
                        <w:rFonts w:ascii="Cambria Math" w:hAnsi="Cambria Math"/>
                        <w:sz w:val="22"/>
                        <w:lang w:val="es-CO"/>
                      </w:rPr>
                      <m:t>+CP</m:t>
                    </m:r>
                    <m:sSub>
                      <m:sSubPr>
                        <m:ctrlPr>
                          <w:rPr>
                            <w:rFonts w:ascii="Cambria Math" w:hAnsi="Cambria Math"/>
                            <w:b w:val="0"/>
                            <w:i/>
                            <w:sz w:val="22"/>
                            <w:lang w:val="es-CO"/>
                          </w:rPr>
                        </m:ctrlPr>
                      </m:sSubPr>
                      <m:e>
                        <m:r>
                          <m:rPr>
                            <m:sty m:val="bi"/>
                          </m:rPr>
                          <w:rPr>
                            <w:rFonts w:ascii="Cambria Math" w:hAnsi="Cambria Math"/>
                            <w:sz w:val="22"/>
                            <w:lang w:val="es-CO"/>
                          </w:rPr>
                          <m:t>M</m:t>
                        </m:r>
                      </m:e>
                      <m:sub>
                        <m:r>
                          <m:rPr>
                            <m:sty m:val="bi"/>
                          </m:rPr>
                          <w:rPr>
                            <w:rFonts w:ascii="Cambria Math" w:hAnsi="Cambria Math"/>
                            <w:sz w:val="22"/>
                            <w:lang w:val="es-CO"/>
                          </w:rPr>
                          <m:t>CL</m:t>
                        </m:r>
                      </m:sub>
                    </m:sSub>
                    <m:r>
                      <m:rPr>
                        <m:sty m:val="bi"/>
                      </m:rPr>
                      <w:rPr>
                        <w:rFonts w:ascii="Cambria Math" w:hAnsi="Cambria Math"/>
                        <w:sz w:val="22"/>
                        <w:lang w:val="es-CO"/>
                      </w:rPr>
                      <m:t>+ CPEH</m:t>
                    </m:r>
                  </m:e>
                </m:d>
                <m:r>
                  <m:rPr>
                    <m:sty m:val="bi"/>
                  </m:rPr>
                  <w:rPr>
                    <w:rFonts w:ascii="Cambria Math" w:hAnsi="Cambria Math"/>
                    <w:sz w:val="22"/>
                    <w:lang w:val="es-CO"/>
                  </w:rPr>
                  <m:t>×DSN</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intra</m:t>
                    </m:r>
                  </m:sub>
                </m:sSub>
              </m:oMath>
            </m:oMathPara>
          </w:p>
        </w:tc>
        <w:tc>
          <w:tcPr>
            <w:tcW w:w="563" w:type="dxa"/>
            <w:vAlign w:val="center"/>
          </w:tcPr>
          <w:p w14:paraId="48408609"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8</w:t>
            </w:r>
            <w:r w:rsidRPr="00606E51">
              <w:rPr>
                <w:lang w:val="es-CO"/>
              </w:rPr>
              <w:fldChar w:fldCharType="end"/>
            </w:r>
            <w:r w:rsidRPr="00606E51">
              <w:rPr>
                <w:b w:val="0"/>
                <w:sz w:val="22"/>
                <w:lang w:val="es-CO"/>
              </w:rPr>
              <w:t>)</w:t>
            </w:r>
          </w:p>
        </w:tc>
      </w:tr>
    </w:tbl>
    <w:p w14:paraId="63FAEE7A" w14:textId="77777777" w:rsidR="00E6724C" w:rsidRPr="00606E51" w:rsidRDefault="00E6724C" w:rsidP="00230768">
      <w:pPr>
        <w:jc w:val="both"/>
        <w:rPr>
          <w:lang w:val="es-CO"/>
        </w:rPr>
      </w:pPr>
    </w:p>
    <w:p w14:paraId="2C9BB455" w14:textId="77777777" w:rsidR="00BA4E60" w:rsidRPr="00606E51" w:rsidRDefault="00BA4E60" w:rsidP="00997568">
      <w:pPr>
        <w:pStyle w:val="Heading3"/>
        <w:rPr>
          <w:lang w:val="es-CO"/>
        </w:rPr>
      </w:pPr>
      <w:bookmarkStart w:id="78" w:name="_Ref482198932"/>
      <w:bookmarkStart w:id="79" w:name="_Ref482198937"/>
      <w:bookmarkStart w:id="80" w:name="_Toc482216928"/>
      <w:bookmarkStart w:id="81" w:name="_Toc505090950"/>
      <w:r w:rsidRPr="00606E51">
        <w:rPr>
          <w:lang w:val="es-CO"/>
        </w:rPr>
        <w:t>Medida efectividad</w:t>
      </w:r>
      <w:bookmarkEnd w:id="78"/>
      <w:bookmarkEnd w:id="79"/>
      <w:bookmarkEnd w:id="80"/>
      <w:bookmarkEnd w:id="81"/>
    </w:p>
    <w:p w14:paraId="6C61FDF0" w14:textId="77777777" w:rsidR="00F47708" w:rsidRPr="00606E51" w:rsidRDefault="00F47708" w:rsidP="00F47708">
      <w:pPr>
        <w:rPr>
          <w:lang w:val="es-CO"/>
        </w:rPr>
      </w:pPr>
    </w:p>
    <w:p w14:paraId="0657D0F5" w14:textId="77777777" w:rsidR="00BA4E60" w:rsidRPr="00606E51" w:rsidRDefault="00BA4E60" w:rsidP="00230768">
      <w:pPr>
        <w:jc w:val="both"/>
        <w:rPr>
          <w:lang w:val="es-CO"/>
        </w:rPr>
      </w:pPr>
      <w:r w:rsidRPr="00606E51">
        <w:rPr>
          <w:lang w:val="es-CO"/>
        </w:rPr>
        <w:t>La selección de la medida de efectividad para desarrollar el ACE estuvo directamente relacionada con la información disponible y el efecto esp</w:t>
      </w:r>
      <w:r w:rsidR="009E7E6B" w:rsidRPr="00606E51">
        <w:rPr>
          <w:lang w:val="es-CO"/>
        </w:rPr>
        <w:t>erado de la implementación del L</w:t>
      </w:r>
      <w:r w:rsidRPr="00606E51">
        <w:rPr>
          <w:lang w:val="es-CO"/>
        </w:rPr>
        <w:t>ineamiento. De esta manera, se consideraron los Años de Vida A</w:t>
      </w:r>
      <w:r w:rsidR="006D62B7" w:rsidRPr="00606E51">
        <w:rPr>
          <w:lang w:val="es-CO"/>
        </w:rPr>
        <w:t>justados por Discapacidad (AVAD)</w:t>
      </w:r>
      <w:r w:rsidRPr="00606E51">
        <w:rPr>
          <w:lang w:val="es-CO"/>
        </w:rPr>
        <w:t xml:space="preserve">, el número de niños que se recuperan de la patología y el número de niños que mejoran su estado nutricional. Es importante mencionar que los resultados corresponden al número de personas atendidas, lo cual depende del periodo de tiempo de análisis; nuestro caso </w:t>
      </w:r>
      <w:r w:rsidR="00F47708" w:rsidRPr="00606E51">
        <w:rPr>
          <w:lang w:val="es-CO"/>
        </w:rPr>
        <w:t>base será un periodo de un año.</w:t>
      </w:r>
    </w:p>
    <w:p w14:paraId="71F808B7" w14:textId="77777777" w:rsidR="00F47708" w:rsidRPr="00606E51" w:rsidRDefault="00F47708" w:rsidP="00230768">
      <w:pPr>
        <w:jc w:val="both"/>
        <w:rPr>
          <w:lang w:val="es-CO"/>
        </w:rPr>
      </w:pPr>
    </w:p>
    <w:p w14:paraId="537339C8" w14:textId="77777777" w:rsidR="00BA4E60" w:rsidRPr="00606E51" w:rsidRDefault="00D02E84" w:rsidP="00997568">
      <w:pPr>
        <w:pStyle w:val="Heading4"/>
        <w:rPr>
          <w:lang w:val="es-CO"/>
        </w:rPr>
      </w:pPr>
      <w:bookmarkStart w:id="82" w:name="_Toc482216929"/>
      <w:r>
        <w:rPr>
          <w:lang w:val="es-CO"/>
        </w:rPr>
        <w:t xml:space="preserve">Medida 1:  </w:t>
      </w:r>
      <w:r w:rsidR="00BA4E60" w:rsidRPr="00606E51">
        <w:rPr>
          <w:lang w:val="es-CO"/>
        </w:rPr>
        <w:t>Años de Vida Ajustados por Discapacidad</w:t>
      </w:r>
      <w:bookmarkEnd w:id="82"/>
    </w:p>
    <w:p w14:paraId="067C9DAE" w14:textId="77777777" w:rsidR="00F47708" w:rsidRPr="00606E51" w:rsidRDefault="00F47708" w:rsidP="00230768">
      <w:pPr>
        <w:jc w:val="both"/>
        <w:rPr>
          <w:lang w:val="es-CO"/>
        </w:rPr>
      </w:pPr>
    </w:p>
    <w:p w14:paraId="75B9BE86" w14:textId="77777777" w:rsidR="00BA4E60" w:rsidRPr="00606E51" w:rsidRDefault="00BA4E60" w:rsidP="00230768">
      <w:pPr>
        <w:jc w:val="both"/>
        <w:rPr>
          <w:lang w:val="es-CO"/>
        </w:rPr>
      </w:pPr>
      <w:r w:rsidRPr="00606E51">
        <w:rPr>
          <w:lang w:val="es-CO"/>
        </w:rPr>
        <w:t xml:space="preserve">Los AVAD se </w:t>
      </w:r>
      <w:r w:rsidR="00C84FB8" w:rsidRPr="00606E51">
        <w:rPr>
          <w:lang w:val="es-CO"/>
        </w:rPr>
        <w:t>pueden</w:t>
      </w:r>
      <w:r w:rsidRPr="00606E51">
        <w:rPr>
          <w:lang w:val="es-CO"/>
        </w:rPr>
        <w:t xml:space="preserve"> entender como los años de vida saludable perdidos como consecuencia de la desnutrición aguda, ya sea por discapacidad o mortalidad; al sumar los AVAD de una población se puede hallar una estimación de la carga de la enfermedad. Asimismo, se puede entender como la brecha entre la situación actual y una situación ideal de salud.</w:t>
      </w:r>
    </w:p>
    <w:p w14:paraId="71CF2239" w14:textId="77777777" w:rsidR="00F47708" w:rsidRPr="00606E51" w:rsidRDefault="00F47708" w:rsidP="00230768">
      <w:pPr>
        <w:jc w:val="both"/>
        <w:rPr>
          <w:lang w:val="es-CO"/>
        </w:rPr>
      </w:pPr>
    </w:p>
    <w:p w14:paraId="3260D52D" w14:textId="77777777" w:rsidR="00BA4E60" w:rsidRPr="00606E51" w:rsidRDefault="00BA4E60" w:rsidP="00230768">
      <w:pPr>
        <w:jc w:val="both"/>
        <w:rPr>
          <w:lang w:val="es-CO"/>
        </w:rPr>
      </w:pPr>
      <w:r w:rsidRPr="00606E51">
        <w:rPr>
          <w:lang w:val="es-CO"/>
        </w:rPr>
        <w:t>Los AVAD se dividen en dos (2) partes; por un lado, los años perdidos debido a muerte prematura y los años perdidos por discapacidad debido a la enfermedad. Para calcular los años perdidos por discapacidad es necesario contar con la tasa de discapacidad, la cual cambia dependiendo de la gravedad de la enfermedad y la duración de la misma.</w:t>
      </w:r>
    </w:p>
    <w:p w14:paraId="47DEEB8D" w14:textId="77777777" w:rsidR="00961280" w:rsidRPr="00606E51" w:rsidRDefault="00961280" w:rsidP="00230768">
      <w:pPr>
        <w:jc w:val="both"/>
        <w:rPr>
          <w:lang w:val="es-CO"/>
        </w:rPr>
      </w:pPr>
    </w:p>
    <w:p w14:paraId="4DFF4FA5" w14:textId="77777777" w:rsidR="00BA4E60" w:rsidRPr="00606E51" w:rsidRDefault="00BA4E60" w:rsidP="00230768">
      <w:pPr>
        <w:jc w:val="both"/>
        <w:rPr>
          <w:lang w:val="es-CO"/>
        </w:rPr>
      </w:pPr>
      <w:r w:rsidRPr="00606E51">
        <w:rPr>
          <w:lang w:val="es-CO"/>
        </w:rPr>
        <w:t>Para calcular los AVAD para una población es necesario estimar tanto los años de vida saludable perdidos por encontrarse enfermo (AVD) como los años de vida saludable perdidos por muerte prematura (AVP). Los AVAD es uno de los principales indicadores utilizados por la OMS para calcular la carga de una enfermedad.</w:t>
      </w:r>
    </w:p>
    <w:p w14:paraId="569F5B76" w14:textId="77777777" w:rsidR="00961280" w:rsidRPr="00606E51" w:rsidRDefault="00961280"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99"/>
        <w:gridCol w:w="782"/>
      </w:tblGrid>
      <w:tr w:rsidR="00BA4E60" w:rsidRPr="00606E51" w14:paraId="3BB45578" w14:textId="77777777" w:rsidTr="00BA4E60">
        <w:tc>
          <w:tcPr>
            <w:tcW w:w="8080" w:type="dxa"/>
            <w:hideMark/>
          </w:tcPr>
          <w:p w14:paraId="3A8494A3" w14:textId="77777777" w:rsidR="00BA4E60" w:rsidRPr="00606E51" w:rsidRDefault="00F47708" w:rsidP="00230768">
            <w:pPr>
              <w:jc w:val="both"/>
              <w:rPr>
                <w:b w:val="0"/>
                <w:sz w:val="21"/>
                <w:lang w:val="es-CO"/>
              </w:rPr>
            </w:pPr>
            <m:oMathPara>
              <m:oMath>
                <m:r>
                  <m:rPr>
                    <m:sty m:val="b"/>
                  </m:rPr>
                  <w:rPr>
                    <w:rFonts w:ascii="Cambria Math" w:hAnsi="Cambria Math"/>
                    <w:sz w:val="21"/>
                    <w:lang w:val="es-CO"/>
                  </w:rPr>
                  <m:t>AVAD=AVD+AVP</m:t>
                </m:r>
              </m:oMath>
            </m:oMathPara>
          </w:p>
        </w:tc>
        <w:tc>
          <w:tcPr>
            <w:tcW w:w="790" w:type="dxa"/>
            <w:vAlign w:val="center"/>
            <w:hideMark/>
          </w:tcPr>
          <w:p w14:paraId="0B46F1BB" w14:textId="77777777" w:rsidR="00BA4E60" w:rsidRPr="00606E51" w:rsidRDefault="00BA4E60" w:rsidP="00230768">
            <w:pPr>
              <w:jc w:val="both"/>
              <w:rPr>
                <w:b w:val="0"/>
                <w:sz w:val="21"/>
                <w:lang w:val="es-CO"/>
              </w:rPr>
            </w:pPr>
            <w:r w:rsidRPr="00606E51">
              <w:rPr>
                <w:b w:val="0"/>
                <w:sz w:val="21"/>
                <w:lang w:val="es-CO"/>
              </w:rPr>
              <w:t>(</w:t>
            </w:r>
            <w:r w:rsidRPr="00606E51">
              <w:rPr>
                <w:sz w:val="21"/>
                <w:lang w:val="es-CO"/>
              </w:rPr>
              <w:fldChar w:fldCharType="begin"/>
            </w:r>
            <w:r w:rsidRPr="00606E51">
              <w:rPr>
                <w:b w:val="0"/>
                <w:sz w:val="21"/>
                <w:lang w:val="es-CO"/>
              </w:rPr>
              <w:instrText xml:space="preserve"> SEQ Ecuación \* ARABIC </w:instrText>
            </w:r>
            <w:r w:rsidRPr="00606E51">
              <w:rPr>
                <w:sz w:val="21"/>
                <w:lang w:val="es-CO"/>
              </w:rPr>
              <w:fldChar w:fldCharType="separate"/>
            </w:r>
            <w:r w:rsidR="00B01F0F" w:rsidRPr="00606E51">
              <w:rPr>
                <w:b w:val="0"/>
                <w:sz w:val="21"/>
                <w:lang w:val="es-CO"/>
              </w:rPr>
              <w:t>9</w:t>
            </w:r>
            <w:r w:rsidRPr="00606E51">
              <w:rPr>
                <w:sz w:val="21"/>
                <w:lang w:val="es-CO"/>
              </w:rPr>
              <w:fldChar w:fldCharType="end"/>
            </w:r>
            <w:r w:rsidRPr="00606E51">
              <w:rPr>
                <w:b w:val="0"/>
                <w:sz w:val="21"/>
                <w:lang w:val="es-CO"/>
              </w:rPr>
              <w:t>)</w:t>
            </w:r>
          </w:p>
        </w:tc>
      </w:tr>
    </w:tbl>
    <w:p w14:paraId="103FC1D3" w14:textId="77777777" w:rsidR="00BA4E60" w:rsidRPr="00606E51" w:rsidRDefault="00BA4E60" w:rsidP="00230768">
      <w:pPr>
        <w:jc w:val="both"/>
        <w:rPr>
          <w:lang w:val="es-CO"/>
        </w:rPr>
      </w:pPr>
    </w:p>
    <w:p w14:paraId="78FB7E56" w14:textId="77777777" w:rsidR="00BA4E60" w:rsidRPr="00606E51" w:rsidRDefault="00BA4E60" w:rsidP="00230768">
      <w:pPr>
        <w:jc w:val="both"/>
        <w:rPr>
          <w:lang w:val="es-CO"/>
        </w:rPr>
      </w:pPr>
      <w:r w:rsidRPr="00606E51">
        <w:rPr>
          <w:lang w:val="es-CO"/>
        </w:rPr>
        <w:t xml:space="preserve">En la </w:t>
      </w:r>
      <w:r w:rsidRPr="00606E51">
        <w:rPr>
          <w:lang w:val="es-CO"/>
        </w:rPr>
        <w:fldChar w:fldCharType="begin"/>
      </w:r>
      <w:r w:rsidRPr="00606E51">
        <w:rPr>
          <w:lang w:val="es-CO"/>
        </w:rPr>
        <w:instrText xml:space="preserve"> REF  _Ref469904235 \* Lower \h  \* MERGEFORMAT </w:instrText>
      </w:r>
      <w:r w:rsidRPr="00606E51">
        <w:rPr>
          <w:lang w:val="es-CO"/>
        </w:rPr>
      </w:r>
      <w:r w:rsidRPr="00606E51">
        <w:rPr>
          <w:lang w:val="es-CO"/>
        </w:rPr>
        <w:fldChar w:fldCharType="separate"/>
      </w:r>
      <w:r w:rsidR="00B01F0F" w:rsidRPr="00606E51">
        <w:rPr>
          <w:lang w:val="es-CO"/>
        </w:rPr>
        <w:t>figura 4.</w:t>
      </w:r>
      <w:r w:rsidRPr="00606E51">
        <w:rPr>
          <w:lang w:val="es-CO"/>
        </w:rPr>
        <w:fldChar w:fldCharType="end"/>
      </w:r>
      <w:r w:rsidRPr="00606E51">
        <w:rPr>
          <w:lang w:val="es-CO"/>
        </w:rPr>
        <w:t xml:space="preserve">3 se muestra el horizonte temporal de un hipotético caso de desnutrición aguda que finaliza en la muerte del niño o niña. La primera parte (línea continua) es periodo de vida sin enfermedad. Luego del punto </w:t>
      </w:r>
      <m:oMath>
        <m:r>
          <w:rPr>
            <w:rFonts w:ascii="Cambria Math" w:hAnsi="Cambria Math"/>
            <w:lang w:val="es-CO"/>
          </w:rPr>
          <m:t>Pm</m:t>
        </m:r>
      </m:oMath>
      <w:r w:rsidRPr="00606E51">
        <w:rPr>
          <w:i/>
          <w:lang w:val="es-CO"/>
        </w:rPr>
        <w:t xml:space="preserve"> </w:t>
      </w:r>
      <w:r w:rsidRPr="00606E51">
        <w:rPr>
          <w:lang w:val="es-CO"/>
        </w:rPr>
        <w:t xml:space="preserve">(línea puntuada) es el periodo de vida con la enfermedad; en este periodo es donde se presenta la discapacidad y sobre los cuales se calculan los años de vida perdidos </w:t>
      </w:r>
      <w:r w:rsidRPr="00606E51">
        <w:rPr>
          <w:lang w:val="es-CO"/>
        </w:rPr>
        <w:lastRenderedPageBreak/>
        <w:t>por discapacidad</w:t>
      </w:r>
      <w:r w:rsidRPr="00606E51">
        <w:rPr>
          <w:vertAlign w:val="superscript"/>
          <w:lang w:val="es-CO"/>
        </w:rPr>
        <w:footnoteReference w:id="55"/>
      </w:r>
      <w:r w:rsidRPr="00606E51">
        <w:rPr>
          <w:lang w:val="es-CO"/>
        </w:rPr>
        <w:t xml:space="preserve"> —AVD—. Finalmente, después del punto </w:t>
      </w:r>
      <m:oMath>
        <m:r>
          <w:rPr>
            <w:rFonts w:ascii="Cambria Math" w:hAnsi="Cambria Math"/>
            <w:lang w:val="es-CO"/>
          </w:rPr>
          <m:t>Muerte</m:t>
        </m:r>
      </m:oMath>
      <w:r w:rsidRPr="00606E51">
        <w:rPr>
          <w:lang w:val="es-CO"/>
        </w:rPr>
        <w:t xml:space="preserve"> (hasta el punto </w:t>
      </w:r>
      <m:oMath>
        <m:r>
          <w:rPr>
            <w:rFonts w:ascii="Cambria Math" w:hAnsi="Cambria Math"/>
            <w:lang w:val="es-CO"/>
          </w:rPr>
          <m:t>Esperanza de vida</m:t>
        </m:r>
      </m:oMath>
      <w:r w:rsidRPr="00606E51">
        <w:rPr>
          <w:lang w:val="es-CO"/>
        </w:rPr>
        <w:t>) es el periodo de tiempo que la persona no vivió debido a morir de manera prematura por causa de la patología; es decir, en este periodo se calculan los años de vida perdidos por morbilidad —AVP—.</w:t>
      </w:r>
    </w:p>
    <w:p w14:paraId="632A9C68" w14:textId="77777777" w:rsidR="00F47708" w:rsidRPr="00606E51" w:rsidRDefault="00F47708" w:rsidP="00230768">
      <w:pPr>
        <w:jc w:val="both"/>
        <w:rPr>
          <w:lang w:val="es-CO"/>
        </w:rPr>
      </w:pPr>
    </w:p>
    <w:p w14:paraId="74BF22A9" w14:textId="77777777" w:rsidR="00BA4E60" w:rsidRPr="00606E51" w:rsidRDefault="00BA4E60" w:rsidP="00230768">
      <w:pPr>
        <w:jc w:val="both"/>
        <w:rPr>
          <w:b/>
          <w:bCs/>
          <w:lang w:val="es-CO"/>
        </w:rPr>
      </w:pPr>
      <w:bookmarkStart w:id="83" w:name="_Ref469904235"/>
      <w:bookmarkStart w:id="84" w:name="_Toc420676060"/>
      <w:bookmarkStart w:id="85" w:name="_Toc443500197"/>
      <w:r w:rsidRPr="00606E51">
        <w:rPr>
          <w:b/>
          <w:bCs/>
          <w:lang w:val="es-CO"/>
        </w:rPr>
        <w:t xml:space="preserve">Figura </w:t>
      </w:r>
      <w:r w:rsidRPr="00606E51">
        <w:rPr>
          <w:b/>
          <w:bCs/>
          <w:lang w:val="es-CO"/>
        </w:rPr>
        <w:fldChar w:fldCharType="begin"/>
      </w:r>
      <w:r w:rsidRPr="00606E51">
        <w:rPr>
          <w:b/>
          <w:bCs/>
          <w:lang w:val="es-CO"/>
        </w:rPr>
        <w:instrText xml:space="preserve"> STYLEREF 1 \s </w:instrText>
      </w:r>
      <w:r w:rsidRPr="00606E51">
        <w:rPr>
          <w:b/>
          <w:bCs/>
          <w:lang w:val="es-CO"/>
        </w:rPr>
        <w:fldChar w:fldCharType="separate"/>
      </w:r>
      <w:r w:rsidR="00B01F0F" w:rsidRPr="00606E51">
        <w:rPr>
          <w:b/>
          <w:bCs/>
          <w:lang w:val="es-CO"/>
        </w:rPr>
        <w:t>4</w:t>
      </w:r>
      <w:r w:rsidRPr="00606E51">
        <w:rPr>
          <w:lang w:val="es-CO"/>
        </w:rPr>
        <w:fldChar w:fldCharType="end"/>
      </w:r>
      <w:r w:rsidRPr="00606E51">
        <w:rPr>
          <w:b/>
          <w:bCs/>
          <w:lang w:val="es-CO"/>
        </w:rPr>
        <w:t>.</w:t>
      </w:r>
      <w:bookmarkEnd w:id="83"/>
      <w:r w:rsidRPr="00606E51">
        <w:rPr>
          <w:b/>
          <w:bCs/>
          <w:lang w:val="es-CO"/>
        </w:rPr>
        <w:t xml:space="preserve">3. Horizonte temporal hipotético de un caso de </w:t>
      </w:r>
      <w:bookmarkEnd w:id="84"/>
      <w:bookmarkEnd w:id="85"/>
      <w:r w:rsidRPr="00606E51">
        <w:rPr>
          <w:b/>
          <w:bCs/>
          <w:lang w:val="es-CO"/>
        </w:rPr>
        <w:t>desnutrición aguda</w:t>
      </w:r>
    </w:p>
    <w:p w14:paraId="63A1A846" w14:textId="77777777" w:rsidR="00BA4E60" w:rsidRPr="00606E51" w:rsidRDefault="00BA4E60" w:rsidP="00230768">
      <w:pPr>
        <w:jc w:val="both"/>
        <w:rPr>
          <w:lang w:val="es-CO"/>
        </w:rPr>
      </w:pPr>
      <w:r w:rsidRPr="00606E51">
        <w:rPr>
          <w:noProof/>
          <w:lang w:val="en-US"/>
        </w:rPr>
        <w:drawing>
          <wp:inline distT="0" distB="0" distL="0" distR="0" wp14:anchorId="5D375D73" wp14:editId="3008F47F">
            <wp:extent cx="4352925" cy="295275"/>
            <wp:effectExtent l="0" t="0" r="0" b="9525"/>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6" cstate="email">
                      <a:extLst>
                        <a:ext uri="{28A0092B-C50C-407E-A947-70E740481C1C}">
                          <a14:useLocalDpi xmlns:a14="http://schemas.microsoft.com/office/drawing/2010/main"/>
                        </a:ext>
                      </a:extLst>
                    </a:blip>
                    <a:srcRect t="50000"/>
                    <a:stretch>
                      <a:fillRect/>
                    </a:stretch>
                  </pic:blipFill>
                  <pic:spPr bwMode="auto">
                    <a:xfrm>
                      <a:off x="0" y="0"/>
                      <a:ext cx="4352925" cy="295275"/>
                    </a:xfrm>
                    <a:prstGeom prst="rect">
                      <a:avLst/>
                    </a:prstGeom>
                    <a:noFill/>
                    <a:ln>
                      <a:noFill/>
                    </a:ln>
                  </pic:spPr>
                </pic:pic>
              </a:graphicData>
            </a:graphic>
          </wp:inline>
        </w:drawing>
      </w:r>
    </w:p>
    <w:p w14:paraId="4BC18170" w14:textId="77777777" w:rsidR="00BA4E60" w:rsidRPr="00606E51" w:rsidRDefault="00BA4E60" w:rsidP="00230768">
      <w:pPr>
        <w:jc w:val="both"/>
        <w:rPr>
          <w:lang w:val="es-CO"/>
        </w:rPr>
      </w:pPr>
    </w:p>
    <w:p w14:paraId="598F70C4" w14:textId="77777777" w:rsidR="00BA4E60" w:rsidRPr="00606E51" w:rsidRDefault="00BA4E60" w:rsidP="00230768">
      <w:pPr>
        <w:jc w:val="both"/>
        <w:rPr>
          <w:lang w:val="es-CO"/>
        </w:rPr>
      </w:pPr>
      <w:r w:rsidRPr="00606E51">
        <w:rPr>
          <w:lang w:val="es-CO"/>
        </w:rPr>
        <w:t>En este caso particular, no se espera una reducción e</w:t>
      </w:r>
      <w:r w:rsidR="009E7E6B" w:rsidRPr="00606E51">
        <w:rPr>
          <w:lang w:val="es-CO"/>
        </w:rPr>
        <w:t>n el número de casos ya que el L</w:t>
      </w:r>
      <w:r w:rsidRPr="00606E51">
        <w:rPr>
          <w:lang w:val="es-CO"/>
        </w:rPr>
        <w:t>ineamiento no tiene un carácter preventivo; de esta manera solamente se calculará los AVAD ganados como resultados de la disminución en la mortalidad. Para esto, se utilizó la siguiente fórmula</w:t>
      </w:r>
      <w:sdt>
        <w:sdtPr>
          <w:rPr>
            <w:lang w:val="es-CO"/>
          </w:rPr>
          <w:id w:val="-1126318796"/>
          <w:citation/>
        </w:sdtPr>
        <w:sdtContent>
          <w:r w:rsidRPr="00606E51">
            <w:rPr>
              <w:lang w:val="es-CO"/>
            </w:rPr>
            <w:fldChar w:fldCharType="begin"/>
          </w:r>
          <w:r w:rsidRPr="00606E51">
            <w:rPr>
              <w:lang w:val="es-CO"/>
            </w:rPr>
            <w:instrText xml:space="preserve"> CITATION Dev14 \l 9226 </w:instrText>
          </w:r>
          <w:r w:rsidRPr="00606E51">
            <w:rPr>
              <w:lang w:val="es-CO"/>
            </w:rPr>
            <w:fldChar w:fldCharType="separate"/>
          </w:r>
          <w:r w:rsidR="00B01F0F" w:rsidRPr="00606E51">
            <w:rPr>
              <w:lang w:val="es-CO"/>
            </w:rPr>
            <w:t xml:space="preserve"> (Devleesschauwer B, 2014)</w:t>
          </w:r>
          <w:r w:rsidRPr="00606E51">
            <w:rPr>
              <w:lang w:val="es-CO"/>
            </w:rPr>
            <w:fldChar w:fldCharType="end"/>
          </w:r>
        </w:sdtContent>
      </w:sdt>
      <w:r w:rsidRPr="00606E51">
        <w:rPr>
          <w:lang w:val="es-CO"/>
        </w:rPr>
        <w:t>:</w:t>
      </w:r>
    </w:p>
    <w:p w14:paraId="6EE5E931" w14:textId="77777777" w:rsidR="00961280" w:rsidRPr="00606E51" w:rsidRDefault="00961280"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98"/>
        <w:gridCol w:w="783"/>
      </w:tblGrid>
      <w:tr w:rsidR="00BA4E60" w:rsidRPr="00606E51" w14:paraId="3D650139" w14:textId="77777777" w:rsidTr="00BA4E60">
        <w:tc>
          <w:tcPr>
            <w:tcW w:w="8080" w:type="dxa"/>
            <w:vAlign w:val="center"/>
            <w:hideMark/>
          </w:tcPr>
          <w:p w14:paraId="052FDC6A" w14:textId="77777777" w:rsidR="00BA4E60" w:rsidRPr="00606E51" w:rsidRDefault="00F47708" w:rsidP="00230768">
            <w:pPr>
              <w:jc w:val="both"/>
              <w:rPr>
                <w:b w:val="0"/>
                <w:sz w:val="22"/>
                <w:lang w:val="es-CO"/>
              </w:rPr>
            </w:pPr>
            <m:oMathPara>
              <m:oMath>
                <m:r>
                  <m:rPr>
                    <m:sty m:val="bi"/>
                  </m:rPr>
                  <w:rPr>
                    <w:rFonts w:ascii="Cambria Math" w:hAnsi="Cambria Math"/>
                    <w:sz w:val="22"/>
                    <w:lang w:val="es-CO"/>
                  </w:rPr>
                  <m:t>AVP=M×</m:t>
                </m:r>
                <m:nary>
                  <m:naryPr>
                    <m:limLoc m:val="undOvr"/>
                    <m:ctrlPr>
                      <w:rPr>
                        <w:rFonts w:ascii="Cambria Math" w:hAnsi="Cambria Math"/>
                        <w:b w:val="0"/>
                        <w:i/>
                        <w:sz w:val="22"/>
                        <w:lang w:val="es-CO"/>
                      </w:rPr>
                    </m:ctrlPr>
                  </m:naryPr>
                  <m:sub>
                    <m:r>
                      <m:rPr>
                        <m:sty m:val="bi"/>
                      </m:rPr>
                      <w:rPr>
                        <w:rFonts w:ascii="Cambria Math" w:hAnsi="Cambria Math"/>
                        <w:sz w:val="22"/>
                        <w:lang w:val="es-CO"/>
                      </w:rPr>
                      <m:t>A</m:t>
                    </m:r>
                  </m:sub>
                  <m:sup>
                    <m:r>
                      <m:rPr>
                        <m:sty m:val="bi"/>
                      </m:rPr>
                      <w:rPr>
                        <w:rFonts w:ascii="Cambria Math" w:hAnsi="Cambria Math"/>
                        <w:sz w:val="22"/>
                        <w:lang w:val="es-CO"/>
                      </w:rPr>
                      <m:t>L</m:t>
                    </m:r>
                  </m:sup>
                  <m:e>
                    <m:d>
                      <m:dPr>
                        <m:begChr m:val="{"/>
                        <m:endChr m:val="}"/>
                        <m:ctrlPr>
                          <w:rPr>
                            <w:rFonts w:ascii="Cambria Math" w:hAnsi="Cambria Math"/>
                            <w:b w:val="0"/>
                            <w:i/>
                            <w:sz w:val="22"/>
                            <w:lang w:val="es-CO"/>
                          </w:rPr>
                        </m:ctrlPr>
                      </m:dPr>
                      <m:e>
                        <m:r>
                          <m:rPr>
                            <m:sty m:val="bi"/>
                          </m:rPr>
                          <w:rPr>
                            <w:rFonts w:ascii="Cambria Math" w:hAnsi="Cambria Math"/>
                            <w:sz w:val="22"/>
                            <w:lang w:val="es-CO"/>
                          </w:rPr>
                          <m:t>KCx</m:t>
                        </m:r>
                        <m:sSup>
                          <m:sSupPr>
                            <m:ctrlPr>
                              <w:rPr>
                                <w:rFonts w:ascii="Cambria Math" w:hAnsi="Cambria Math"/>
                                <w:b w:val="0"/>
                                <w:i/>
                                <w:sz w:val="22"/>
                                <w:lang w:val="es-CO"/>
                              </w:rPr>
                            </m:ctrlPr>
                          </m:sSupPr>
                          <m:e>
                            <m:r>
                              <m:rPr>
                                <m:sty m:val="bi"/>
                              </m:rPr>
                              <w:rPr>
                                <w:rFonts w:ascii="Cambria Math" w:hAnsi="Cambria Math"/>
                                <w:sz w:val="22"/>
                                <w:lang w:val="es-CO"/>
                              </w:rPr>
                              <m:t>e</m:t>
                            </m:r>
                          </m:e>
                          <m:sup>
                            <m:r>
                              <m:rPr>
                                <m:sty m:val="bi"/>
                              </m:rPr>
                              <w:rPr>
                                <w:rFonts w:ascii="Cambria Math" w:hAnsi="Cambria Math"/>
                                <w:sz w:val="22"/>
                                <w:lang w:val="es-CO"/>
                              </w:rPr>
                              <m:t>-βx</m:t>
                            </m:r>
                          </m:sup>
                        </m:sSup>
                        <m:sSup>
                          <m:sSupPr>
                            <m:ctrlPr>
                              <w:rPr>
                                <w:rFonts w:ascii="Cambria Math" w:hAnsi="Cambria Math"/>
                                <w:b w:val="0"/>
                                <w:i/>
                                <w:sz w:val="22"/>
                                <w:lang w:val="es-CO"/>
                              </w:rPr>
                            </m:ctrlPr>
                          </m:sSupPr>
                          <m:e>
                            <m:r>
                              <m:rPr>
                                <m:sty m:val="bi"/>
                              </m:rPr>
                              <w:rPr>
                                <w:rFonts w:ascii="Cambria Math" w:hAnsi="Cambria Math"/>
                                <w:sz w:val="22"/>
                                <w:lang w:val="es-CO"/>
                              </w:rPr>
                              <m:t>e</m:t>
                            </m:r>
                          </m:e>
                          <m:sup>
                            <m:r>
                              <m:rPr>
                                <m:sty m:val="bi"/>
                              </m:rPr>
                              <w:rPr>
                                <w:rFonts w:ascii="Cambria Math" w:hAnsi="Cambria Math"/>
                                <w:sz w:val="22"/>
                                <w:lang w:val="es-CO"/>
                              </w:rPr>
                              <m:t>-r</m:t>
                            </m:r>
                            <m:d>
                              <m:dPr>
                                <m:ctrlPr>
                                  <w:rPr>
                                    <w:rFonts w:ascii="Cambria Math" w:hAnsi="Cambria Math"/>
                                    <w:b w:val="0"/>
                                    <w:i/>
                                    <w:sz w:val="22"/>
                                    <w:lang w:val="es-CO"/>
                                  </w:rPr>
                                </m:ctrlPr>
                              </m:dPr>
                              <m:e>
                                <m:r>
                                  <m:rPr>
                                    <m:sty m:val="bi"/>
                                  </m:rPr>
                                  <w:rPr>
                                    <w:rFonts w:ascii="Cambria Math" w:hAnsi="Cambria Math"/>
                                    <w:sz w:val="22"/>
                                    <w:lang w:val="es-CO"/>
                                  </w:rPr>
                                  <m:t>x-a</m:t>
                                </m:r>
                              </m:e>
                            </m:d>
                          </m:sup>
                        </m:sSup>
                        <m:r>
                          <m:rPr>
                            <m:sty m:val="bi"/>
                          </m:rPr>
                          <w:rPr>
                            <w:rFonts w:ascii="Cambria Math" w:hAnsi="Cambria Math"/>
                            <w:sz w:val="22"/>
                            <w:lang w:val="es-CO"/>
                          </w:rPr>
                          <m:t>+</m:t>
                        </m:r>
                        <m:d>
                          <m:dPr>
                            <m:ctrlPr>
                              <w:rPr>
                                <w:rFonts w:ascii="Cambria Math" w:hAnsi="Cambria Math"/>
                                <w:b w:val="0"/>
                                <w:i/>
                                <w:sz w:val="22"/>
                                <w:lang w:val="es-CO"/>
                              </w:rPr>
                            </m:ctrlPr>
                          </m:dPr>
                          <m:e>
                            <m:r>
                              <m:rPr>
                                <m:sty m:val="bi"/>
                              </m:rPr>
                              <w:rPr>
                                <w:rFonts w:ascii="Cambria Math" w:hAnsi="Cambria Math"/>
                                <w:sz w:val="22"/>
                                <w:lang w:val="es-CO"/>
                              </w:rPr>
                              <m:t>1-k</m:t>
                            </m:r>
                          </m:e>
                        </m:d>
                        <m:sSup>
                          <m:sSupPr>
                            <m:ctrlPr>
                              <w:rPr>
                                <w:rFonts w:ascii="Cambria Math" w:hAnsi="Cambria Math"/>
                                <w:b w:val="0"/>
                                <w:i/>
                                <w:sz w:val="22"/>
                                <w:lang w:val="es-CO"/>
                              </w:rPr>
                            </m:ctrlPr>
                          </m:sSupPr>
                          <m:e>
                            <m:r>
                              <m:rPr>
                                <m:sty m:val="bi"/>
                              </m:rPr>
                              <w:rPr>
                                <w:rFonts w:ascii="Cambria Math" w:hAnsi="Cambria Math"/>
                                <w:sz w:val="22"/>
                                <w:lang w:val="es-CO"/>
                              </w:rPr>
                              <m:t>e</m:t>
                            </m:r>
                          </m:e>
                          <m:sup>
                            <m:r>
                              <m:rPr>
                                <m:sty m:val="bi"/>
                              </m:rPr>
                              <w:rPr>
                                <w:rFonts w:ascii="Cambria Math" w:hAnsi="Cambria Math"/>
                                <w:sz w:val="22"/>
                                <w:lang w:val="es-CO"/>
                              </w:rPr>
                              <m:t>-e</m:t>
                            </m:r>
                            <m:d>
                              <m:dPr>
                                <m:ctrlPr>
                                  <w:rPr>
                                    <w:rFonts w:ascii="Cambria Math" w:hAnsi="Cambria Math"/>
                                    <w:b w:val="0"/>
                                    <w:i/>
                                    <w:sz w:val="22"/>
                                    <w:lang w:val="es-CO"/>
                                  </w:rPr>
                                </m:ctrlPr>
                              </m:dPr>
                              <m:e>
                                <m:r>
                                  <m:rPr>
                                    <m:sty m:val="bi"/>
                                  </m:rPr>
                                  <w:rPr>
                                    <w:rFonts w:ascii="Cambria Math" w:hAnsi="Cambria Math"/>
                                    <w:sz w:val="22"/>
                                    <w:lang w:val="es-CO"/>
                                  </w:rPr>
                                  <m:t>x-a</m:t>
                                </m:r>
                              </m:e>
                            </m:d>
                          </m:sup>
                        </m:sSup>
                      </m:e>
                    </m:d>
                    <m:r>
                      <m:rPr>
                        <m:sty m:val="bi"/>
                      </m:rPr>
                      <w:rPr>
                        <w:rFonts w:ascii="Cambria Math" w:hAnsi="Cambria Math"/>
                        <w:sz w:val="22"/>
                        <w:lang w:val="es-CO"/>
                      </w:rPr>
                      <m:t xml:space="preserve">dx </m:t>
                    </m:r>
                  </m:e>
                </m:nary>
              </m:oMath>
            </m:oMathPara>
          </w:p>
        </w:tc>
        <w:tc>
          <w:tcPr>
            <w:tcW w:w="790" w:type="dxa"/>
            <w:vAlign w:val="center"/>
            <w:hideMark/>
          </w:tcPr>
          <w:p w14:paraId="1827794B" w14:textId="77777777" w:rsidR="00BA4E60" w:rsidRPr="00606E51" w:rsidRDefault="00BA4E60" w:rsidP="00230768">
            <w:pPr>
              <w:jc w:val="both"/>
              <w:rPr>
                <w:b w:val="0"/>
                <w:sz w:val="22"/>
                <w:lang w:val="es-CO"/>
              </w:rPr>
            </w:pPr>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10</w:t>
            </w:r>
            <w:r w:rsidRPr="00606E51">
              <w:rPr>
                <w:lang w:val="es-CO"/>
              </w:rPr>
              <w:fldChar w:fldCharType="end"/>
            </w:r>
            <w:r w:rsidRPr="00606E51">
              <w:rPr>
                <w:b w:val="0"/>
                <w:sz w:val="22"/>
                <w:lang w:val="es-CO"/>
              </w:rPr>
              <w:t>)</w:t>
            </w:r>
          </w:p>
        </w:tc>
      </w:tr>
    </w:tbl>
    <w:p w14:paraId="66ECAC6A" w14:textId="77777777" w:rsidR="00F47708" w:rsidRPr="00606E51" w:rsidRDefault="00F47708" w:rsidP="00230768">
      <w:pPr>
        <w:jc w:val="both"/>
        <w:rPr>
          <w:lang w:val="es-CO"/>
        </w:rPr>
      </w:pPr>
    </w:p>
    <w:p w14:paraId="209F4E01" w14:textId="77777777" w:rsidR="00BA4E60" w:rsidRPr="00606E51" w:rsidRDefault="00BA4E60" w:rsidP="00230768">
      <w:pPr>
        <w:jc w:val="both"/>
        <w:rPr>
          <w:lang w:val="es-CO"/>
        </w:rPr>
      </w:pPr>
      <w:r w:rsidRPr="00606E51">
        <w:rPr>
          <w:lang w:val="es-CO"/>
        </w:rPr>
        <w:t xml:space="preserve">Donde </w:t>
      </w:r>
      <m:oMath>
        <m:r>
          <w:rPr>
            <w:rFonts w:ascii="Cambria Math" w:hAnsi="Cambria Math"/>
            <w:lang w:val="es-CO"/>
          </w:rPr>
          <m:t>M</m:t>
        </m:r>
      </m:oMath>
      <w:r w:rsidRPr="00606E51">
        <w:rPr>
          <w:lang w:val="es-CO"/>
        </w:rPr>
        <w:t xml:space="preserve"> es la disminución en el número de defunciones, </w:t>
      </w:r>
      <m:oMath>
        <m:r>
          <w:rPr>
            <w:rFonts w:ascii="Cambria Math" w:hAnsi="Cambria Math"/>
            <w:lang w:val="es-CO"/>
          </w:rPr>
          <m:t>K</m:t>
        </m:r>
      </m:oMath>
      <w:r w:rsidRPr="00606E51">
        <w:rPr>
          <w:lang w:val="es-CO"/>
        </w:rPr>
        <w:t xml:space="preserve"> es el factor para modular el ajuste por edades, </w:t>
      </w:r>
      <m:oMath>
        <m:r>
          <w:rPr>
            <w:rFonts w:ascii="Cambria Math" w:hAnsi="Cambria Math"/>
            <w:lang w:val="es-CO"/>
          </w:rPr>
          <m:t>A</m:t>
        </m:r>
      </m:oMath>
      <w:r w:rsidRPr="00606E51">
        <w:rPr>
          <w:lang w:val="es-CO"/>
        </w:rPr>
        <w:t xml:space="preserve"> y </w:t>
      </w:r>
      <m:oMath>
        <m:r>
          <w:rPr>
            <w:rFonts w:ascii="Cambria Math" w:hAnsi="Cambria Math"/>
            <w:lang w:val="es-CO"/>
          </w:rPr>
          <m:t>a</m:t>
        </m:r>
      </m:oMath>
      <w:r w:rsidRPr="00606E51">
        <w:rPr>
          <w:lang w:val="es-CO"/>
        </w:rPr>
        <w:t xml:space="preserve"> la edad promedio de los niños con desnutrición, </w:t>
      </w:r>
      <m:oMath>
        <m:r>
          <w:rPr>
            <w:rFonts w:ascii="Cambria Math" w:hAnsi="Cambria Math"/>
            <w:lang w:val="es-CO"/>
          </w:rPr>
          <m:t>L</m:t>
        </m:r>
      </m:oMath>
      <w:r w:rsidRPr="00606E51">
        <w:rPr>
          <w:lang w:val="es-CO"/>
        </w:rPr>
        <w:t xml:space="preserve"> la esperanza de vida de los niños en La Guajira en el grupo de edad de 1 a 4 años, </w:t>
      </w:r>
      <m:oMath>
        <m:r>
          <w:rPr>
            <w:rFonts w:ascii="Cambria Math" w:hAnsi="Cambria Math"/>
            <w:lang w:val="es-CO"/>
          </w:rPr>
          <m:t>C</m:t>
        </m:r>
      </m:oMath>
      <w:r w:rsidRPr="00606E51">
        <w:rPr>
          <w:lang w:val="es-CO"/>
        </w:rPr>
        <w:t xml:space="preserve"> y </w:t>
      </w:r>
      <m:oMath>
        <m:r>
          <w:rPr>
            <w:rFonts w:ascii="Cambria Math" w:hAnsi="Cambria Math"/>
            <w:lang w:val="es-CO"/>
          </w:rPr>
          <m:t>β</m:t>
        </m:r>
      </m:oMath>
      <w:r w:rsidRPr="00606E51">
        <w:rPr>
          <w:lang w:val="es-CO"/>
        </w:rPr>
        <w:t xml:space="preserve"> constantes de ajuste por edad (usualmente fijadas en 0,1658 y 0,04 respectivamente </w:t>
      </w:r>
      <w:sdt>
        <w:sdtPr>
          <w:rPr>
            <w:lang w:val="es-CO"/>
          </w:rPr>
          <w:id w:val="1181314664"/>
          <w:citation/>
        </w:sdtPr>
        <w:sdtContent>
          <w:r w:rsidRPr="00606E51">
            <w:rPr>
              <w:lang w:val="es-CO"/>
            </w:rPr>
            <w:fldChar w:fldCharType="begin"/>
          </w:r>
          <w:r w:rsidRPr="00606E51">
            <w:rPr>
              <w:lang w:val="es-CO"/>
            </w:rPr>
            <w:instrText xml:space="preserve"> CITATION Mur96 \l 9226 </w:instrText>
          </w:r>
          <w:r w:rsidRPr="00606E51">
            <w:rPr>
              <w:lang w:val="es-CO"/>
            </w:rPr>
            <w:fldChar w:fldCharType="separate"/>
          </w:r>
          <w:r w:rsidR="00B01F0F" w:rsidRPr="00606E51">
            <w:rPr>
              <w:lang w:val="es-CO"/>
            </w:rPr>
            <w:t>(Murray CJL, 1996)</w:t>
          </w:r>
          <w:r w:rsidRPr="00606E51">
            <w:rPr>
              <w:lang w:val="es-CO"/>
            </w:rPr>
            <w:fldChar w:fldCharType="end"/>
          </w:r>
        </w:sdtContent>
      </w:sdt>
      <w:r w:rsidRPr="00606E51">
        <w:rPr>
          <w:lang w:val="es-CO"/>
        </w:rPr>
        <w:t xml:space="preserve">) y </w:t>
      </w:r>
      <m:oMath>
        <m:r>
          <w:rPr>
            <w:rFonts w:ascii="Cambria Math" w:hAnsi="Cambria Math"/>
            <w:lang w:val="es-CO"/>
          </w:rPr>
          <m:t>r</m:t>
        </m:r>
      </m:oMath>
      <w:r w:rsidRPr="00606E51">
        <w:rPr>
          <w:lang w:val="es-CO"/>
        </w:rPr>
        <w:t xml:space="preserve"> la tasa de descuento intertemporal. De esta manera, los AVAD miden la cadena de eventos futuros derivados de la ganancia o pérdida del estado de salud actual de una población.</w:t>
      </w:r>
    </w:p>
    <w:p w14:paraId="1A803AA2" w14:textId="77777777" w:rsidR="00F47708" w:rsidRPr="00606E51" w:rsidRDefault="00F47708" w:rsidP="00230768">
      <w:pPr>
        <w:jc w:val="both"/>
        <w:rPr>
          <w:lang w:val="es-CO"/>
        </w:rPr>
      </w:pPr>
    </w:p>
    <w:p w14:paraId="44560A28" w14:textId="77777777" w:rsidR="00BA4E60" w:rsidRPr="00606E51" w:rsidRDefault="00BA4E60" w:rsidP="00230768">
      <w:pPr>
        <w:jc w:val="both"/>
        <w:rPr>
          <w:lang w:val="es-CO"/>
        </w:rPr>
      </w:pPr>
      <w:r w:rsidRPr="00606E51">
        <w:rPr>
          <w:lang w:val="es-CO"/>
        </w:rPr>
        <w:t>Considerando la recomendación más reciente de la OMS para la estimación de los AVAD no se ha realizado un ajuste intertemporal (</w:t>
      </w:r>
      <m:oMath>
        <m:r>
          <w:rPr>
            <w:rFonts w:ascii="Cambria Math" w:hAnsi="Cambria Math"/>
            <w:lang w:val="es-CO"/>
          </w:rPr>
          <m:t>r=0</m:t>
        </m:r>
      </m:oMath>
      <w:r w:rsidRPr="00606E51">
        <w:rPr>
          <w:lang w:val="es-CO"/>
        </w:rPr>
        <w:t>), ya que los AVAD se definen como la perdida de salud y no como la valoración social de la perdida de la salud; asimismo, tampoco se realiza un ajuste por edades según la edad en la que ocurre la patología (</w:t>
      </w:r>
      <m:oMath>
        <m:r>
          <w:rPr>
            <w:rFonts w:ascii="Cambria Math" w:hAnsi="Cambria Math"/>
            <w:lang w:val="es-CO"/>
          </w:rPr>
          <m:t>K=1</m:t>
        </m:r>
      </m:oMath>
      <w:r w:rsidRPr="00606E51">
        <w:rPr>
          <w:lang w:val="es-CO"/>
        </w:rPr>
        <w:t>), ya que supondría un supuesto normativo sobre la valoración de la salud perdida</w:t>
      </w:r>
      <w:sdt>
        <w:sdtPr>
          <w:rPr>
            <w:lang w:val="es-CO"/>
          </w:rPr>
          <w:id w:val="1350677068"/>
          <w:citation/>
        </w:sdtPr>
        <w:sdtContent>
          <w:r w:rsidRPr="00606E51">
            <w:rPr>
              <w:lang w:val="es-CO"/>
            </w:rPr>
            <w:fldChar w:fldCharType="begin"/>
          </w:r>
          <w:r w:rsidRPr="00606E51">
            <w:rPr>
              <w:lang w:val="es-CO"/>
            </w:rPr>
            <w:instrText xml:space="preserve"> CITATION Mur13 \l 9226 </w:instrText>
          </w:r>
          <w:r w:rsidRPr="00606E51">
            <w:rPr>
              <w:lang w:val="es-CO"/>
            </w:rPr>
            <w:fldChar w:fldCharType="separate"/>
          </w:r>
          <w:r w:rsidR="00B01F0F" w:rsidRPr="00606E51">
            <w:rPr>
              <w:lang w:val="es-CO"/>
            </w:rPr>
            <w:t xml:space="preserve"> (Murray, y otros, 2013)</w:t>
          </w:r>
          <w:r w:rsidRPr="00606E51">
            <w:rPr>
              <w:lang w:val="es-CO"/>
            </w:rPr>
            <w:fldChar w:fldCharType="end"/>
          </w:r>
        </w:sdtContent>
      </w:sdt>
      <w:sdt>
        <w:sdtPr>
          <w:rPr>
            <w:lang w:val="es-CO"/>
          </w:rPr>
          <w:id w:val="1006325461"/>
          <w:citation/>
        </w:sdtPr>
        <w:sdtContent>
          <w:r w:rsidRPr="00606E51">
            <w:rPr>
              <w:lang w:val="es-CO"/>
            </w:rPr>
            <w:fldChar w:fldCharType="begin"/>
          </w:r>
          <w:r w:rsidRPr="00606E51">
            <w:rPr>
              <w:lang w:val="es-CO"/>
            </w:rPr>
            <w:instrText xml:space="preserve">CITATION Dep13 \l 9226 </w:instrText>
          </w:r>
          <w:r w:rsidRPr="00606E51">
            <w:rPr>
              <w:lang w:val="es-CO"/>
            </w:rPr>
            <w:fldChar w:fldCharType="separate"/>
          </w:r>
          <w:r w:rsidR="00B01F0F" w:rsidRPr="00606E51">
            <w:rPr>
              <w:lang w:val="es-CO"/>
            </w:rPr>
            <w:t xml:space="preserve"> (OMS, 2013)</w:t>
          </w:r>
          <w:r w:rsidRPr="00606E51">
            <w:rPr>
              <w:lang w:val="es-CO"/>
            </w:rPr>
            <w:fldChar w:fldCharType="end"/>
          </w:r>
        </w:sdtContent>
      </w:sdt>
      <w:r w:rsidRPr="00606E51">
        <w:rPr>
          <w:lang w:val="es-CO"/>
        </w:rPr>
        <w:t>.</w:t>
      </w:r>
    </w:p>
    <w:p w14:paraId="33D067F0" w14:textId="77777777" w:rsidR="00F47708" w:rsidRPr="00606E51" w:rsidRDefault="00F47708" w:rsidP="00230768">
      <w:pPr>
        <w:jc w:val="both"/>
        <w:rPr>
          <w:lang w:val="es-CO"/>
        </w:rPr>
      </w:pPr>
    </w:p>
    <w:p w14:paraId="5D303FFF" w14:textId="77777777" w:rsidR="00BA4E60" w:rsidRPr="00606E51" w:rsidRDefault="00D02E84" w:rsidP="00997568">
      <w:pPr>
        <w:pStyle w:val="Heading4"/>
        <w:rPr>
          <w:lang w:val="es-CO"/>
        </w:rPr>
      </w:pPr>
      <w:bookmarkStart w:id="86" w:name="_Toc482216930"/>
      <w:r>
        <w:rPr>
          <w:lang w:val="es-CO"/>
        </w:rPr>
        <w:t xml:space="preserve">Medida 2:  </w:t>
      </w:r>
      <w:r w:rsidR="00BA4E60" w:rsidRPr="00606E51">
        <w:rPr>
          <w:lang w:val="es-CO"/>
        </w:rPr>
        <w:t>Número de niños y niñas que se recuperan de desnutrición aguda</w:t>
      </w:r>
      <w:bookmarkEnd w:id="86"/>
    </w:p>
    <w:p w14:paraId="1F14035D" w14:textId="77777777" w:rsidR="00F47708" w:rsidRPr="00606E51" w:rsidRDefault="00F47708" w:rsidP="00230768">
      <w:pPr>
        <w:jc w:val="both"/>
        <w:rPr>
          <w:lang w:val="es-CO"/>
        </w:rPr>
      </w:pPr>
    </w:p>
    <w:p w14:paraId="5DD1C593" w14:textId="77777777" w:rsidR="00BA4E60" w:rsidRPr="00606E51" w:rsidRDefault="00BA4E60" w:rsidP="00230768">
      <w:pPr>
        <w:jc w:val="both"/>
        <w:rPr>
          <w:lang w:val="es-CO"/>
        </w:rPr>
      </w:pPr>
      <w:r w:rsidRPr="00606E51">
        <w:rPr>
          <w:lang w:val="es-CO"/>
        </w:rPr>
        <w:t>Adicionalmente, es posible considerar como medida de la efectividad de la intervención el número de niños(as) recuperados(as). Es importante recordar que, si un niño o niña recibe manejo intrahospitalario y cumple los criterios de egreso hospitalario, él o ella debe continuar el tratamiento en el hogar; esta situación no se considera</w:t>
      </w:r>
      <w:r w:rsidR="00C84FB8">
        <w:rPr>
          <w:lang w:val="es-CO"/>
        </w:rPr>
        <w:t xml:space="preserve">, entonces, </w:t>
      </w:r>
      <w:r w:rsidRPr="00606E51">
        <w:rPr>
          <w:lang w:val="es-CO"/>
        </w:rPr>
        <w:t xml:space="preserve">como </w:t>
      </w:r>
      <w:r w:rsidR="00C84FB8">
        <w:rPr>
          <w:lang w:val="es-CO"/>
        </w:rPr>
        <w:t xml:space="preserve">una </w:t>
      </w:r>
      <w:r w:rsidRPr="00606E51">
        <w:rPr>
          <w:lang w:val="es-CO"/>
        </w:rPr>
        <w:t>recuperación</w:t>
      </w:r>
      <w:r w:rsidR="00C84FB8">
        <w:rPr>
          <w:lang w:val="es-CO"/>
        </w:rPr>
        <w:t xml:space="preserve"> completa</w:t>
      </w:r>
      <w:r w:rsidRPr="00606E51">
        <w:rPr>
          <w:lang w:val="es-CO"/>
        </w:rPr>
        <w:t>.</w:t>
      </w:r>
    </w:p>
    <w:p w14:paraId="53957A7C" w14:textId="77777777" w:rsidR="00F47708" w:rsidRPr="00606E51" w:rsidRDefault="00F47708" w:rsidP="00230768">
      <w:pPr>
        <w:jc w:val="both"/>
        <w:rPr>
          <w:lang w:val="es-CO"/>
        </w:rPr>
      </w:pPr>
    </w:p>
    <w:p w14:paraId="2888B7F9" w14:textId="77777777" w:rsidR="00BA4E60" w:rsidRDefault="00BA4E60" w:rsidP="00230768">
      <w:pPr>
        <w:jc w:val="both"/>
        <w:rPr>
          <w:lang w:val="es-CO"/>
        </w:rPr>
      </w:pPr>
      <w:r w:rsidRPr="00606E51">
        <w:rPr>
          <w:lang w:val="es-CO"/>
        </w:rPr>
        <w:t>Se define como un niño recuperado aquel que en alguna visita se encontraba con desnutrición aguda (moderada o severa) y en alguna de las visitas siguientes pasó a estar en riesgo de desnutrición aguda o a peso adecuado para la talla. A partir de las bases de datos recolectadas por los equipos extramurales, presentada en la sección de información, es posible verificar la clasificación en la que se encuentra cada niño y así determinar si se ha recuperado.</w:t>
      </w:r>
    </w:p>
    <w:p w14:paraId="20068587" w14:textId="77777777" w:rsidR="00C84FB8" w:rsidRPr="00606E51" w:rsidRDefault="00C84FB8" w:rsidP="00230768">
      <w:pPr>
        <w:jc w:val="both"/>
        <w:rPr>
          <w:lang w:val="es-CO"/>
        </w:rPr>
      </w:pPr>
    </w:p>
    <w:p w14:paraId="353D5D1E" w14:textId="77777777" w:rsidR="00F47708" w:rsidRPr="00606E51" w:rsidRDefault="00F47708" w:rsidP="00230768">
      <w:pPr>
        <w:jc w:val="both"/>
        <w:rPr>
          <w:lang w:val="es-CO"/>
        </w:rPr>
      </w:pPr>
    </w:p>
    <w:p w14:paraId="0E2A0FE8" w14:textId="77777777" w:rsidR="00BA4E60" w:rsidRPr="00606E51" w:rsidRDefault="00D02E84" w:rsidP="00997568">
      <w:pPr>
        <w:pStyle w:val="Heading4"/>
        <w:rPr>
          <w:lang w:val="es-CO"/>
        </w:rPr>
      </w:pPr>
      <w:bookmarkStart w:id="87" w:name="_Toc482216931"/>
      <w:r>
        <w:rPr>
          <w:lang w:val="es-CO"/>
        </w:rPr>
        <w:lastRenderedPageBreak/>
        <w:t xml:space="preserve">Medida 3:  </w:t>
      </w:r>
      <w:r w:rsidR="00BA4E60" w:rsidRPr="00606E51">
        <w:rPr>
          <w:lang w:val="es-CO"/>
        </w:rPr>
        <w:t>Número de niños y niñas que mejoran el estado nutricional</w:t>
      </w:r>
      <w:bookmarkEnd w:id="87"/>
    </w:p>
    <w:p w14:paraId="7EB1001C" w14:textId="77777777" w:rsidR="00F47708" w:rsidRPr="00606E51" w:rsidRDefault="00F47708" w:rsidP="00230768">
      <w:pPr>
        <w:jc w:val="both"/>
        <w:rPr>
          <w:lang w:val="es-CO"/>
        </w:rPr>
      </w:pPr>
    </w:p>
    <w:p w14:paraId="675E214A" w14:textId="77777777" w:rsidR="00BA4E60" w:rsidRPr="00606E51" w:rsidRDefault="00BA4E60" w:rsidP="00230768">
      <w:pPr>
        <w:jc w:val="both"/>
        <w:rPr>
          <w:lang w:val="es-CO"/>
        </w:rPr>
      </w:pPr>
      <w:r w:rsidRPr="00606E51">
        <w:rPr>
          <w:lang w:val="es-CO"/>
        </w:rPr>
        <w:t>Por último, es posible considerar como medida de la efectividad de la intervención el número de niños y niñas que han mejorado su estado nutricional. En primer lugar, es importante considerar que el registro de los datos antropométricos recolectados por los equipos extramurales fue posible determinar la clasificación nutricional para los niños en cada visita recibida; de esta manera si el niño o niña presenta un aumento en el indicador Z del peso para la talla (P/T) se establece que el niño ha mejorado.</w:t>
      </w:r>
    </w:p>
    <w:p w14:paraId="212FFC1C" w14:textId="77777777" w:rsidR="00C84FB8" w:rsidRDefault="00C84FB8" w:rsidP="00230768">
      <w:pPr>
        <w:jc w:val="both"/>
        <w:rPr>
          <w:lang w:val="es-CO"/>
        </w:rPr>
      </w:pPr>
    </w:p>
    <w:p w14:paraId="48E78B0C" w14:textId="77777777" w:rsidR="00BA4E60" w:rsidRPr="00606E51" w:rsidRDefault="00BA4E60" w:rsidP="00230768">
      <w:pPr>
        <w:jc w:val="both"/>
        <w:rPr>
          <w:lang w:val="es-CO"/>
        </w:rPr>
      </w:pPr>
      <w:r w:rsidRPr="00606E51">
        <w:rPr>
          <w:lang w:val="es-CO"/>
        </w:rPr>
        <w:t>Existe una relación entre los niños que mejoraron y los niños que se recuperaron, ya que es posible que un niño haya mejorado, pero no haya cumplido aún los criterios de egreso; de esta manera se espera que el número de niños que mejore sean mayor al de los recuperados y que no necesariamente todos los que mejoraron se hayan recuperado.</w:t>
      </w:r>
    </w:p>
    <w:p w14:paraId="75CE3322" w14:textId="77777777" w:rsidR="00736577" w:rsidRPr="00606E51" w:rsidRDefault="00736577" w:rsidP="00230768">
      <w:pPr>
        <w:jc w:val="both"/>
        <w:rPr>
          <w:lang w:val="es-CO"/>
        </w:rPr>
      </w:pPr>
    </w:p>
    <w:p w14:paraId="028C8F26" w14:textId="77777777" w:rsidR="00E6724C" w:rsidRPr="00606E51" w:rsidRDefault="00BA4E60" w:rsidP="00230768">
      <w:pPr>
        <w:jc w:val="both"/>
        <w:rPr>
          <w:lang w:val="es-CO"/>
        </w:rPr>
      </w:pPr>
      <m:oMathPara>
        <m:oMath>
          <m:r>
            <w:rPr>
              <w:rFonts w:ascii="Cambria Math" w:hAnsi="Cambria Math"/>
              <w:lang w:val="es-CO"/>
            </w:rPr>
            <m:t>Mejoraron=</m:t>
          </m:r>
          <m:d>
            <m:dPr>
              <m:begChr m:val="{"/>
              <m:endChr m:val=""/>
              <m:ctrlPr>
                <w:rPr>
                  <w:rFonts w:ascii="Cambria Math" w:hAnsi="Cambria Math"/>
                  <w:i/>
                  <w:lang w:val="es-CO"/>
                </w:rPr>
              </m:ctrlPr>
            </m:dPr>
            <m:e>
              <m:eqArr>
                <m:eqArrPr>
                  <m:ctrlPr>
                    <w:rPr>
                      <w:rFonts w:ascii="Cambria Math" w:hAnsi="Cambria Math"/>
                      <w:i/>
                      <w:lang w:val="es-CO"/>
                    </w:rPr>
                  </m:ctrlPr>
                </m:eqArrPr>
                <m:e>
                  <m:r>
                    <w:rPr>
                      <w:rFonts w:ascii="Cambria Math" w:hAnsi="Cambria Math"/>
                      <w:lang w:val="es-CO"/>
                    </w:rPr>
                    <m:t>Sí,  &amp;∆ZP/TZ&gt;0</m:t>
                  </m:r>
                </m:e>
                <m:e>
                  <m:r>
                    <w:rPr>
                      <w:rFonts w:ascii="Cambria Math" w:hAnsi="Cambria Math"/>
                      <w:lang w:val="es-CO"/>
                    </w:rPr>
                    <m:t>No,  ∆ZP/TZ≤0</m:t>
                  </m:r>
                </m:e>
              </m:eqArr>
            </m:e>
          </m:d>
        </m:oMath>
      </m:oMathPara>
    </w:p>
    <w:p w14:paraId="655C5894" w14:textId="77777777" w:rsidR="00E6724C" w:rsidRPr="00606E51" w:rsidRDefault="00E6724C" w:rsidP="00230768">
      <w:pPr>
        <w:jc w:val="both"/>
        <w:rPr>
          <w:lang w:val="es-CO"/>
        </w:rPr>
      </w:pPr>
    </w:p>
    <w:p w14:paraId="22BF1351" w14:textId="77777777" w:rsidR="00BA4E60" w:rsidRPr="00606E51" w:rsidRDefault="00BA4E60" w:rsidP="00997568">
      <w:pPr>
        <w:pStyle w:val="Heading3"/>
        <w:rPr>
          <w:lang w:val="es-CO"/>
        </w:rPr>
      </w:pPr>
      <w:bookmarkStart w:id="88" w:name="_Toc482216932"/>
      <w:bookmarkStart w:id="89" w:name="_Toc505090951"/>
      <w:r w:rsidRPr="00606E51">
        <w:rPr>
          <w:lang w:val="es-CO"/>
        </w:rPr>
        <w:t>Razón de costo efectividad Incremental –RCEI–</w:t>
      </w:r>
      <w:bookmarkEnd w:id="88"/>
      <w:bookmarkEnd w:id="89"/>
      <w:r w:rsidRPr="00606E51">
        <w:rPr>
          <w:lang w:val="es-CO"/>
        </w:rPr>
        <w:t xml:space="preserve">  </w:t>
      </w:r>
    </w:p>
    <w:p w14:paraId="1754C3F9" w14:textId="77777777" w:rsidR="00F47708" w:rsidRPr="00606E51" w:rsidRDefault="00F47708" w:rsidP="00230768">
      <w:pPr>
        <w:jc w:val="both"/>
        <w:rPr>
          <w:lang w:val="es-CO"/>
        </w:rPr>
      </w:pPr>
    </w:p>
    <w:p w14:paraId="29EEEE1E" w14:textId="77777777" w:rsidR="00BA4E60" w:rsidRPr="00606E51" w:rsidRDefault="00BA4E60" w:rsidP="00230768">
      <w:pPr>
        <w:jc w:val="both"/>
        <w:rPr>
          <w:lang w:val="es-CO"/>
        </w:rPr>
      </w:pPr>
      <w:r w:rsidRPr="00606E51">
        <w:rPr>
          <w:lang w:val="es-CO"/>
        </w:rPr>
        <w:t>Como indicador de costo efectividad se utilizó la razón costo efectividad incremental –RCEI– de tal manera que fue posible comparar el escenar</w:t>
      </w:r>
      <w:r w:rsidR="009E7E6B" w:rsidRPr="00606E51">
        <w:rPr>
          <w:lang w:val="es-CO"/>
        </w:rPr>
        <w:t>io de implementación del L</w:t>
      </w:r>
      <w:r w:rsidRPr="00606E51">
        <w:rPr>
          <w:lang w:val="es-CO"/>
        </w:rPr>
        <w:t>ineamiento frente a la no implementación de este, en término de costos y efectividad simultáneamente. En particular, este indicador relaciona la variación del costo total de los escenarios, teniendo en cuenta tanto el costo (adici</w:t>
      </w:r>
      <w:r w:rsidR="009E7E6B" w:rsidRPr="00606E51">
        <w:rPr>
          <w:lang w:val="es-CO"/>
        </w:rPr>
        <w:t>onal) del L</w:t>
      </w:r>
      <w:r w:rsidRPr="00606E51">
        <w:rPr>
          <w:lang w:val="es-CO"/>
        </w:rPr>
        <w:t>ineamiento, como el costo de tratamiento de la enfermedad, y la ganancia en salud, que se expresa como la variación en la medida de efectividad. Así, el indicador de costo efectividad se escribe como:</w:t>
      </w:r>
    </w:p>
    <w:p w14:paraId="4E31B363" w14:textId="77777777" w:rsidR="00F47708" w:rsidRPr="00606E51" w:rsidRDefault="00F47708" w:rsidP="00230768">
      <w:pPr>
        <w:jc w:val="both"/>
        <w:rPr>
          <w:lang w:val="es-CO"/>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98"/>
        <w:gridCol w:w="583"/>
      </w:tblGrid>
      <w:tr w:rsidR="00BA4E60" w:rsidRPr="00606E51" w14:paraId="54A29348" w14:textId="77777777" w:rsidTr="00BA4E60">
        <w:trPr>
          <w:trHeight w:val="591"/>
        </w:trPr>
        <w:tc>
          <w:tcPr>
            <w:tcW w:w="8167" w:type="dxa"/>
          </w:tcPr>
          <w:p w14:paraId="63BBC989" w14:textId="77777777" w:rsidR="00BA4E60" w:rsidRPr="00606E51" w:rsidRDefault="00F47708" w:rsidP="00230768">
            <w:pPr>
              <w:jc w:val="both"/>
              <w:rPr>
                <w:b w:val="0"/>
                <w:sz w:val="22"/>
                <w:lang w:val="es-CO"/>
              </w:rPr>
            </w:pPr>
            <m:oMathPara>
              <m:oMath>
                <m:r>
                  <m:rPr>
                    <m:sty m:val="bi"/>
                  </m:rPr>
                  <w:rPr>
                    <w:rFonts w:ascii="Cambria Math" w:hAnsi="Cambria Math"/>
                    <w:sz w:val="22"/>
                    <w:lang w:val="es-CO"/>
                  </w:rPr>
                  <m:t>RCEI=</m:t>
                </m:r>
                <m:f>
                  <m:fPr>
                    <m:ctrlPr>
                      <w:rPr>
                        <w:rFonts w:ascii="Cambria Math" w:hAnsi="Cambria Math"/>
                        <w:b w:val="0"/>
                        <w:i/>
                        <w:sz w:val="22"/>
                        <w:lang w:val="es-CO"/>
                      </w:rPr>
                    </m:ctrlPr>
                  </m:fPr>
                  <m:num>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CL</m:t>
                        </m:r>
                      </m:sub>
                    </m:sSub>
                    <m:r>
                      <m:rPr>
                        <m:sty m:val="bi"/>
                      </m:rPr>
                      <w:rPr>
                        <w:rFonts w:ascii="Cambria Math" w:hAnsi="Cambria Math"/>
                        <w:sz w:val="22"/>
                        <w:lang w:val="es-CO"/>
                      </w:rPr>
                      <m:t>-C</m:t>
                    </m:r>
                    <m:sSub>
                      <m:sSubPr>
                        <m:ctrlPr>
                          <w:rPr>
                            <w:rFonts w:ascii="Cambria Math" w:hAnsi="Cambria Math"/>
                            <w:b w:val="0"/>
                            <w:i/>
                            <w:sz w:val="22"/>
                            <w:lang w:val="es-CO"/>
                          </w:rPr>
                        </m:ctrlPr>
                      </m:sSubPr>
                      <m:e>
                        <m:r>
                          <m:rPr>
                            <m:sty m:val="bi"/>
                          </m:rPr>
                          <w:rPr>
                            <w:rFonts w:ascii="Cambria Math" w:hAnsi="Cambria Math"/>
                            <w:sz w:val="22"/>
                            <w:lang w:val="es-CO"/>
                          </w:rPr>
                          <m:t>T</m:t>
                        </m:r>
                      </m:e>
                      <m:sub>
                        <m:r>
                          <m:rPr>
                            <m:sty m:val="bi"/>
                          </m:rPr>
                          <w:rPr>
                            <w:rFonts w:ascii="Cambria Math" w:hAnsi="Cambria Math"/>
                            <w:sz w:val="22"/>
                            <w:lang w:val="es-CO"/>
                          </w:rPr>
                          <m:t>SL</m:t>
                        </m:r>
                      </m:sub>
                    </m:sSub>
                  </m:num>
                  <m:den>
                    <m:r>
                      <m:rPr>
                        <m:sty m:val="bi"/>
                      </m:rPr>
                      <w:rPr>
                        <w:rFonts w:ascii="Cambria Math" w:hAnsi="Cambria Math"/>
                        <w:sz w:val="22"/>
                        <w:lang w:val="es-CO"/>
                      </w:rPr>
                      <m:t>∆Medida de efectvidad</m:t>
                    </m:r>
                  </m:den>
                </m:f>
                <m:r>
                  <m:rPr>
                    <m:sty m:val="bi"/>
                  </m:rPr>
                  <w:rPr>
                    <w:rFonts w:ascii="Cambria Math" w:hAnsi="Cambria Math"/>
                    <w:sz w:val="22"/>
                    <w:lang w:val="es-CO"/>
                  </w:rPr>
                  <m:t xml:space="preserve"> </m:t>
                </m:r>
              </m:oMath>
            </m:oMathPara>
          </w:p>
        </w:tc>
        <w:tc>
          <w:tcPr>
            <w:tcW w:w="563" w:type="dxa"/>
            <w:vAlign w:val="center"/>
          </w:tcPr>
          <w:p w14:paraId="362F6E2D" w14:textId="77777777" w:rsidR="00BA4E60" w:rsidRPr="00606E51" w:rsidRDefault="00BA4E60" w:rsidP="00230768">
            <w:pPr>
              <w:jc w:val="both"/>
              <w:rPr>
                <w:b w:val="0"/>
                <w:sz w:val="22"/>
                <w:lang w:val="es-CO"/>
              </w:rPr>
            </w:pPr>
            <w:bookmarkStart w:id="90" w:name="_Ref404886641"/>
            <w:r w:rsidRPr="00606E51">
              <w:rPr>
                <w:b w:val="0"/>
                <w:sz w:val="22"/>
                <w:lang w:val="es-CO"/>
              </w:rPr>
              <w:t>(</w:t>
            </w:r>
            <w:r w:rsidRPr="00606E51">
              <w:rPr>
                <w:lang w:val="es-CO"/>
              </w:rPr>
              <w:fldChar w:fldCharType="begin"/>
            </w:r>
            <w:r w:rsidRPr="00606E51">
              <w:rPr>
                <w:b w:val="0"/>
                <w:sz w:val="22"/>
                <w:lang w:val="es-CO"/>
              </w:rPr>
              <w:instrText xml:space="preserve"> SEQ Ecuación \* ARABIC </w:instrText>
            </w:r>
            <w:r w:rsidRPr="00606E51">
              <w:rPr>
                <w:lang w:val="es-CO"/>
              </w:rPr>
              <w:fldChar w:fldCharType="separate"/>
            </w:r>
            <w:r w:rsidR="00B01F0F" w:rsidRPr="00606E51">
              <w:rPr>
                <w:b w:val="0"/>
                <w:sz w:val="22"/>
                <w:lang w:val="es-CO"/>
              </w:rPr>
              <w:t>11</w:t>
            </w:r>
            <w:r w:rsidRPr="00606E51">
              <w:rPr>
                <w:lang w:val="es-CO"/>
              </w:rPr>
              <w:fldChar w:fldCharType="end"/>
            </w:r>
            <w:r w:rsidRPr="00606E51">
              <w:rPr>
                <w:b w:val="0"/>
                <w:sz w:val="22"/>
                <w:lang w:val="es-CO"/>
              </w:rPr>
              <w:t>)</w:t>
            </w:r>
            <w:bookmarkEnd w:id="90"/>
          </w:p>
        </w:tc>
      </w:tr>
    </w:tbl>
    <w:p w14:paraId="7BF91050" w14:textId="77777777" w:rsidR="00F47708" w:rsidRPr="00606E51" w:rsidRDefault="00F47708" w:rsidP="00230768">
      <w:pPr>
        <w:jc w:val="both"/>
        <w:rPr>
          <w:lang w:val="es-CO"/>
        </w:rPr>
      </w:pPr>
    </w:p>
    <w:p w14:paraId="1CF3C121" w14:textId="77777777" w:rsidR="00D02E84" w:rsidRDefault="00BA4E60" w:rsidP="00961280">
      <w:pPr>
        <w:jc w:val="both"/>
        <w:rPr>
          <w:lang w:val="es-CO"/>
        </w:rPr>
      </w:pPr>
      <w:r w:rsidRPr="00606E51">
        <w:rPr>
          <w:lang w:val="es-CO"/>
        </w:rPr>
        <w:t>A partir de este indicador es posible determinar el costo de la efectividad ga</w:t>
      </w:r>
      <w:r w:rsidR="009E7E6B" w:rsidRPr="00606E51">
        <w:rPr>
          <w:lang w:val="es-CO"/>
        </w:rPr>
        <w:t>nada por la implementación del L</w:t>
      </w:r>
      <w:r w:rsidRPr="00606E51">
        <w:rPr>
          <w:lang w:val="es-CO"/>
        </w:rPr>
        <w:t xml:space="preserve">ineamiento. </w:t>
      </w:r>
    </w:p>
    <w:p w14:paraId="4E44D066" w14:textId="77777777" w:rsidR="00D02E84" w:rsidRDefault="00D02E84" w:rsidP="00961280">
      <w:pPr>
        <w:jc w:val="both"/>
        <w:rPr>
          <w:lang w:val="es-CO"/>
        </w:rPr>
      </w:pPr>
    </w:p>
    <w:p w14:paraId="40FBC8D9" w14:textId="77777777" w:rsidR="005B4248" w:rsidRPr="00606E51" w:rsidRDefault="00D02E84" w:rsidP="00961280">
      <w:pPr>
        <w:jc w:val="both"/>
        <w:rPr>
          <w:lang w:val="es-CO"/>
        </w:rPr>
      </w:pPr>
      <w:r>
        <w:rPr>
          <w:lang w:val="es-CO"/>
        </w:rPr>
        <w:t xml:space="preserve">Por </w:t>
      </w:r>
      <w:r w:rsidR="00BA4E60" w:rsidRPr="00606E51">
        <w:rPr>
          <w:lang w:val="es-CO"/>
        </w:rPr>
        <w:t xml:space="preserve">ejemplo: si la medida de efectividad es número de niños que se recuperan de desnutrición aguda y la variación en los costos totales es igual a B, la </w:t>
      </w:r>
      <m:oMath>
        <m:r>
          <w:rPr>
            <w:rFonts w:ascii="Cambria Math" w:hAnsi="Cambria Math"/>
            <w:lang w:val="es-CO"/>
          </w:rPr>
          <m:t>RCEI</m:t>
        </m:r>
      </m:oMath>
      <w:r w:rsidR="00BA4E60" w:rsidRPr="00606E51">
        <w:rPr>
          <w:lang w:val="es-CO"/>
        </w:rPr>
        <w:t xml:space="preserve"> nos diría que el costo de recuperar un niño </w:t>
      </w:r>
      <w:r w:rsidR="009E7E6B" w:rsidRPr="00606E51">
        <w:rPr>
          <w:lang w:val="es-CO"/>
        </w:rPr>
        <w:t>debido a la implementación del L</w:t>
      </w:r>
      <w:r w:rsidR="00BA4E60" w:rsidRPr="00606E51">
        <w:rPr>
          <w:lang w:val="es-CO"/>
        </w:rPr>
        <w:t>ineamiento es B.</w:t>
      </w:r>
    </w:p>
    <w:p w14:paraId="165506F9" w14:textId="77777777" w:rsidR="005B4248" w:rsidRPr="00606E51" w:rsidRDefault="005B4248">
      <w:pPr>
        <w:spacing w:after="200" w:line="252" w:lineRule="auto"/>
        <w:rPr>
          <w:lang w:val="es-CO"/>
        </w:rPr>
      </w:pPr>
      <w:r w:rsidRPr="00606E51">
        <w:rPr>
          <w:lang w:val="es-CO"/>
        </w:rPr>
        <w:br w:type="page"/>
      </w:r>
    </w:p>
    <w:p w14:paraId="56F945A3" w14:textId="77777777" w:rsidR="005D564C" w:rsidRPr="00606E51" w:rsidRDefault="00022887" w:rsidP="00684143">
      <w:pPr>
        <w:pStyle w:val="Heading1"/>
        <w:rPr>
          <w:lang w:val="es-CO"/>
        </w:rPr>
      </w:pPr>
      <w:bookmarkStart w:id="91" w:name="_Toc481101236"/>
      <w:bookmarkStart w:id="92" w:name="_Toc505090952"/>
      <w:r w:rsidRPr="00606E51">
        <w:rPr>
          <w:lang w:val="es-CO"/>
        </w:rPr>
        <w:lastRenderedPageBreak/>
        <w:t>Hallazgo</w:t>
      </w:r>
      <w:r w:rsidR="00586D55" w:rsidRPr="00606E51">
        <w:rPr>
          <w:lang w:val="es-CO"/>
        </w:rPr>
        <w:t>s</w:t>
      </w:r>
      <w:r w:rsidR="00935E69" w:rsidRPr="00606E51">
        <w:rPr>
          <w:lang w:val="es-CO"/>
        </w:rPr>
        <w:t xml:space="preserve"> y conclusione</w:t>
      </w:r>
      <w:r w:rsidR="00400589" w:rsidRPr="00606E51">
        <w:rPr>
          <w:lang w:val="es-CO"/>
        </w:rPr>
        <w:t>s</w:t>
      </w:r>
      <w:bookmarkEnd w:id="91"/>
      <w:bookmarkEnd w:id="92"/>
    </w:p>
    <w:p w14:paraId="33F16D7C" w14:textId="77777777" w:rsidR="001B4F06" w:rsidRPr="00606E51" w:rsidRDefault="001B4F06" w:rsidP="001B4F06">
      <w:pPr>
        <w:rPr>
          <w:rFonts w:cs="Times New Roman"/>
          <w:lang w:val="es-CO"/>
        </w:rPr>
      </w:pPr>
    </w:p>
    <w:p w14:paraId="5001FDC5" w14:textId="77777777" w:rsidR="00150C53" w:rsidRPr="00606E51" w:rsidRDefault="0085148E" w:rsidP="008A61FD">
      <w:pPr>
        <w:pStyle w:val="Heading2"/>
        <w:rPr>
          <w:lang w:val="es-CO"/>
        </w:rPr>
      </w:pPr>
      <w:bookmarkStart w:id="93" w:name="_Toc481101237"/>
      <w:r w:rsidRPr="00606E51">
        <w:rPr>
          <w:lang w:val="es-CO"/>
        </w:rPr>
        <w:t xml:space="preserve"> </w:t>
      </w:r>
      <w:bookmarkStart w:id="94" w:name="_Toc505090953"/>
      <w:r w:rsidR="00935E69" w:rsidRPr="00606E51">
        <w:rPr>
          <w:lang w:val="es-CO"/>
        </w:rPr>
        <w:t>Hallazgo</w:t>
      </w:r>
      <w:r w:rsidR="00D74761" w:rsidRPr="00606E51">
        <w:rPr>
          <w:lang w:val="es-CO"/>
        </w:rPr>
        <w:t>s</w:t>
      </w:r>
      <w:bookmarkEnd w:id="93"/>
      <w:r w:rsidR="00F205CE" w:rsidRPr="00606E51">
        <w:rPr>
          <w:lang w:val="es-CO"/>
        </w:rPr>
        <w:t xml:space="preserve"> para el criterio de adherencia</w:t>
      </w:r>
      <w:bookmarkEnd w:id="94"/>
    </w:p>
    <w:p w14:paraId="77715298" w14:textId="77777777" w:rsidR="00997568" w:rsidRPr="00606E51" w:rsidRDefault="00997568" w:rsidP="00997568">
      <w:pPr>
        <w:rPr>
          <w:lang w:val="es-CO"/>
        </w:rPr>
      </w:pPr>
    </w:p>
    <w:p w14:paraId="517A7DDD" w14:textId="77777777" w:rsidR="00997568" w:rsidRPr="00606E51" w:rsidRDefault="00037ED8" w:rsidP="00BB1D7B">
      <w:pPr>
        <w:pStyle w:val="ListParagraph"/>
        <w:numPr>
          <w:ilvl w:val="0"/>
          <w:numId w:val="21"/>
        </w:numPr>
        <w:jc w:val="both"/>
        <w:rPr>
          <w:b/>
          <w:lang w:val="es-CO"/>
        </w:rPr>
      </w:pPr>
      <w:r>
        <w:rPr>
          <w:b/>
          <w:lang w:val="es-CO"/>
        </w:rPr>
        <w:t>Desde el punto de vista de los agentes locales del sistema de salud, l</w:t>
      </w:r>
      <w:r w:rsidR="00383BFE" w:rsidRPr="00606E51">
        <w:rPr>
          <w:b/>
          <w:lang w:val="es-CO"/>
        </w:rPr>
        <w:t>a Resolución que contiene el Lineamiento y la Ruta</w:t>
      </w:r>
      <w:r w:rsidR="00997568" w:rsidRPr="00606E51">
        <w:rPr>
          <w:b/>
          <w:lang w:val="es-CO"/>
        </w:rPr>
        <w:t xml:space="preserve"> </w:t>
      </w:r>
      <w:r w:rsidR="009F3E96">
        <w:rPr>
          <w:b/>
          <w:lang w:val="es-CO"/>
        </w:rPr>
        <w:t xml:space="preserve">ha cambiado </w:t>
      </w:r>
      <w:r w:rsidR="0079769E">
        <w:rPr>
          <w:b/>
          <w:lang w:val="es-CO"/>
        </w:rPr>
        <w:t xml:space="preserve">favorablemente </w:t>
      </w:r>
      <w:r w:rsidR="009F3E96">
        <w:rPr>
          <w:b/>
          <w:lang w:val="es-CO"/>
        </w:rPr>
        <w:t xml:space="preserve">los procesos de reporte y </w:t>
      </w:r>
      <w:r w:rsidR="00997568" w:rsidRPr="00606E51">
        <w:rPr>
          <w:b/>
          <w:lang w:val="es-CO"/>
        </w:rPr>
        <w:t>atención a los niños y niñas con desnutrición aguda</w:t>
      </w:r>
      <w:r w:rsidR="009B0CF1" w:rsidRPr="00606E51">
        <w:rPr>
          <w:b/>
          <w:lang w:val="es-CO"/>
        </w:rPr>
        <w:t>.</w:t>
      </w:r>
    </w:p>
    <w:p w14:paraId="633B6FCF" w14:textId="77777777" w:rsidR="00236496" w:rsidRPr="00606E51" w:rsidRDefault="00236496" w:rsidP="00236496">
      <w:pPr>
        <w:rPr>
          <w:lang w:val="es-CO"/>
        </w:rPr>
      </w:pPr>
    </w:p>
    <w:p w14:paraId="7A3D40F2" w14:textId="77777777" w:rsidR="009F3E96" w:rsidRDefault="00D878DB" w:rsidP="00D878DB">
      <w:pPr>
        <w:jc w:val="both"/>
        <w:rPr>
          <w:rFonts w:cs="Times New Roman"/>
          <w:lang w:val="es-CO"/>
        </w:rPr>
      </w:pPr>
      <w:r w:rsidRPr="00606E51">
        <w:rPr>
          <w:rFonts w:cs="Times New Roman"/>
          <w:lang w:val="es-CO"/>
        </w:rPr>
        <w:t xml:space="preserve">De manera reiterada, </w:t>
      </w:r>
      <w:r w:rsidRPr="009625DD">
        <w:rPr>
          <w:rFonts w:cs="Times New Roman"/>
          <w:highlight w:val="yellow"/>
          <w:lang w:val="es-CO"/>
        </w:rPr>
        <w:t xml:space="preserve">los entrevistados </w:t>
      </w:r>
      <w:r w:rsidR="0096199B" w:rsidRPr="009625DD">
        <w:rPr>
          <w:rFonts w:cs="Times New Roman"/>
          <w:highlight w:val="yellow"/>
          <w:lang w:val="es-CO"/>
        </w:rPr>
        <w:t>de</w:t>
      </w:r>
      <w:r w:rsidRPr="009625DD">
        <w:rPr>
          <w:rFonts w:cs="Times New Roman"/>
          <w:highlight w:val="yellow"/>
          <w:lang w:val="es-CO"/>
        </w:rPr>
        <w:t xml:space="preserve"> las secretarías de salud </w:t>
      </w:r>
      <w:r w:rsidR="0096199B" w:rsidRPr="009625DD">
        <w:rPr>
          <w:rFonts w:cs="Times New Roman"/>
          <w:highlight w:val="yellow"/>
          <w:lang w:val="es-CO"/>
        </w:rPr>
        <w:t>departamental y municipal,</w:t>
      </w:r>
      <w:r w:rsidRPr="009625DD">
        <w:rPr>
          <w:rFonts w:cs="Times New Roman"/>
          <w:highlight w:val="yellow"/>
          <w:lang w:val="es-CO"/>
        </w:rPr>
        <w:t xml:space="preserve"> las aseguradoras y los prestadores, coincidieron en afirmar que la expedición </w:t>
      </w:r>
      <w:r w:rsidR="0096199B" w:rsidRPr="009625DD">
        <w:rPr>
          <w:rFonts w:cs="Times New Roman"/>
          <w:highlight w:val="yellow"/>
          <w:lang w:val="es-CO"/>
        </w:rPr>
        <w:t xml:space="preserve">de la Resolución mejoró </w:t>
      </w:r>
      <w:r w:rsidR="0098543A" w:rsidRPr="009625DD">
        <w:rPr>
          <w:rFonts w:cs="Times New Roman"/>
          <w:highlight w:val="yellow"/>
          <w:lang w:val="es-CO"/>
        </w:rPr>
        <w:t>los procesos de reporte e implementación</w:t>
      </w:r>
      <w:r w:rsidR="0098543A" w:rsidRPr="00606E51">
        <w:rPr>
          <w:rFonts w:cs="Times New Roman"/>
          <w:lang w:val="es-CO"/>
        </w:rPr>
        <w:t xml:space="preserve"> para </w:t>
      </w:r>
      <w:r w:rsidRPr="00606E51">
        <w:rPr>
          <w:rFonts w:cs="Times New Roman"/>
          <w:lang w:val="es-CO"/>
        </w:rPr>
        <w:t>el manejo de la desnutric</w:t>
      </w:r>
      <w:r w:rsidR="0096199B" w:rsidRPr="00606E51">
        <w:rPr>
          <w:rFonts w:cs="Times New Roman"/>
          <w:lang w:val="es-CO"/>
        </w:rPr>
        <w:t>ión aguda</w:t>
      </w:r>
      <w:r w:rsidR="0098543A" w:rsidRPr="00606E51">
        <w:rPr>
          <w:rFonts w:cs="Times New Roman"/>
          <w:lang w:val="es-CO"/>
        </w:rPr>
        <w:t xml:space="preserve">. Según los resultados de las entrevistas, </w:t>
      </w:r>
      <w:r w:rsidR="009F3E96">
        <w:rPr>
          <w:rFonts w:cs="Times New Roman"/>
          <w:lang w:val="es-CO"/>
        </w:rPr>
        <w:t xml:space="preserve">se reconoce que </w:t>
      </w:r>
      <w:r w:rsidR="0098543A" w:rsidRPr="009625DD">
        <w:rPr>
          <w:rFonts w:cs="Times New Roman"/>
          <w:highlight w:val="yellow"/>
          <w:lang w:val="es-CO"/>
        </w:rPr>
        <w:t>la Resolución</w:t>
      </w:r>
      <w:r w:rsidRPr="009625DD">
        <w:rPr>
          <w:rFonts w:cs="Times New Roman"/>
          <w:highlight w:val="yellow"/>
          <w:lang w:val="es-CO"/>
        </w:rPr>
        <w:t xml:space="preserve"> estableció un</w:t>
      </w:r>
      <w:r w:rsidR="0096199B" w:rsidRPr="009625DD">
        <w:rPr>
          <w:rFonts w:cs="Times New Roman"/>
          <w:highlight w:val="yellow"/>
          <w:lang w:val="es-CO"/>
        </w:rPr>
        <w:t>a R</w:t>
      </w:r>
      <w:r w:rsidR="00997568" w:rsidRPr="009625DD">
        <w:rPr>
          <w:rFonts w:cs="Times New Roman"/>
          <w:highlight w:val="yellow"/>
          <w:lang w:val="es-CO"/>
        </w:rPr>
        <w:t xml:space="preserve">uta clara </w:t>
      </w:r>
      <w:r w:rsidR="0096199B" w:rsidRPr="009625DD">
        <w:rPr>
          <w:rFonts w:cs="Times New Roman"/>
          <w:highlight w:val="yellow"/>
          <w:lang w:val="es-CO"/>
        </w:rPr>
        <w:t>de obligatorio cumplimiento por parte de todas las entidades</w:t>
      </w:r>
      <w:r w:rsidR="0096199B" w:rsidRPr="00606E51">
        <w:rPr>
          <w:rFonts w:cs="Times New Roman"/>
          <w:lang w:val="es-CO"/>
        </w:rPr>
        <w:t xml:space="preserve"> involucradas en la atención de </w:t>
      </w:r>
      <w:r w:rsidR="00A0066F" w:rsidRPr="00606E51">
        <w:rPr>
          <w:rFonts w:cs="Times New Roman"/>
          <w:lang w:val="es-CO"/>
        </w:rPr>
        <w:t xml:space="preserve">los niños y niñas menores de cinco años con </w:t>
      </w:r>
      <w:r w:rsidR="001C7AC0" w:rsidRPr="00606E51">
        <w:rPr>
          <w:rFonts w:cs="Times New Roman"/>
          <w:lang w:val="es-CO"/>
        </w:rPr>
        <w:t xml:space="preserve">desnutrición </w:t>
      </w:r>
      <w:r w:rsidR="00A0066F" w:rsidRPr="00606E51">
        <w:rPr>
          <w:rFonts w:cs="Times New Roman"/>
          <w:lang w:val="es-CO"/>
        </w:rPr>
        <w:t>aguda</w:t>
      </w:r>
      <w:r w:rsidR="0096199B" w:rsidRPr="00606E51">
        <w:rPr>
          <w:rFonts w:cs="Times New Roman"/>
          <w:lang w:val="es-CO"/>
        </w:rPr>
        <w:t xml:space="preserve">. </w:t>
      </w:r>
    </w:p>
    <w:p w14:paraId="1AF18192" w14:textId="77777777" w:rsidR="009F3E96" w:rsidRDefault="009F3E96" w:rsidP="00D878DB">
      <w:pPr>
        <w:jc w:val="both"/>
        <w:rPr>
          <w:rFonts w:cs="Times New Roman"/>
          <w:lang w:val="es-CO"/>
        </w:rPr>
      </w:pPr>
    </w:p>
    <w:p w14:paraId="3E04890B" w14:textId="77777777" w:rsidR="00D878DB" w:rsidRPr="00606E51" w:rsidRDefault="0096199B" w:rsidP="00D878DB">
      <w:pPr>
        <w:jc w:val="both"/>
        <w:rPr>
          <w:rFonts w:cs="Times New Roman"/>
          <w:lang w:val="es-CO"/>
        </w:rPr>
      </w:pPr>
      <w:r w:rsidRPr="00606E51">
        <w:rPr>
          <w:rFonts w:cs="Times New Roman"/>
          <w:lang w:val="es-CO"/>
        </w:rPr>
        <w:t xml:space="preserve">Los funcionarios entrevistados y la revisión documental permiten </w:t>
      </w:r>
      <w:r w:rsidR="009F3E96">
        <w:rPr>
          <w:rFonts w:cs="Times New Roman"/>
          <w:lang w:val="es-CO"/>
        </w:rPr>
        <w:t>evidenciar</w:t>
      </w:r>
      <w:r w:rsidR="0079769E">
        <w:rPr>
          <w:rFonts w:cs="Times New Roman"/>
          <w:lang w:val="es-CO"/>
        </w:rPr>
        <w:t xml:space="preserve"> </w:t>
      </w:r>
      <w:r w:rsidR="009F3E96">
        <w:rPr>
          <w:rFonts w:cs="Times New Roman"/>
          <w:lang w:val="es-CO"/>
        </w:rPr>
        <w:t xml:space="preserve">los siguientes </w:t>
      </w:r>
      <w:r w:rsidR="0079769E">
        <w:rPr>
          <w:rFonts w:cs="Times New Roman"/>
          <w:lang w:val="es-CO"/>
        </w:rPr>
        <w:t>cambios</w:t>
      </w:r>
      <w:r w:rsidRPr="00606E51">
        <w:rPr>
          <w:rFonts w:cs="Times New Roman"/>
          <w:lang w:val="es-CO"/>
        </w:rPr>
        <w:t>:</w:t>
      </w:r>
    </w:p>
    <w:p w14:paraId="4F0A3E04" w14:textId="77777777" w:rsidR="0096199B" w:rsidRPr="00606E51" w:rsidRDefault="0096199B" w:rsidP="00D878DB">
      <w:pPr>
        <w:jc w:val="both"/>
        <w:rPr>
          <w:rFonts w:cs="Times New Roman"/>
          <w:lang w:val="es-CO"/>
        </w:rPr>
      </w:pPr>
    </w:p>
    <w:p w14:paraId="56FA032E" w14:textId="2D7D3A52" w:rsidR="0096199B" w:rsidRPr="00606E51" w:rsidRDefault="0096199B" w:rsidP="0096199B">
      <w:pPr>
        <w:pStyle w:val="ListParagraph"/>
        <w:numPr>
          <w:ilvl w:val="0"/>
          <w:numId w:val="2"/>
        </w:numPr>
        <w:jc w:val="both"/>
        <w:rPr>
          <w:rFonts w:cs="Times New Roman"/>
          <w:lang w:val="es-CO"/>
        </w:rPr>
      </w:pPr>
      <w:r w:rsidRPr="00606E51">
        <w:rPr>
          <w:rFonts w:cs="Times New Roman"/>
          <w:lang w:val="es-CO"/>
        </w:rPr>
        <w:t xml:space="preserve">Mejoras en el reporte de la morbilidad y la mortalidad en </w:t>
      </w:r>
      <w:r w:rsidR="00CD5182">
        <w:rPr>
          <w:rFonts w:cs="Times New Roman"/>
          <w:lang w:val="es-CO"/>
        </w:rPr>
        <w:t>SIVIGILA</w:t>
      </w:r>
      <w:r w:rsidR="00A24634" w:rsidRPr="00606E51">
        <w:rPr>
          <w:rFonts w:cs="Times New Roman"/>
          <w:lang w:val="es-CO"/>
        </w:rPr>
        <w:t>.</w:t>
      </w:r>
      <w:r w:rsidR="00D47D4C" w:rsidRPr="00606E51">
        <w:rPr>
          <w:rFonts w:cs="Times New Roman"/>
          <w:lang w:val="es-CO"/>
        </w:rPr>
        <w:t xml:space="preserve"> </w:t>
      </w:r>
      <w:r w:rsidR="009F3E96">
        <w:rPr>
          <w:rFonts w:cs="Times New Roman"/>
          <w:lang w:val="es-CO"/>
        </w:rPr>
        <w:t xml:space="preserve"> </w:t>
      </w:r>
      <w:r w:rsidR="00D47D4C" w:rsidRPr="00606E51">
        <w:rPr>
          <w:rFonts w:cs="Times New Roman"/>
          <w:lang w:val="es-CO"/>
        </w:rPr>
        <w:t xml:space="preserve">En la sección de contexto de las entrevistas semiestructuradas, cuando se preguntaba las diferencias entre la atención antes y después </w:t>
      </w:r>
      <w:r w:rsidR="00090126" w:rsidRPr="00606E51">
        <w:rPr>
          <w:rFonts w:cs="Times New Roman"/>
          <w:lang w:val="es-CO"/>
        </w:rPr>
        <w:t>de la Resolución, los funcionarios de las secretarías de salud municipal enfatizaban las mejoras en el reporte que trajo la expedición de este acto admninistrativo</w:t>
      </w:r>
      <w:r w:rsidR="00CD5182">
        <w:rPr>
          <w:rStyle w:val="FootnoteReference"/>
          <w:rFonts w:cs="Times New Roman"/>
          <w:lang w:val="es-CO"/>
        </w:rPr>
        <w:footnoteReference w:id="56"/>
      </w:r>
      <w:r w:rsidR="00090126" w:rsidRPr="00606E51">
        <w:rPr>
          <w:rFonts w:cs="Times New Roman"/>
          <w:lang w:val="es-CO"/>
        </w:rPr>
        <w:t xml:space="preserve"> (ver anexo </w:t>
      </w:r>
      <w:r w:rsidR="00090126" w:rsidRPr="00606E51">
        <w:rPr>
          <w:rFonts w:cs="Times New Roman"/>
          <w:lang w:val="es-CO"/>
        </w:rPr>
        <w:fldChar w:fldCharType="begin"/>
      </w:r>
      <w:r w:rsidR="00090126" w:rsidRPr="00606E51">
        <w:rPr>
          <w:rFonts w:cs="Times New Roman"/>
          <w:lang w:val="es-CO"/>
        </w:rPr>
        <w:instrText xml:space="preserve"> REF _Ref485186282 \r \h </w:instrText>
      </w:r>
      <w:r w:rsidR="00090126" w:rsidRPr="00606E51">
        <w:rPr>
          <w:rFonts w:cs="Times New Roman"/>
          <w:lang w:val="es-CO"/>
        </w:rPr>
      </w:r>
      <w:r w:rsidR="00090126" w:rsidRPr="00606E51">
        <w:rPr>
          <w:rFonts w:cs="Times New Roman"/>
          <w:lang w:val="es-CO"/>
        </w:rPr>
        <w:fldChar w:fldCharType="separate"/>
      </w:r>
      <w:r w:rsidR="007C0FEB">
        <w:rPr>
          <w:rFonts w:cs="Times New Roman"/>
          <w:lang w:val="es-CO"/>
        </w:rPr>
        <w:t>7</w:t>
      </w:r>
      <w:r w:rsidR="00090126" w:rsidRPr="00606E51">
        <w:rPr>
          <w:rFonts w:cs="Times New Roman"/>
          <w:lang w:val="es-CO"/>
        </w:rPr>
        <w:t>.3</w:t>
      </w:r>
      <w:r w:rsidR="00090126" w:rsidRPr="00606E51">
        <w:rPr>
          <w:rFonts w:cs="Times New Roman"/>
          <w:lang w:val="es-CO"/>
        </w:rPr>
        <w:fldChar w:fldCharType="end"/>
      </w:r>
      <w:r w:rsidR="00090126" w:rsidRPr="00606E51">
        <w:rPr>
          <w:rFonts w:cs="Times New Roman"/>
          <w:lang w:val="es-CO"/>
        </w:rPr>
        <w:t xml:space="preserve">). </w:t>
      </w:r>
      <w:r w:rsidR="00D47D4C" w:rsidRPr="00606E51">
        <w:rPr>
          <w:rFonts w:cs="Times New Roman"/>
          <w:lang w:val="es-CO"/>
        </w:rPr>
        <w:t xml:space="preserve">  </w:t>
      </w:r>
    </w:p>
    <w:p w14:paraId="5058F2D9" w14:textId="77777777" w:rsidR="00A24634" w:rsidRPr="00606E51" w:rsidRDefault="009F3E96" w:rsidP="0096199B">
      <w:pPr>
        <w:pStyle w:val="ListParagraph"/>
        <w:numPr>
          <w:ilvl w:val="0"/>
          <w:numId w:val="2"/>
        </w:numPr>
        <w:jc w:val="both"/>
        <w:rPr>
          <w:rFonts w:cs="Times New Roman"/>
          <w:lang w:val="es-CO"/>
        </w:rPr>
      </w:pPr>
      <w:r>
        <w:rPr>
          <w:rFonts w:cs="Times New Roman"/>
          <w:lang w:val="es-CO"/>
        </w:rPr>
        <w:t xml:space="preserve">Precisión en las </w:t>
      </w:r>
      <w:r w:rsidR="00A24634" w:rsidRPr="00606E51">
        <w:rPr>
          <w:rFonts w:cs="Times New Roman"/>
          <w:lang w:val="es-CO"/>
        </w:rPr>
        <w:t xml:space="preserve">responsabilidades </w:t>
      </w:r>
      <w:r>
        <w:rPr>
          <w:rFonts w:cs="Times New Roman"/>
          <w:lang w:val="es-CO"/>
        </w:rPr>
        <w:t xml:space="preserve">de </w:t>
      </w:r>
      <w:r w:rsidR="00A24634" w:rsidRPr="00606E51">
        <w:rPr>
          <w:rFonts w:cs="Times New Roman"/>
          <w:lang w:val="es-CO"/>
        </w:rPr>
        <w:t>cada actor del sistema</w:t>
      </w:r>
      <w:r w:rsidR="00090126" w:rsidRPr="00606E51">
        <w:rPr>
          <w:rFonts w:cs="Times New Roman"/>
          <w:lang w:val="es-CO"/>
        </w:rPr>
        <w:t xml:space="preserve"> (ver anexo </w:t>
      </w:r>
      <w:r w:rsidR="00090126" w:rsidRPr="00606E51">
        <w:rPr>
          <w:rFonts w:cs="Times New Roman"/>
          <w:lang w:val="es-CO"/>
        </w:rPr>
        <w:fldChar w:fldCharType="begin"/>
      </w:r>
      <w:r w:rsidR="00090126" w:rsidRPr="00606E51">
        <w:rPr>
          <w:rFonts w:cs="Times New Roman"/>
          <w:lang w:val="es-CO"/>
        </w:rPr>
        <w:instrText xml:space="preserve"> REF _Ref485186282 \r \h </w:instrText>
      </w:r>
      <w:r w:rsidR="00090126" w:rsidRPr="00606E51">
        <w:rPr>
          <w:rFonts w:cs="Times New Roman"/>
          <w:lang w:val="es-CO"/>
        </w:rPr>
      </w:r>
      <w:r w:rsidR="00090126" w:rsidRPr="00606E51">
        <w:rPr>
          <w:rFonts w:cs="Times New Roman"/>
          <w:lang w:val="es-CO"/>
        </w:rPr>
        <w:fldChar w:fldCharType="separate"/>
      </w:r>
      <w:r w:rsidR="007C0FEB">
        <w:rPr>
          <w:rFonts w:cs="Times New Roman"/>
          <w:lang w:val="es-CO"/>
        </w:rPr>
        <w:t>7</w:t>
      </w:r>
      <w:r w:rsidR="00090126" w:rsidRPr="00606E51">
        <w:rPr>
          <w:rFonts w:cs="Times New Roman"/>
          <w:lang w:val="es-CO"/>
        </w:rPr>
        <w:t>.3</w:t>
      </w:r>
      <w:r w:rsidR="00090126" w:rsidRPr="00606E51">
        <w:rPr>
          <w:rFonts w:cs="Times New Roman"/>
          <w:lang w:val="es-CO"/>
        </w:rPr>
        <w:fldChar w:fldCharType="end"/>
      </w:r>
      <w:r w:rsidR="00090126" w:rsidRPr="00606E51">
        <w:rPr>
          <w:rFonts w:cs="Times New Roman"/>
          <w:lang w:val="es-CO"/>
        </w:rPr>
        <w:t>)</w:t>
      </w:r>
      <w:r w:rsidR="00A24634" w:rsidRPr="00606E51">
        <w:rPr>
          <w:rFonts w:cs="Times New Roman"/>
          <w:lang w:val="es-CO"/>
        </w:rPr>
        <w:t>.</w:t>
      </w:r>
    </w:p>
    <w:p w14:paraId="7F694153" w14:textId="77777777" w:rsidR="00391F0B" w:rsidRPr="0079769E" w:rsidRDefault="009F3E96" w:rsidP="0079769E">
      <w:pPr>
        <w:pStyle w:val="ListParagraph"/>
        <w:numPr>
          <w:ilvl w:val="0"/>
          <w:numId w:val="2"/>
        </w:numPr>
        <w:jc w:val="both"/>
        <w:rPr>
          <w:rFonts w:cs="Times New Roman"/>
          <w:lang w:val="es-CO"/>
        </w:rPr>
      </w:pPr>
      <w:r>
        <w:rPr>
          <w:rFonts w:cs="Times New Roman"/>
          <w:lang w:val="es-CO"/>
        </w:rPr>
        <w:t>Disponibilidad de u</w:t>
      </w:r>
      <w:r w:rsidR="00A24634" w:rsidRPr="00606E51">
        <w:rPr>
          <w:rFonts w:cs="Times New Roman"/>
          <w:lang w:val="es-CO"/>
        </w:rPr>
        <w:t xml:space="preserve">n protocolo con indicadores claros para el manejo de la enfermedad y con indicaciones </w:t>
      </w:r>
      <w:r>
        <w:rPr>
          <w:rFonts w:cs="Times New Roman"/>
          <w:lang w:val="es-CO"/>
        </w:rPr>
        <w:t xml:space="preserve">precisas </w:t>
      </w:r>
      <w:r w:rsidR="00A24634" w:rsidRPr="00606E51">
        <w:rPr>
          <w:rFonts w:cs="Times New Roman"/>
          <w:lang w:val="es-CO"/>
        </w:rPr>
        <w:t>para el tratamiento ambulatorio e intrahospitalario.</w:t>
      </w:r>
    </w:p>
    <w:p w14:paraId="03FC0CD6" w14:textId="77777777" w:rsidR="00EA4629" w:rsidRPr="00606E51" w:rsidRDefault="00EA4629" w:rsidP="00EA4629">
      <w:pPr>
        <w:jc w:val="both"/>
        <w:rPr>
          <w:rFonts w:cs="Times New Roman"/>
          <w:lang w:val="es-CO"/>
        </w:rPr>
      </w:pPr>
    </w:p>
    <w:p w14:paraId="77850EA2" w14:textId="77777777" w:rsidR="00EA4629" w:rsidRPr="00606E51" w:rsidRDefault="009F3E96" w:rsidP="00BB1D7B">
      <w:pPr>
        <w:pStyle w:val="ListParagraph"/>
        <w:numPr>
          <w:ilvl w:val="0"/>
          <w:numId w:val="21"/>
        </w:numPr>
        <w:jc w:val="both"/>
        <w:rPr>
          <w:rFonts w:cs="Times New Roman"/>
          <w:b/>
          <w:lang w:val="es-CO"/>
        </w:rPr>
      </w:pPr>
      <w:r>
        <w:rPr>
          <w:rFonts w:cs="Times New Roman"/>
          <w:b/>
          <w:lang w:val="es-CO"/>
        </w:rPr>
        <w:t>Hay una implementación incompleta de l</w:t>
      </w:r>
      <w:r w:rsidR="00AE792B" w:rsidRPr="00606E51">
        <w:rPr>
          <w:rFonts w:cs="Times New Roman"/>
          <w:b/>
          <w:lang w:val="es-CO"/>
        </w:rPr>
        <w:t xml:space="preserve">as </w:t>
      </w:r>
      <w:r w:rsidR="00037ED8" w:rsidRPr="00606E51">
        <w:rPr>
          <w:rFonts w:cs="Times New Roman"/>
          <w:b/>
          <w:lang w:val="es-CO"/>
        </w:rPr>
        <w:t>órdenes</w:t>
      </w:r>
      <w:r w:rsidR="00AE792B" w:rsidRPr="00606E51">
        <w:rPr>
          <w:rFonts w:cs="Times New Roman"/>
          <w:b/>
          <w:lang w:val="es-CO"/>
        </w:rPr>
        <w:t xml:space="preserve"> </w:t>
      </w:r>
      <w:r w:rsidR="00740B48" w:rsidRPr="00606E51">
        <w:rPr>
          <w:rFonts w:cs="Times New Roman"/>
          <w:b/>
          <w:lang w:val="es-CO"/>
        </w:rPr>
        <w:t xml:space="preserve">de </w:t>
      </w:r>
      <w:r w:rsidR="005B4248" w:rsidRPr="00606E51">
        <w:rPr>
          <w:rFonts w:cs="Times New Roman"/>
          <w:b/>
          <w:lang w:val="es-CO"/>
        </w:rPr>
        <w:t xml:space="preserve">la Resolución </w:t>
      </w:r>
      <w:r w:rsidR="00740B48" w:rsidRPr="00606E51">
        <w:rPr>
          <w:rFonts w:cs="Times New Roman"/>
          <w:b/>
          <w:lang w:val="es-CO"/>
        </w:rPr>
        <w:t>para que</w:t>
      </w:r>
      <w:r w:rsidR="00AE792B" w:rsidRPr="00606E51">
        <w:rPr>
          <w:rFonts w:cs="Times New Roman"/>
          <w:b/>
          <w:lang w:val="es-CO"/>
        </w:rPr>
        <w:t xml:space="preserve"> </w:t>
      </w:r>
      <w:r w:rsidR="00C91512" w:rsidRPr="00606E51">
        <w:rPr>
          <w:rFonts w:cs="Times New Roman"/>
          <w:b/>
          <w:lang w:val="es-CO"/>
        </w:rPr>
        <w:t xml:space="preserve">las secretarías de salud </w:t>
      </w:r>
      <w:r w:rsidR="00090126" w:rsidRPr="00606E51">
        <w:rPr>
          <w:rFonts w:cs="Times New Roman"/>
          <w:b/>
          <w:lang w:val="es-CO"/>
        </w:rPr>
        <w:t xml:space="preserve">municipal </w:t>
      </w:r>
      <w:r w:rsidR="004E3243" w:rsidRPr="00606E51">
        <w:rPr>
          <w:rFonts w:cs="Times New Roman"/>
          <w:b/>
          <w:lang w:val="es-CO"/>
        </w:rPr>
        <w:t>y departamental</w:t>
      </w:r>
      <w:r w:rsidR="005B4248" w:rsidRPr="00606E51">
        <w:rPr>
          <w:rFonts w:cs="Times New Roman"/>
          <w:b/>
          <w:lang w:val="es-CO"/>
        </w:rPr>
        <w:t xml:space="preserve"> </w:t>
      </w:r>
      <w:r w:rsidR="000C4C76" w:rsidRPr="00606E51">
        <w:rPr>
          <w:rFonts w:cs="Times New Roman"/>
          <w:b/>
          <w:lang w:val="es-CO"/>
        </w:rPr>
        <w:t xml:space="preserve">vigilen y controlen la prestación de los servicios de salud, </w:t>
      </w:r>
      <w:r>
        <w:rPr>
          <w:rFonts w:cs="Times New Roman"/>
          <w:b/>
          <w:lang w:val="es-CO"/>
        </w:rPr>
        <w:t xml:space="preserve">promueven </w:t>
      </w:r>
      <w:r w:rsidR="00740B48" w:rsidRPr="00606E51">
        <w:rPr>
          <w:rFonts w:cs="Times New Roman"/>
          <w:b/>
          <w:lang w:val="es-CO"/>
        </w:rPr>
        <w:t xml:space="preserve">la coordinación </w:t>
      </w:r>
      <w:r w:rsidR="000C4C76" w:rsidRPr="00606E51">
        <w:rPr>
          <w:rFonts w:cs="Times New Roman"/>
          <w:b/>
          <w:lang w:val="es-CO"/>
        </w:rPr>
        <w:t xml:space="preserve">y articulación intersectorial </w:t>
      </w:r>
      <w:r w:rsidR="00090126" w:rsidRPr="00606E51">
        <w:rPr>
          <w:rFonts w:cs="Times New Roman"/>
          <w:b/>
          <w:lang w:val="es-CO"/>
        </w:rPr>
        <w:t>y gestionen</w:t>
      </w:r>
      <w:r w:rsidR="000C4C76" w:rsidRPr="00606E51">
        <w:rPr>
          <w:rFonts w:cs="Times New Roman"/>
          <w:b/>
          <w:lang w:val="es-CO"/>
        </w:rPr>
        <w:t xml:space="preserve"> los recursos para prevenir la desnutrición. </w:t>
      </w:r>
    </w:p>
    <w:p w14:paraId="468F5317" w14:textId="77777777" w:rsidR="005B4248" w:rsidRPr="00606E51" w:rsidRDefault="005B4248" w:rsidP="005B4248">
      <w:pPr>
        <w:jc w:val="both"/>
        <w:rPr>
          <w:rFonts w:cs="Times New Roman"/>
          <w:b/>
          <w:lang w:val="es-CO"/>
        </w:rPr>
      </w:pPr>
    </w:p>
    <w:p w14:paraId="0373651D" w14:textId="77777777" w:rsidR="005C799B" w:rsidRPr="00606E51" w:rsidRDefault="007D0269" w:rsidP="005B4248">
      <w:pPr>
        <w:jc w:val="both"/>
        <w:rPr>
          <w:rFonts w:cs="Times New Roman"/>
          <w:lang w:val="es-CO"/>
        </w:rPr>
      </w:pPr>
      <w:r w:rsidRPr="00606E51">
        <w:rPr>
          <w:rFonts w:cs="Times New Roman"/>
          <w:lang w:val="es-CO"/>
        </w:rPr>
        <w:t xml:space="preserve">Las entrevistas semi-estructuradas, los grupos de discusión dirigida y la revisión documental permiten observar que </w:t>
      </w:r>
      <w:r w:rsidRPr="00A74E1E">
        <w:rPr>
          <w:rFonts w:cs="Times New Roman"/>
          <w:highlight w:val="yellow"/>
          <w:lang w:val="es-CO"/>
        </w:rPr>
        <w:t>l</w:t>
      </w:r>
      <w:r w:rsidR="002E4FAD" w:rsidRPr="00A74E1E">
        <w:rPr>
          <w:rFonts w:cs="Times New Roman"/>
          <w:highlight w:val="yellow"/>
          <w:lang w:val="es-CO"/>
        </w:rPr>
        <w:t xml:space="preserve">as </w:t>
      </w:r>
      <w:r w:rsidR="00C41E54" w:rsidRPr="00A74E1E">
        <w:rPr>
          <w:rFonts w:cs="Times New Roman"/>
          <w:highlight w:val="yellow"/>
          <w:lang w:val="es-CO"/>
        </w:rPr>
        <w:t>órdenes</w:t>
      </w:r>
      <w:r w:rsidR="002E4FAD" w:rsidRPr="00A74E1E">
        <w:rPr>
          <w:rFonts w:cs="Times New Roman"/>
          <w:highlight w:val="yellow"/>
          <w:lang w:val="es-CO"/>
        </w:rPr>
        <w:t xml:space="preserve"> que imparte la Resolución </w:t>
      </w:r>
      <w:r w:rsidR="00DD613D" w:rsidRPr="00A74E1E">
        <w:rPr>
          <w:rFonts w:cs="Times New Roman"/>
          <w:highlight w:val="yellow"/>
          <w:lang w:val="es-CO"/>
        </w:rPr>
        <w:t>a cada actor del sistema de salud de los municipios objeto de esta evaluació</w:t>
      </w:r>
      <w:r w:rsidR="00493D51" w:rsidRPr="00A74E1E">
        <w:rPr>
          <w:rFonts w:cs="Times New Roman"/>
          <w:highlight w:val="yellow"/>
          <w:lang w:val="es-CO"/>
        </w:rPr>
        <w:t xml:space="preserve">n </w:t>
      </w:r>
      <w:r w:rsidRPr="00A74E1E">
        <w:rPr>
          <w:rFonts w:cs="Times New Roman"/>
          <w:highlight w:val="yellow"/>
          <w:lang w:val="es-CO"/>
        </w:rPr>
        <w:t xml:space="preserve">no han sido </w:t>
      </w:r>
      <w:r w:rsidR="009F3E96" w:rsidRPr="00A74E1E">
        <w:rPr>
          <w:rFonts w:cs="Times New Roman"/>
          <w:highlight w:val="yellow"/>
          <w:lang w:val="es-CO"/>
        </w:rPr>
        <w:t xml:space="preserve">ejecutadas </w:t>
      </w:r>
      <w:r w:rsidRPr="00A74E1E">
        <w:rPr>
          <w:rFonts w:cs="Times New Roman"/>
          <w:highlight w:val="yellow"/>
          <w:lang w:val="es-CO"/>
        </w:rPr>
        <w:t>completamente</w:t>
      </w:r>
      <w:r w:rsidRPr="00606E51">
        <w:rPr>
          <w:rFonts w:cs="Times New Roman"/>
          <w:lang w:val="es-CO"/>
        </w:rPr>
        <w:t xml:space="preserve">. </w:t>
      </w:r>
      <w:r w:rsidR="009F3E96">
        <w:rPr>
          <w:rFonts w:cs="Times New Roman"/>
          <w:lang w:val="es-CO"/>
        </w:rPr>
        <w:t xml:space="preserve"> </w:t>
      </w:r>
      <w:r w:rsidR="005C799B" w:rsidRPr="00606E51">
        <w:rPr>
          <w:rFonts w:cs="Times New Roman"/>
          <w:lang w:val="es-CO"/>
        </w:rPr>
        <w:t xml:space="preserve">En efecto, al revisar cada una de las </w:t>
      </w:r>
      <w:r w:rsidR="0051608B" w:rsidRPr="00606E51">
        <w:rPr>
          <w:rFonts w:cs="Times New Roman"/>
          <w:lang w:val="es-CO"/>
        </w:rPr>
        <w:t>órdenes</w:t>
      </w:r>
      <w:r w:rsidR="005C799B" w:rsidRPr="00606E51">
        <w:rPr>
          <w:rFonts w:cs="Times New Roman"/>
          <w:lang w:val="es-CO"/>
        </w:rPr>
        <w:t xml:space="preserve"> se encuentra:</w:t>
      </w:r>
    </w:p>
    <w:p w14:paraId="7CFAAF25" w14:textId="77777777" w:rsidR="005C799B" w:rsidRPr="00606E51" w:rsidRDefault="005C799B" w:rsidP="005B4248">
      <w:pPr>
        <w:jc w:val="both"/>
        <w:rPr>
          <w:rFonts w:cs="Times New Roman"/>
          <w:lang w:val="es-CO"/>
        </w:rPr>
      </w:pPr>
    </w:p>
    <w:p w14:paraId="381E25B0" w14:textId="77777777" w:rsidR="00070E9A" w:rsidRPr="00606E51" w:rsidRDefault="00070E9A" w:rsidP="005C799B">
      <w:pPr>
        <w:pStyle w:val="ListParagraph"/>
        <w:numPr>
          <w:ilvl w:val="0"/>
          <w:numId w:val="2"/>
        </w:numPr>
        <w:jc w:val="both"/>
        <w:rPr>
          <w:rFonts w:cs="Times New Roman"/>
          <w:lang w:val="es-CO"/>
        </w:rPr>
      </w:pPr>
      <w:r w:rsidRPr="00606E51">
        <w:rPr>
          <w:rFonts w:cs="Times New Roman"/>
          <w:lang w:val="es-CO"/>
        </w:rPr>
        <w:t xml:space="preserve">Los funcionarios entrevistados informan que </w:t>
      </w:r>
      <w:r w:rsidRPr="00A74E1E">
        <w:rPr>
          <w:rFonts w:cs="Times New Roman"/>
          <w:highlight w:val="yellow"/>
          <w:lang w:val="es-CO"/>
        </w:rPr>
        <w:t>n</w:t>
      </w:r>
      <w:r w:rsidR="005C799B" w:rsidRPr="00A74E1E">
        <w:rPr>
          <w:rFonts w:cs="Times New Roman"/>
          <w:highlight w:val="yellow"/>
          <w:lang w:val="es-CO"/>
        </w:rPr>
        <w:t>o funcionan los mecanismos de coordinación</w:t>
      </w:r>
      <w:r w:rsidR="005C799B" w:rsidRPr="00606E51">
        <w:rPr>
          <w:rFonts w:cs="Times New Roman"/>
          <w:lang w:val="es-CO"/>
        </w:rPr>
        <w:t xml:space="preserve"> </w:t>
      </w:r>
      <w:r w:rsidR="00C91512" w:rsidRPr="00606E51">
        <w:rPr>
          <w:rFonts w:cs="Times New Roman"/>
          <w:lang w:val="es-CO"/>
        </w:rPr>
        <w:t xml:space="preserve">ordenados por la Ley 1438, </w:t>
      </w:r>
      <w:r w:rsidRPr="00606E51">
        <w:rPr>
          <w:rFonts w:cs="Times New Roman"/>
          <w:lang w:val="es-CO"/>
        </w:rPr>
        <w:t>esto es</w:t>
      </w:r>
      <w:r w:rsidR="0034742F" w:rsidRPr="00606E51">
        <w:rPr>
          <w:rFonts w:cs="Times New Roman"/>
          <w:lang w:val="es-CO"/>
        </w:rPr>
        <w:t>,</w:t>
      </w:r>
      <w:r w:rsidRPr="00606E51">
        <w:rPr>
          <w:rFonts w:cs="Times New Roman"/>
          <w:lang w:val="es-CO"/>
        </w:rPr>
        <w:t xml:space="preserve"> </w:t>
      </w:r>
      <w:r w:rsidR="00C91512" w:rsidRPr="00606E51">
        <w:rPr>
          <w:rFonts w:cs="Times New Roman"/>
          <w:lang w:val="es-CO"/>
        </w:rPr>
        <w:t>la comisión intersectorial de salud pública</w:t>
      </w:r>
      <w:r w:rsidR="00C91512" w:rsidRPr="00606E51">
        <w:rPr>
          <w:rStyle w:val="FootnoteReference"/>
          <w:rFonts w:cs="Times New Roman"/>
          <w:lang w:val="es-CO"/>
        </w:rPr>
        <w:footnoteReference w:id="57"/>
      </w:r>
      <w:r w:rsidR="00C91512" w:rsidRPr="00606E51">
        <w:rPr>
          <w:rFonts w:cs="Times New Roman"/>
          <w:lang w:val="es-CO"/>
        </w:rPr>
        <w:t xml:space="preserve">. </w:t>
      </w:r>
      <w:r w:rsidRPr="00606E51">
        <w:rPr>
          <w:rFonts w:cs="Times New Roman"/>
          <w:lang w:val="es-CO"/>
        </w:rPr>
        <w:t xml:space="preserve"> Este mecanismo de coordinación que debería ser promovido por la secretaria de salud departamental, sólo funcionó una vez desde que se expidió la Resolución</w:t>
      </w:r>
      <w:r w:rsidR="007769A3" w:rsidRPr="00606E51">
        <w:rPr>
          <w:rStyle w:val="FootnoteReference"/>
          <w:rFonts w:cs="Times New Roman"/>
          <w:lang w:val="es-CO"/>
        </w:rPr>
        <w:footnoteReference w:id="58"/>
      </w:r>
      <w:r w:rsidR="00FB305B" w:rsidRPr="00606E51">
        <w:rPr>
          <w:rFonts w:cs="Times New Roman"/>
          <w:lang w:val="es-CO"/>
        </w:rPr>
        <w:t xml:space="preserve">. </w:t>
      </w:r>
    </w:p>
    <w:p w14:paraId="7798A587" w14:textId="77777777" w:rsidR="00FB305B" w:rsidRPr="00606E51" w:rsidRDefault="00FB305B" w:rsidP="00FB305B">
      <w:pPr>
        <w:pStyle w:val="ListParagraph"/>
        <w:ind w:left="360"/>
        <w:jc w:val="both"/>
        <w:rPr>
          <w:rFonts w:cs="Times New Roman"/>
          <w:lang w:val="es-CO"/>
        </w:rPr>
      </w:pPr>
    </w:p>
    <w:p w14:paraId="36132F05" w14:textId="77777777" w:rsidR="000C675E" w:rsidRPr="00606E51" w:rsidRDefault="0027146D" w:rsidP="000C675E">
      <w:pPr>
        <w:pStyle w:val="ListParagraph"/>
        <w:numPr>
          <w:ilvl w:val="0"/>
          <w:numId w:val="2"/>
        </w:numPr>
        <w:jc w:val="both"/>
        <w:rPr>
          <w:lang w:val="es-CO"/>
        </w:rPr>
      </w:pPr>
      <w:r w:rsidRPr="00606E51">
        <w:rPr>
          <w:rFonts w:cs="Times New Roman"/>
          <w:lang w:val="es-CO"/>
        </w:rPr>
        <w:t>La resolución recomienda la</w:t>
      </w:r>
      <w:r w:rsidR="0098543A" w:rsidRPr="00606E51">
        <w:rPr>
          <w:rFonts w:cs="Times New Roman"/>
          <w:lang w:val="es-CO"/>
        </w:rPr>
        <w:t xml:space="preserve"> Comisión intersectorial de seguridad alimentaria y nutricional (</w:t>
      </w:r>
      <w:r w:rsidRPr="00606E51">
        <w:rPr>
          <w:rFonts w:cs="Times New Roman"/>
          <w:lang w:val="es-CO"/>
        </w:rPr>
        <w:t>CISAN</w:t>
      </w:r>
      <w:r w:rsidR="0098543A" w:rsidRPr="00606E51">
        <w:rPr>
          <w:rFonts w:cs="Times New Roman"/>
          <w:lang w:val="es-CO"/>
        </w:rPr>
        <w:t>)</w:t>
      </w:r>
      <w:r w:rsidRPr="00606E51">
        <w:rPr>
          <w:rFonts w:cs="Times New Roman"/>
          <w:lang w:val="es-CO"/>
        </w:rPr>
        <w:t xml:space="preserve"> </w:t>
      </w:r>
      <w:r w:rsidR="000C675E" w:rsidRPr="00606E51">
        <w:rPr>
          <w:rFonts w:cs="Times New Roman"/>
          <w:lang w:val="es-CO"/>
        </w:rPr>
        <w:t>para que convoque y de esta manera “…</w:t>
      </w:r>
      <w:r w:rsidR="000C675E" w:rsidRPr="00606E51">
        <w:rPr>
          <w:lang w:val="es-CO"/>
        </w:rPr>
        <w:t xml:space="preserve">las </w:t>
      </w:r>
      <w:r w:rsidR="000C675E" w:rsidRPr="00606E51">
        <w:rPr>
          <w:rFonts w:cs="Times New Roman"/>
          <w:lang w:val="es-CO"/>
        </w:rPr>
        <w:t>entidades integrantes deben generar y articular acciones y fortalecer las capacidades institucionales territoriales o</w:t>
      </w:r>
      <w:r w:rsidR="006F30CE" w:rsidRPr="00606E51">
        <w:rPr>
          <w:rFonts w:cs="Times New Roman"/>
          <w:lang w:val="es-CO"/>
        </w:rPr>
        <w:t>rientadas a prevenir y atender</w:t>
      </w:r>
      <w:r w:rsidR="000C675E" w:rsidRPr="00606E51">
        <w:rPr>
          <w:rFonts w:cs="Times New Roman"/>
          <w:lang w:val="es-CO"/>
        </w:rPr>
        <w:t>a problemática de la desnutrición aguda en niños y niñas menores de cinco (5) años”. Todas las entrevistas muestran que ni la administración departamental, ni las instancias municipales han empleado este mecanismo de coordinación</w:t>
      </w:r>
      <w:r w:rsidR="00090126" w:rsidRPr="00606E51">
        <w:rPr>
          <w:rFonts w:cs="Times New Roman"/>
          <w:lang w:val="es-CO"/>
        </w:rPr>
        <w:t xml:space="preserve"> (ver anexo </w:t>
      </w:r>
      <w:r w:rsidR="00090126" w:rsidRPr="00606E51">
        <w:rPr>
          <w:rFonts w:cs="Times New Roman"/>
          <w:lang w:val="es-CO"/>
        </w:rPr>
        <w:fldChar w:fldCharType="begin"/>
      </w:r>
      <w:r w:rsidR="00090126" w:rsidRPr="00606E51">
        <w:rPr>
          <w:rFonts w:cs="Times New Roman"/>
          <w:lang w:val="es-CO"/>
        </w:rPr>
        <w:instrText xml:space="preserve"> REF _Ref485186282 \r \h </w:instrText>
      </w:r>
      <w:r w:rsidR="00090126" w:rsidRPr="00606E51">
        <w:rPr>
          <w:rFonts w:cs="Times New Roman"/>
          <w:lang w:val="es-CO"/>
        </w:rPr>
      </w:r>
      <w:r w:rsidR="00090126" w:rsidRPr="00606E51">
        <w:rPr>
          <w:rFonts w:cs="Times New Roman"/>
          <w:lang w:val="es-CO"/>
        </w:rPr>
        <w:fldChar w:fldCharType="separate"/>
      </w:r>
      <w:r w:rsidR="007C0FEB">
        <w:rPr>
          <w:rFonts w:cs="Times New Roman"/>
          <w:lang w:val="es-CO"/>
        </w:rPr>
        <w:t>7</w:t>
      </w:r>
      <w:r w:rsidR="00090126" w:rsidRPr="00606E51">
        <w:rPr>
          <w:rFonts w:cs="Times New Roman"/>
          <w:lang w:val="es-CO"/>
        </w:rPr>
        <w:t>.3</w:t>
      </w:r>
      <w:r w:rsidR="00090126" w:rsidRPr="00606E51">
        <w:rPr>
          <w:rFonts w:cs="Times New Roman"/>
          <w:lang w:val="es-CO"/>
        </w:rPr>
        <w:fldChar w:fldCharType="end"/>
      </w:r>
      <w:r w:rsidR="00090126" w:rsidRPr="00606E51">
        <w:rPr>
          <w:rFonts w:cs="Times New Roman"/>
          <w:lang w:val="es-CO"/>
        </w:rPr>
        <w:t>)</w:t>
      </w:r>
      <w:r w:rsidR="000C675E" w:rsidRPr="00606E51">
        <w:rPr>
          <w:rFonts w:cs="Times New Roman"/>
          <w:lang w:val="es-CO"/>
        </w:rPr>
        <w:t xml:space="preserve">. </w:t>
      </w:r>
    </w:p>
    <w:p w14:paraId="18FF99C7" w14:textId="77777777" w:rsidR="00FB305B" w:rsidRPr="00606E51" w:rsidRDefault="00FB305B" w:rsidP="00FB305B">
      <w:pPr>
        <w:jc w:val="both"/>
        <w:rPr>
          <w:lang w:val="es-CO"/>
        </w:rPr>
      </w:pPr>
    </w:p>
    <w:p w14:paraId="20BB1B4C" w14:textId="77777777" w:rsidR="00F6652E" w:rsidRPr="00606E51" w:rsidRDefault="00FB305B" w:rsidP="00F6652E">
      <w:pPr>
        <w:pStyle w:val="ListParagraph"/>
        <w:numPr>
          <w:ilvl w:val="0"/>
          <w:numId w:val="2"/>
        </w:numPr>
        <w:jc w:val="both"/>
        <w:rPr>
          <w:lang w:val="es-CO"/>
        </w:rPr>
      </w:pPr>
      <w:r w:rsidRPr="00606E51">
        <w:rPr>
          <w:lang w:val="es-CO"/>
        </w:rPr>
        <w:t xml:space="preserve">Todos los funcionarios entrevistados informan que tanto los planes de desarrollo como los planes de acción sectorial contienen metas para </w:t>
      </w:r>
      <w:r w:rsidR="00F6652E" w:rsidRPr="00606E51">
        <w:rPr>
          <w:lang w:val="es-CO"/>
        </w:rPr>
        <w:t xml:space="preserve">mejorar los indicadores de desnutrición, sin embargo, todos informan que </w:t>
      </w:r>
      <w:r w:rsidR="00F6652E" w:rsidRPr="00A74E1E">
        <w:rPr>
          <w:highlight w:val="yellow"/>
          <w:lang w:val="es-CO"/>
        </w:rPr>
        <w:t>los recursos no son suficientes</w:t>
      </w:r>
      <w:r w:rsidR="00090126" w:rsidRPr="00606E51">
        <w:rPr>
          <w:lang w:val="es-CO"/>
        </w:rPr>
        <w:t xml:space="preserve"> </w:t>
      </w:r>
      <w:r w:rsidR="00090126" w:rsidRPr="00606E51">
        <w:rPr>
          <w:rFonts w:cs="Times New Roman"/>
          <w:lang w:val="es-CO"/>
        </w:rPr>
        <w:t xml:space="preserve">(ver anexo </w:t>
      </w:r>
      <w:r w:rsidR="00090126" w:rsidRPr="00606E51">
        <w:rPr>
          <w:rFonts w:cs="Times New Roman"/>
          <w:lang w:val="es-CO"/>
        </w:rPr>
        <w:fldChar w:fldCharType="begin"/>
      </w:r>
      <w:r w:rsidR="00090126" w:rsidRPr="00606E51">
        <w:rPr>
          <w:rFonts w:cs="Times New Roman"/>
          <w:lang w:val="es-CO"/>
        </w:rPr>
        <w:instrText xml:space="preserve"> REF _Ref485186282 \r \h </w:instrText>
      </w:r>
      <w:r w:rsidR="00090126" w:rsidRPr="00606E51">
        <w:rPr>
          <w:rFonts w:cs="Times New Roman"/>
          <w:lang w:val="es-CO"/>
        </w:rPr>
      </w:r>
      <w:r w:rsidR="00090126" w:rsidRPr="00606E51">
        <w:rPr>
          <w:rFonts w:cs="Times New Roman"/>
          <w:lang w:val="es-CO"/>
        </w:rPr>
        <w:fldChar w:fldCharType="separate"/>
      </w:r>
      <w:r w:rsidR="007C0FEB">
        <w:rPr>
          <w:rFonts w:cs="Times New Roman"/>
          <w:lang w:val="es-CO"/>
        </w:rPr>
        <w:t>7</w:t>
      </w:r>
      <w:r w:rsidR="00090126" w:rsidRPr="00606E51">
        <w:rPr>
          <w:rFonts w:cs="Times New Roman"/>
          <w:lang w:val="es-CO"/>
        </w:rPr>
        <w:t>.3</w:t>
      </w:r>
      <w:r w:rsidR="00090126" w:rsidRPr="00606E51">
        <w:rPr>
          <w:rFonts w:cs="Times New Roman"/>
          <w:lang w:val="es-CO"/>
        </w:rPr>
        <w:fldChar w:fldCharType="end"/>
      </w:r>
      <w:r w:rsidR="00090126" w:rsidRPr="00606E51">
        <w:rPr>
          <w:rFonts w:cs="Times New Roman"/>
          <w:lang w:val="es-CO"/>
        </w:rPr>
        <w:t>)</w:t>
      </w:r>
      <w:r w:rsidR="00F6652E" w:rsidRPr="00606E51">
        <w:rPr>
          <w:lang w:val="es-CO"/>
        </w:rPr>
        <w:t>.</w:t>
      </w:r>
    </w:p>
    <w:p w14:paraId="4512E855" w14:textId="77777777" w:rsidR="00F6652E" w:rsidRPr="00606E51" w:rsidRDefault="00F6652E" w:rsidP="00F6652E">
      <w:pPr>
        <w:jc w:val="both"/>
        <w:rPr>
          <w:lang w:val="es-CO"/>
        </w:rPr>
      </w:pPr>
    </w:p>
    <w:p w14:paraId="0167E7CA" w14:textId="77777777" w:rsidR="00F6652E" w:rsidRPr="00606E51" w:rsidRDefault="00305210" w:rsidP="00F6652E">
      <w:pPr>
        <w:pStyle w:val="ListParagraph"/>
        <w:numPr>
          <w:ilvl w:val="0"/>
          <w:numId w:val="2"/>
        </w:numPr>
        <w:jc w:val="both"/>
        <w:rPr>
          <w:lang w:val="es-CO"/>
        </w:rPr>
      </w:pPr>
      <w:r w:rsidRPr="00606E51">
        <w:rPr>
          <w:lang w:val="es-CO"/>
        </w:rPr>
        <w:t xml:space="preserve">Aunque todas las secretarías de salud de los municipios objeto de esta evaluación informan que conformaron mesas de trabajo con los aseguradores y los prestadores y que han hecho seguimiento a las quejas de los usuarios visitando </w:t>
      </w:r>
      <w:r w:rsidR="008854E8" w:rsidRPr="00606E51">
        <w:rPr>
          <w:lang w:val="es-CO"/>
        </w:rPr>
        <w:t xml:space="preserve">a las </w:t>
      </w:r>
      <w:r w:rsidRPr="00606E51">
        <w:rPr>
          <w:lang w:val="es-CO"/>
        </w:rPr>
        <w:t xml:space="preserve">EAPB e IPS para verificar la mejoría en la atención a partir de planes de mejoramiento, todos informan que estos </w:t>
      </w:r>
      <w:r w:rsidRPr="00A74E1E">
        <w:rPr>
          <w:highlight w:val="yellow"/>
          <w:lang w:val="es-CO"/>
        </w:rPr>
        <w:t xml:space="preserve">esfuerzos son limitados por </w:t>
      </w:r>
      <w:r w:rsidR="008854E8" w:rsidRPr="00A74E1E">
        <w:rPr>
          <w:highlight w:val="yellow"/>
          <w:lang w:val="es-CO"/>
        </w:rPr>
        <w:t>falta del presupuesto adecuad</w:t>
      </w:r>
      <w:r w:rsidR="008854E8" w:rsidRPr="00606E51">
        <w:rPr>
          <w:lang w:val="es-CO"/>
        </w:rPr>
        <w:t>o</w:t>
      </w:r>
      <w:r w:rsidR="00090126" w:rsidRPr="00606E51">
        <w:rPr>
          <w:lang w:val="es-CO"/>
        </w:rPr>
        <w:t xml:space="preserve"> </w:t>
      </w:r>
      <w:r w:rsidR="00090126" w:rsidRPr="00606E51">
        <w:rPr>
          <w:rFonts w:cs="Times New Roman"/>
          <w:lang w:val="es-CO"/>
        </w:rPr>
        <w:t xml:space="preserve">(ver anexo </w:t>
      </w:r>
      <w:r w:rsidR="00090126" w:rsidRPr="00606E51">
        <w:rPr>
          <w:rFonts w:cs="Times New Roman"/>
          <w:lang w:val="es-CO"/>
        </w:rPr>
        <w:fldChar w:fldCharType="begin"/>
      </w:r>
      <w:r w:rsidR="00090126" w:rsidRPr="00606E51">
        <w:rPr>
          <w:rFonts w:cs="Times New Roman"/>
          <w:lang w:val="es-CO"/>
        </w:rPr>
        <w:instrText xml:space="preserve"> REF _Ref485186282 \r \h </w:instrText>
      </w:r>
      <w:r w:rsidR="00090126" w:rsidRPr="00606E51">
        <w:rPr>
          <w:rFonts w:cs="Times New Roman"/>
          <w:lang w:val="es-CO"/>
        </w:rPr>
      </w:r>
      <w:r w:rsidR="00090126" w:rsidRPr="00606E51">
        <w:rPr>
          <w:rFonts w:cs="Times New Roman"/>
          <w:lang w:val="es-CO"/>
        </w:rPr>
        <w:fldChar w:fldCharType="separate"/>
      </w:r>
      <w:r w:rsidR="007C0FEB">
        <w:rPr>
          <w:rFonts w:cs="Times New Roman"/>
          <w:lang w:val="es-CO"/>
        </w:rPr>
        <w:t>7</w:t>
      </w:r>
      <w:r w:rsidR="00090126" w:rsidRPr="00606E51">
        <w:rPr>
          <w:rFonts w:cs="Times New Roman"/>
          <w:lang w:val="es-CO"/>
        </w:rPr>
        <w:t>.3</w:t>
      </w:r>
      <w:r w:rsidR="00090126" w:rsidRPr="00606E51">
        <w:rPr>
          <w:rFonts w:cs="Times New Roman"/>
          <w:lang w:val="es-CO"/>
        </w:rPr>
        <w:fldChar w:fldCharType="end"/>
      </w:r>
      <w:r w:rsidR="00090126" w:rsidRPr="00606E51">
        <w:rPr>
          <w:rFonts w:cs="Times New Roman"/>
          <w:lang w:val="es-CO"/>
        </w:rPr>
        <w:t>)</w:t>
      </w:r>
      <w:r w:rsidR="008854E8" w:rsidRPr="00606E51">
        <w:rPr>
          <w:lang w:val="es-CO"/>
        </w:rPr>
        <w:t>.</w:t>
      </w:r>
    </w:p>
    <w:p w14:paraId="0A33DADF" w14:textId="77777777" w:rsidR="005F41C8" w:rsidRPr="00606E51" w:rsidRDefault="005F41C8" w:rsidP="005F41C8">
      <w:pPr>
        <w:jc w:val="both"/>
        <w:rPr>
          <w:lang w:val="es-CO"/>
        </w:rPr>
      </w:pPr>
    </w:p>
    <w:p w14:paraId="0260501E" w14:textId="77777777" w:rsidR="009B0CF1" w:rsidRPr="00606E51" w:rsidRDefault="009B0CF1" w:rsidP="009B0CF1">
      <w:pPr>
        <w:jc w:val="both"/>
        <w:rPr>
          <w:rFonts w:cs="Times New Roman"/>
          <w:lang w:val="es-CO"/>
        </w:rPr>
      </w:pPr>
    </w:p>
    <w:p w14:paraId="43EE493B" w14:textId="77777777" w:rsidR="005B4248" w:rsidRPr="00606E51" w:rsidRDefault="00785905" w:rsidP="00BB1D7B">
      <w:pPr>
        <w:pStyle w:val="ListParagraph"/>
        <w:numPr>
          <w:ilvl w:val="0"/>
          <w:numId w:val="21"/>
        </w:numPr>
        <w:jc w:val="both"/>
        <w:rPr>
          <w:rFonts w:cs="Times New Roman"/>
          <w:lang w:val="es-CO"/>
        </w:rPr>
      </w:pPr>
      <w:r w:rsidRPr="00606E51">
        <w:rPr>
          <w:b/>
          <w:lang w:val="es-CO"/>
        </w:rPr>
        <w:t xml:space="preserve">La </w:t>
      </w:r>
      <w:r w:rsidR="001F5A11" w:rsidRPr="00CC7D6C">
        <w:rPr>
          <w:b/>
          <w:highlight w:val="yellow"/>
          <w:lang w:val="es-CO"/>
        </w:rPr>
        <w:t xml:space="preserve">mejor </w:t>
      </w:r>
      <w:r w:rsidRPr="00CC7D6C">
        <w:rPr>
          <w:b/>
          <w:highlight w:val="yellow"/>
          <w:lang w:val="es-CO"/>
        </w:rPr>
        <w:t>atención</w:t>
      </w:r>
      <w:r w:rsidRPr="00606E51">
        <w:rPr>
          <w:b/>
          <w:lang w:val="es-CO"/>
        </w:rPr>
        <w:t xml:space="preserve"> ambulatoria </w:t>
      </w:r>
      <w:r w:rsidR="009B0CF1" w:rsidRPr="00606E51">
        <w:rPr>
          <w:b/>
          <w:lang w:val="es-CO"/>
        </w:rPr>
        <w:t xml:space="preserve">para los niños y niñas menores de cinco años </w:t>
      </w:r>
      <w:r w:rsidR="004E3243" w:rsidRPr="00606E51">
        <w:rPr>
          <w:b/>
          <w:lang w:val="es-CO"/>
        </w:rPr>
        <w:t xml:space="preserve">diagnosticados </w:t>
      </w:r>
      <w:r w:rsidR="009B0CF1" w:rsidRPr="00606E51">
        <w:rPr>
          <w:b/>
          <w:lang w:val="es-CO"/>
        </w:rPr>
        <w:t>con DNT</w:t>
      </w:r>
      <w:r w:rsidR="001F5A11" w:rsidRPr="00606E51">
        <w:rPr>
          <w:b/>
          <w:lang w:val="es-CO"/>
        </w:rPr>
        <w:t xml:space="preserve"> aguda</w:t>
      </w:r>
      <w:r w:rsidR="009B0CF1" w:rsidRPr="00606E51">
        <w:rPr>
          <w:b/>
          <w:lang w:val="es-CO"/>
        </w:rPr>
        <w:t xml:space="preserve"> en las zonas rurales dispersas de los municipios objeto de esta evaluación fue la </w:t>
      </w:r>
      <w:r w:rsidR="004E3243" w:rsidRPr="00CC7D6C">
        <w:rPr>
          <w:b/>
          <w:highlight w:val="yellow"/>
          <w:lang w:val="es-CO"/>
        </w:rPr>
        <w:t>prestada por</w:t>
      </w:r>
      <w:r w:rsidR="009B0CF1" w:rsidRPr="00CC7D6C">
        <w:rPr>
          <w:b/>
          <w:highlight w:val="yellow"/>
          <w:lang w:val="es-CO"/>
        </w:rPr>
        <w:t xml:space="preserve"> los </w:t>
      </w:r>
      <w:r w:rsidR="001F5A11" w:rsidRPr="00CC7D6C">
        <w:rPr>
          <w:b/>
          <w:highlight w:val="yellow"/>
          <w:lang w:val="es-CO"/>
        </w:rPr>
        <w:t>grupos extramurales</w:t>
      </w:r>
      <w:r w:rsidR="001F5A11" w:rsidRPr="00606E51">
        <w:rPr>
          <w:b/>
          <w:lang w:val="es-CO"/>
        </w:rPr>
        <w:t xml:space="preserve"> del Programa de salud y nutrición </w:t>
      </w:r>
      <w:r w:rsidR="009B0CF1" w:rsidRPr="00606E51">
        <w:rPr>
          <w:b/>
          <w:lang w:val="es-CO"/>
        </w:rPr>
        <w:t>del MSPS.</w:t>
      </w:r>
    </w:p>
    <w:p w14:paraId="277C32B8" w14:textId="77777777" w:rsidR="00435EDA" w:rsidRPr="00606E51" w:rsidRDefault="00435EDA" w:rsidP="00435EDA">
      <w:pPr>
        <w:jc w:val="both"/>
        <w:rPr>
          <w:rFonts w:cs="Times New Roman"/>
          <w:b/>
          <w:lang w:val="es-CO"/>
        </w:rPr>
      </w:pPr>
    </w:p>
    <w:p w14:paraId="62B27A35" w14:textId="77777777" w:rsidR="0051608B" w:rsidRPr="00606E51" w:rsidRDefault="00382423" w:rsidP="00435EDA">
      <w:pPr>
        <w:jc w:val="both"/>
        <w:rPr>
          <w:rFonts w:cs="Times New Roman"/>
          <w:lang w:val="es-CO"/>
        </w:rPr>
      </w:pPr>
      <w:r w:rsidRPr="00606E51">
        <w:rPr>
          <w:rFonts w:cs="Times New Roman"/>
          <w:lang w:val="es-CO"/>
        </w:rPr>
        <w:t>Las entrevistas y los datos de cost</w:t>
      </w:r>
      <w:r w:rsidR="00990D13" w:rsidRPr="00606E51">
        <w:rPr>
          <w:rFonts w:cs="Times New Roman"/>
          <w:lang w:val="es-CO"/>
        </w:rPr>
        <w:t xml:space="preserve">o efectividad muestran que </w:t>
      </w:r>
      <w:r w:rsidR="002C0EC5" w:rsidRPr="00606E51">
        <w:rPr>
          <w:rFonts w:cs="Times New Roman"/>
          <w:lang w:val="es-CO"/>
        </w:rPr>
        <w:t>los equipos extramurales de este Programa contaban</w:t>
      </w:r>
      <w:r w:rsidRPr="00606E51">
        <w:rPr>
          <w:rFonts w:cs="Times New Roman"/>
          <w:lang w:val="es-CO"/>
        </w:rPr>
        <w:t xml:space="preserve"> con el </w:t>
      </w:r>
      <w:r w:rsidRPr="00CC7D6C">
        <w:rPr>
          <w:rFonts w:cs="Times New Roman"/>
          <w:highlight w:val="yellow"/>
          <w:lang w:val="es-CO"/>
        </w:rPr>
        <w:t>equipo humano</w:t>
      </w:r>
      <w:r w:rsidR="00990D13" w:rsidRPr="00CC7D6C">
        <w:rPr>
          <w:rFonts w:cs="Times New Roman"/>
          <w:highlight w:val="yellow"/>
          <w:lang w:val="es-CO"/>
        </w:rPr>
        <w:t xml:space="preserve"> adecuado</w:t>
      </w:r>
      <w:r w:rsidRPr="00606E51">
        <w:rPr>
          <w:rFonts w:cs="Times New Roman"/>
          <w:lang w:val="es-CO"/>
        </w:rPr>
        <w:t xml:space="preserve"> para hacer el diagnóstico y </w:t>
      </w:r>
      <w:r w:rsidR="00990D13" w:rsidRPr="00606E51">
        <w:rPr>
          <w:rFonts w:cs="Times New Roman"/>
          <w:lang w:val="es-CO"/>
        </w:rPr>
        <w:t xml:space="preserve">el </w:t>
      </w:r>
      <w:r w:rsidRPr="00606E51">
        <w:rPr>
          <w:rFonts w:cs="Times New Roman"/>
          <w:lang w:val="es-CO"/>
        </w:rPr>
        <w:t xml:space="preserve">tratamiento de la </w:t>
      </w:r>
      <w:r w:rsidR="0051608B" w:rsidRPr="00606E51">
        <w:rPr>
          <w:rFonts w:cs="Times New Roman"/>
          <w:lang w:val="es-CO"/>
        </w:rPr>
        <w:t xml:space="preserve">desnutrición </w:t>
      </w:r>
      <w:r w:rsidRPr="00606E51">
        <w:rPr>
          <w:rFonts w:cs="Times New Roman"/>
          <w:lang w:val="es-CO"/>
        </w:rPr>
        <w:t>aguda</w:t>
      </w:r>
      <w:r w:rsidR="0051608B" w:rsidRPr="00606E51">
        <w:rPr>
          <w:rFonts w:cs="Times New Roman"/>
          <w:lang w:val="es-CO"/>
        </w:rPr>
        <w:t xml:space="preserve"> sin complicaciones</w:t>
      </w:r>
      <w:r w:rsidR="004E3243" w:rsidRPr="00606E51">
        <w:rPr>
          <w:rFonts w:cs="Times New Roman"/>
          <w:lang w:val="es-CO"/>
        </w:rPr>
        <w:t xml:space="preserve"> (ver anexo </w:t>
      </w:r>
      <w:r w:rsidR="004E3243" w:rsidRPr="00606E51">
        <w:rPr>
          <w:rFonts w:cs="Times New Roman"/>
          <w:lang w:val="es-CO"/>
        </w:rPr>
        <w:fldChar w:fldCharType="begin"/>
      </w:r>
      <w:r w:rsidR="004E3243" w:rsidRPr="00606E51">
        <w:rPr>
          <w:rFonts w:cs="Times New Roman"/>
          <w:lang w:val="es-CO"/>
        </w:rPr>
        <w:instrText xml:space="preserve"> REF _Ref485186282 \r \h </w:instrText>
      </w:r>
      <w:r w:rsidR="004E3243" w:rsidRPr="00606E51">
        <w:rPr>
          <w:rFonts w:cs="Times New Roman"/>
          <w:lang w:val="es-CO"/>
        </w:rPr>
      </w:r>
      <w:r w:rsidR="004E3243" w:rsidRPr="00606E51">
        <w:rPr>
          <w:rFonts w:cs="Times New Roman"/>
          <w:lang w:val="es-CO"/>
        </w:rPr>
        <w:fldChar w:fldCharType="separate"/>
      </w:r>
      <w:r w:rsidR="007C0FEB">
        <w:rPr>
          <w:rFonts w:cs="Times New Roman"/>
          <w:lang w:val="es-CO"/>
        </w:rPr>
        <w:t>7</w:t>
      </w:r>
      <w:r w:rsidR="004E3243" w:rsidRPr="00606E51">
        <w:rPr>
          <w:rFonts w:cs="Times New Roman"/>
          <w:lang w:val="es-CO"/>
        </w:rPr>
        <w:t>.3</w:t>
      </w:r>
      <w:r w:rsidR="004E3243" w:rsidRPr="00606E51">
        <w:rPr>
          <w:rFonts w:cs="Times New Roman"/>
          <w:lang w:val="es-CO"/>
        </w:rPr>
        <w:fldChar w:fldCharType="end"/>
      </w:r>
      <w:r w:rsidR="004E3243" w:rsidRPr="00606E51">
        <w:rPr>
          <w:rFonts w:cs="Times New Roman"/>
          <w:lang w:val="es-CO"/>
        </w:rPr>
        <w:t>)</w:t>
      </w:r>
      <w:r w:rsidR="004E3243" w:rsidRPr="00606E51">
        <w:rPr>
          <w:lang w:val="es-CO"/>
        </w:rPr>
        <w:t>.</w:t>
      </w:r>
      <w:r w:rsidRPr="00606E51">
        <w:rPr>
          <w:rFonts w:cs="Times New Roman"/>
          <w:lang w:val="es-CO"/>
        </w:rPr>
        <w:t xml:space="preserve"> </w:t>
      </w:r>
    </w:p>
    <w:p w14:paraId="74073A63" w14:textId="77777777" w:rsidR="0051608B" w:rsidRPr="00606E51" w:rsidRDefault="0051608B" w:rsidP="00435EDA">
      <w:pPr>
        <w:jc w:val="both"/>
        <w:rPr>
          <w:rFonts w:cs="Times New Roman"/>
          <w:lang w:val="es-CO"/>
        </w:rPr>
      </w:pPr>
    </w:p>
    <w:p w14:paraId="5457E0D3" w14:textId="77777777" w:rsidR="00347E9A" w:rsidRPr="00606E51" w:rsidRDefault="00382423" w:rsidP="00435EDA">
      <w:pPr>
        <w:jc w:val="both"/>
        <w:rPr>
          <w:rFonts w:cs="Times New Roman"/>
          <w:lang w:val="es-CO"/>
        </w:rPr>
      </w:pPr>
      <w:r w:rsidRPr="00606E51">
        <w:rPr>
          <w:rFonts w:cs="Times New Roman"/>
          <w:lang w:val="es-CO"/>
        </w:rPr>
        <w:t xml:space="preserve">La observación de estos equipos extramurales durante la primera salida de campo del equipo evaluador mostró que los cuidadores y </w:t>
      </w:r>
      <w:r w:rsidRPr="00E35153">
        <w:rPr>
          <w:rFonts w:cs="Times New Roman"/>
          <w:highlight w:val="yellow"/>
          <w:lang w:val="es-CO"/>
        </w:rPr>
        <w:t xml:space="preserve">las autoridades indígenas tienen </w:t>
      </w:r>
      <w:r w:rsidR="00DB22B1" w:rsidRPr="00E35153">
        <w:rPr>
          <w:rFonts w:cs="Times New Roman"/>
          <w:highlight w:val="yellow"/>
          <w:lang w:val="es-CO"/>
        </w:rPr>
        <w:t>confianza</w:t>
      </w:r>
      <w:r w:rsidR="00B160F2" w:rsidRPr="00E35153">
        <w:rPr>
          <w:rFonts w:cs="Times New Roman"/>
          <w:highlight w:val="yellow"/>
          <w:lang w:val="es-CO"/>
        </w:rPr>
        <w:t xml:space="preserve"> </w:t>
      </w:r>
      <w:r w:rsidR="00DB22B1" w:rsidRPr="00E35153">
        <w:rPr>
          <w:rFonts w:cs="Times New Roman"/>
          <w:highlight w:val="yellow"/>
          <w:lang w:val="es-CO"/>
        </w:rPr>
        <w:t xml:space="preserve">en </w:t>
      </w:r>
      <w:r w:rsidRPr="00E35153">
        <w:rPr>
          <w:rFonts w:cs="Times New Roman"/>
          <w:highlight w:val="yellow"/>
          <w:lang w:val="es-CO"/>
        </w:rPr>
        <w:t>el Lineamiento</w:t>
      </w:r>
      <w:r w:rsidRPr="00606E51">
        <w:rPr>
          <w:rFonts w:cs="Times New Roman"/>
          <w:lang w:val="es-CO"/>
        </w:rPr>
        <w:t xml:space="preserve">. Por otro lado, como lo demuestran los resultados </w:t>
      </w:r>
      <w:r w:rsidR="0086391F" w:rsidRPr="00606E51">
        <w:rPr>
          <w:rFonts w:cs="Times New Roman"/>
          <w:lang w:val="es-CO"/>
        </w:rPr>
        <w:t>del manejo en el hogar indicado en el Lineamiento</w:t>
      </w:r>
      <w:r w:rsidRPr="00606E51">
        <w:rPr>
          <w:rFonts w:cs="Times New Roman"/>
          <w:lang w:val="es-CO"/>
        </w:rPr>
        <w:t>, estos equipos extramurales lograron una alta adherencia terapéutica en los cuidadores de los niños tratados.</w:t>
      </w:r>
      <w:r w:rsidR="00B749E7" w:rsidRPr="00606E51">
        <w:rPr>
          <w:rFonts w:cs="Times New Roman"/>
          <w:lang w:val="es-CO"/>
        </w:rPr>
        <w:t xml:space="preserve"> </w:t>
      </w:r>
    </w:p>
    <w:p w14:paraId="4A58D80B" w14:textId="77777777" w:rsidR="00347E9A" w:rsidRPr="00606E51" w:rsidRDefault="00347E9A" w:rsidP="00435EDA">
      <w:pPr>
        <w:jc w:val="both"/>
        <w:rPr>
          <w:rFonts w:cs="Times New Roman"/>
          <w:lang w:val="es-CO"/>
        </w:rPr>
      </w:pPr>
    </w:p>
    <w:p w14:paraId="4D64EC39" w14:textId="77777777" w:rsidR="00435EDA" w:rsidRPr="00606E51" w:rsidRDefault="00347E9A" w:rsidP="00435EDA">
      <w:pPr>
        <w:jc w:val="both"/>
        <w:rPr>
          <w:rFonts w:cs="Times New Roman"/>
          <w:lang w:val="es-CO"/>
        </w:rPr>
      </w:pPr>
      <w:r w:rsidRPr="00606E51">
        <w:rPr>
          <w:rFonts w:cs="Times New Roman"/>
          <w:lang w:val="es-CO"/>
        </w:rPr>
        <w:t>En efecto, l</w:t>
      </w:r>
      <w:r w:rsidR="00B749E7" w:rsidRPr="00606E51">
        <w:rPr>
          <w:rFonts w:cs="Times New Roman"/>
          <w:lang w:val="es-CO"/>
        </w:rPr>
        <w:t xml:space="preserve">as ESE que tuvieron contrato con el MSPS para implementar el Programa durante 2015 y 2016 fueron exitosas en la implementación de la atención ambulatoria con equipos extramurales ya que, a pesar de realizar pocos seguimientos a los niños en el año 2016, conformaron un equipo calificado exclusivamente para este tipo de atención. En efecto, como lo muestra el </w:t>
      </w:r>
      <w:r w:rsidR="00B749E7" w:rsidRPr="00606E51">
        <w:rPr>
          <w:rFonts w:cs="Times New Roman"/>
          <w:lang w:val="es-CO"/>
        </w:rPr>
        <w:fldChar w:fldCharType="begin"/>
      </w:r>
      <w:r w:rsidR="00B749E7" w:rsidRPr="00606E51">
        <w:rPr>
          <w:rFonts w:cs="Times New Roman"/>
          <w:lang w:val="es-CO"/>
        </w:rPr>
        <w:instrText xml:space="preserve"> REF _Ref477945659 \h  \* MERGEFORMAT </w:instrText>
      </w:r>
      <w:r w:rsidR="00B749E7" w:rsidRPr="00606E51">
        <w:rPr>
          <w:rFonts w:cs="Times New Roman"/>
          <w:lang w:val="es-CO"/>
        </w:rPr>
      </w:r>
      <w:r w:rsidR="00B749E7" w:rsidRPr="00606E51">
        <w:rPr>
          <w:rFonts w:cs="Times New Roman"/>
          <w:lang w:val="es-CO"/>
        </w:rPr>
        <w:fldChar w:fldCharType="separate"/>
      </w:r>
      <w:r w:rsidR="00B749E7" w:rsidRPr="00606E51">
        <w:rPr>
          <w:bCs/>
          <w:lang w:val="es-CO"/>
        </w:rPr>
        <w:t>Cuadro 4</w:t>
      </w:r>
      <w:r w:rsidR="00B749E7" w:rsidRPr="00606E51">
        <w:rPr>
          <w:bCs/>
          <w:lang w:val="es-CO"/>
        </w:rPr>
        <w:noBreakHyphen/>
        <w:t>7</w:t>
      </w:r>
      <w:r w:rsidR="00B749E7" w:rsidRPr="00606E51">
        <w:rPr>
          <w:rFonts w:cs="Times New Roman"/>
          <w:lang w:val="es-CO"/>
        </w:rPr>
        <w:fldChar w:fldCharType="end"/>
      </w:r>
      <w:r w:rsidR="00B749E7" w:rsidRPr="00606E51">
        <w:rPr>
          <w:rFonts w:cs="Times New Roman"/>
          <w:lang w:val="es-CO"/>
        </w:rPr>
        <w:t xml:space="preserve"> los niños y niñas atendidos por los grupos extramurales en 2016 recibieron al menos una visita en el 88% de los casos, dos visitas en el 10% y tres en el 2%. Por otra parte, en el 2016 el 56,89% de los niños y niñas tratados se recuperaron y el 73,27% se mejoraron</w:t>
      </w:r>
      <w:r w:rsidR="00B749E7" w:rsidRPr="00606E51">
        <w:rPr>
          <w:rStyle w:val="FootnoteReference"/>
          <w:rFonts w:cs="Times New Roman"/>
          <w:lang w:val="es-CO"/>
        </w:rPr>
        <w:footnoteReference w:id="59"/>
      </w:r>
      <w:r w:rsidR="00B749E7" w:rsidRPr="00606E51">
        <w:rPr>
          <w:rFonts w:cs="Times New Roman"/>
          <w:lang w:val="es-CO"/>
        </w:rPr>
        <w:t xml:space="preserve"> (ver </w:t>
      </w:r>
      <w:r w:rsidR="00B749E7" w:rsidRPr="00606E51">
        <w:rPr>
          <w:rFonts w:cs="Times New Roman"/>
          <w:lang w:val="es-CO"/>
        </w:rPr>
        <w:fldChar w:fldCharType="begin"/>
      </w:r>
      <w:r w:rsidR="00B749E7" w:rsidRPr="00606E51">
        <w:rPr>
          <w:rFonts w:cs="Times New Roman"/>
          <w:lang w:val="es-CO"/>
        </w:rPr>
        <w:instrText xml:space="preserve"> REF _Ref478026800 \h  \* MERGEFORMAT </w:instrText>
      </w:r>
      <w:r w:rsidR="00B749E7" w:rsidRPr="00606E51">
        <w:rPr>
          <w:rFonts w:cs="Times New Roman"/>
          <w:lang w:val="es-CO"/>
        </w:rPr>
      </w:r>
      <w:r w:rsidR="00B749E7" w:rsidRPr="00606E51">
        <w:rPr>
          <w:rFonts w:cs="Times New Roman"/>
          <w:lang w:val="es-CO"/>
        </w:rPr>
        <w:fldChar w:fldCharType="separate"/>
      </w:r>
      <w:r w:rsidR="00B749E7" w:rsidRPr="00606E51">
        <w:rPr>
          <w:bCs/>
          <w:lang w:val="es-CO"/>
        </w:rPr>
        <w:t>Cuadro 4</w:t>
      </w:r>
      <w:r w:rsidR="00B749E7" w:rsidRPr="00606E51">
        <w:rPr>
          <w:bCs/>
          <w:lang w:val="es-CO"/>
        </w:rPr>
        <w:noBreakHyphen/>
        <w:t>8</w:t>
      </w:r>
      <w:r w:rsidR="00B749E7" w:rsidRPr="00606E51">
        <w:rPr>
          <w:rFonts w:cs="Times New Roman"/>
          <w:lang w:val="es-CO"/>
        </w:rPr>
        <w:fldChar w:fldCharType="end"/>
      </w:r>
      <w:r w:rsidR="00B749E7" w:rsidRPr="00606E51">
        <w:rPr>
          <w:rFonts w:cs="Times New Roman"/>
          <w:lang w:val="es-CO"/>
        </w:rPr>
        <w:t xml:space="preserve">). Para el 2015, estos resultados son mucho mejores porque los niños reciben más seguimientos y los resultados para los recuperdados y mejorados son mucho más altos (ver el </w:t>
      </w:r>
      <w:r w:rsidR="00B749E7" w:rsidRPr="00606E51">
        <w:rPr>
          <w:rFonts w:cs="Times New Roman"/>
          <w:lang w:val="es-CO"/>
        </w:rPr>
        <w:fldChar w:fldCharType="begin"/>
      </w:r>
      <w:r w:rsidR="00B749E7" w:rsidRPr="00606E51">
        <w:rPr>
          <w:rFonts w:cs="Times New Roman"/>
          <w:lang w:val="es-CO"/>
        </w:rPr>
        <w:instrText xml:space="preserve"> REF _Ref486287987 \h </w:instrText>
      </w:r>
      <w:r w:rsidR="00B749E7" w:rsidRPr="00606E51">
        <w:rPr>
          <w:rFonts w:cs="Times New Roman"/>
          <w:lang w:val="es-CO"/>
        </w:rPr>
      </w:r>
      <w:r w:rsidR="00B749E7" w:rsidRPr="00606E51">
        <w:rPr>
          <w:rFonts w:cs="Times New Roman"/>
          <w:lang w:val="es-CO"/>
        </w:rPr>
        <w:fldChar w:fldCharType="separate"/>
      </w:r>
      <w:r w:rsidR="00B749E7" w:rsidRPr="00606E51">
        <w:rPr>
          <w:lang w:val="es-CO"/>
        </w:rPr>
        <w:t>Análisis de sensibilidad</w:t>
      </w:r>
      <w:r w:rsidR="00B749E7" w:rsidRPr="00606E51">
        <w:rPr>
          <w:rFonts w:cs="Times New Roman"/>
          <w:lang w:val="es-CO"/>
        </w:rPr>
        <w:fldChar w:fldCharType="end"/>
      </w:r>
      <w:r w:rsidR="00B749E7" w:rsidRPr="00606E51">
        <w:rPr>
          <w:rFonts w:cs="Times New Roman"/>
          <w:lang w:val="es-CO"/>
        </w:rPr>
        <w:t xml:space="preserve"> en el anexo </w:t>
      </w:r>
      <w:r w:rsidR="00B749E7" w:rsidRPr="00606E51">
        <w:rPr>
          <w:rFonts w:cs="Times New Roman"/>
          <w:lang w:val="es-CO"/>
        </w:rPr>
        <w:fldChar w:fldCharType="begin"/>
      </w:r>
      <w:r w:rsidR="00B749E7" w:rsidRPr="00606E51">
        <w:rPr>
          <w:rFonts w:cs="Times New Roman"/>
          <w:lang w:val="es-CO"/>
        </w:rPr>
        <w:instrText xml:space="preserve"> REF _Ref486287987 \r \h </w:instrText>
      </w:r>
      <w:r w:rsidR="00B749E7" w:rsidRPr="00606E51">
        <w:rPr>
          <w:rFonts w:cs="Times New Roman"/>
          <w:lang w:val="es-CO"/>
        </w:rPr>
      </w:r>
      <w:r w:rsidR="00B749E7" w:rsidRPr="00606E51">
        <w:rPr>
          <w:rFonts w:cs="Times New Roman"/>
          <w:lang w:val="es-CO"/>
        </w:rPr>
        <w:fldChar w:fldCharType="separate"/>
      </w:r>
      <w:r w:rsidR="007C0FEB">
        <w:rPr>
          <w:rFonts w:cs="Times New Roman"/>
          <w:lang w:val="es-CO"/>
        </w:rPr>
        <w:t>7</w:t>
      </w:r>
      <w:r w:rsidR="00B749E7" w:rsidRPr="00606E51">
        <w:rPr>
          <w:rFonts w:cs="Times New Roman"/>
          <w:lang w:val="es-CO"/>
        </w:rPr>
        <w:t>.5</w:t>
      </w:r>
      <w:r w:rsidR="00B749E7" w:rsidRPr="00606E51">
        <w:rPr>
          <w:rFonts w:cs="Times New Roman"/>
          <w:lang w:val="es-CO"/>
        </w:rPr>
        <w:fldChar w:fldCharType="end"/>
      </w:r>
      <w:r w:rsidR="00B749E7" w:rsidRPr="00606E51">
        <w:rPr>
          <w:rFonts w:cs="Times New Roman"/>
          <w:lang w:val="es-CO"/>
        </w:rPr>
        <w:t>).</w:t>
      </w:r>
      <w:r w:rsidRPr="00606E51">
        <w:rPr>
          <w:rFonts w:cs="Times New Roman"/>
          <w:lang w:val="es-CO"/>
        </w:rPr>
        <w:t xml:space="preserve"> Sin embargo, esta buena experiencia no generó los efectos demostración de buenas prácticas, porque, según las entrevistas, las EAPB no replicaron la estructura de </w:t>
      </w:r>
      <w:r w:rsidR="00D47D4C" w:rsidRPr="00606E51">
        <w:rPr>
          <w:rFonts w:cs="Times New Roman"/>
          <w:lang w:val="es-CO"/>
        </w:rPr>
        <w:t>los equipos extramurales contratados por el</w:t>
      </w:r>
      <w:r w:rsidRPr="00606E51">
        <w:rPr>
          <w:rFonts w:cs="Times New Roman"/>
          <w:lang w:val="es-CO"/>
        </w:rPr>
        <w:t xml:space="preserve"> MSPS</w:t>
      </w:r>
      <w:r w:rsidR="004E3243" w:rsidRPr="00606E51">
        <w:rPr>
          <w:rFonts w:cs="Times New Roman"/>
          <w:lang w:val="es-CO"/>
        </w:rPr>
        <w:t xml:space="preserve"> (ver anexo </w:t>
      </w:r>
      <w:r w:rsidR="004E3243" w:rsidRPr="00606E51">
        <w:rPr>
          <w:rFonts w:cs="Times New Roman"/>
          <w:lang w:val="es-CO"/>
        </w:rPr>
        <w:fldChar w:fldCharType="begin"/>
      </w:r>
      <w:r w:rsidR="004E3243" w:rsidRPr="00606E51">
        <w:rPr>
          <w:rFonts w:cs="Times New Roman"/>
          <w:lang w:val="es-CO"/>
        </w:rPr>
        <w:instrText xml:space="preserve"> REF _Ref485186282 \r \h </w:instrText>
      </w:r>
      <w:r w:rsidR="004E3243" w:rsidRPr="00606E51">
        <w:rPr>
          <w:rFonts w:cs="Times New Roman"/>
          <w:lang w:val="es-CO"/>
        </w:rPr>
      </w:r>
      <w:r w:rsidR="004E3243" w:rsidRPr="00606E51">
        <w:rPr>
          <w:rFonts w:cs="Times New Roman"/>
          <w:lang w:val="es-CO"/>
        </w:rPr>
        <w:fldChar w:fldCharType="separate"/>
      </w:r>
      <w:r w:rsidR="007C0FEB">
        <w:rPr>
          <w:rFonts w:cs="Times New Roman"/>
          <w:lang w:val="es-CO"/>
        </w:rPr>
        <w:t>7</w:t>
      </w:r>
      <w:r w:rsidR="004E3243" w:rsidRPr="00606E51">
        <w:rPr>
          <w:rFonts w:cs="Times New Roman"/>
          <w:lang w:val="es-CO"/>
        </w:rPr>
        <w:t>.3</w:t>
      </w:r>
      <w:r w:rsidR="004E3243" w:rsidRPr="00606E51">
        <w:rPr>
          <w:rFonts w:cs="Times New Roman"/>
          <w:lang w:val="es-CO"/>
        </w:rPr>
        <w:fldChar w:fldCharType="end"/>
      </w:r>
      <w:r w:rsidR="004E3243" w:rsidRPr="00606E51">
        <w:rPr>
          <w:rFonts w:cs="Times New Roman"/>
          <w:lang w:val="es-CO"/>
        </w:rPr>
        <w:t>)</w:t>
      </w:r>
      <w:r w:rsidR="004E3243" w:rsidRPr="00606E51">
        <w:rPr>
          <w:lang w:val="es-CO"/>
        </w:rPr>
        <w:t>.</w:t>
      </w:r>
    </w:p>
    <w:p w14:paraId="33C71276" w14:textId="77777777" w:rsidR="001E2FD6" w:rsidRPr="00606E51" w:rsidRDefault="001E2FD6" w:rsidP="00435EDA">
      <w:pPr>
        <w:jc w:val="both"/>
        <w:rPr>
          <w:rFonts w:cs="Times New Roman"/>
          <w:lang w:val="es-CO"/>
        </w:rPr>
      </w:pPr>
    </w:p>
    <w:p w14:paraId="771C04D7" w14:textId="77777777" w:rsidR="00382423" w:rsidRPr="00606E51" w:rsidRDefault="00676AE2" w:rsidP="00BB1D7B">
      <w:pPr>
        <w:pStyle w:val="ListParagraph"/>
        <w:numPr>
          <w:ilvl w:val="0"/>
          <w:numId w:val="21"/>
        </w:numPr>
        <w:jc w:val="both"/>
        <w:rPr>
          <w:rFonts w:cs="Times New Roman"/>
          <w:lang w:val="es-CO"/>
        </w:rPr>
      </w:pPr>
      <w:r w:rsidRPr="00606E51">
        <w:rPr>
          <w:rFonts w:cs="Times New Roman"/>
          <w:b/>
          <w:lang w:val="es-CO"/>
        </w:rPr>
        <w:t xml:space="preserve">Existe una brecha </w:t>
      </w:r>
      <w:r w:rsidR="00660F82" w:rsidRPr="00606E51">
        <w:rPr>
          <w:rFonts w:cs="Times New Roman"/>
          <w:b/>
          <w:lang w:val="es-CO"/>
        </w:rPr>
        <w:t xml:space="preserve">significativa </w:t>
      </w:r>
      <w:r w:rsidRPr="00606E51">
        <w:rPr>
          <w:rFonts w:cs="Times New Roman"/>
          <w:b/>
          <w:lang w:val="es-CO"/>
        </w:rPr>
        <w:t>entre lo que ordena la Resolución y la implementación por parte de las EAPB y su red de prestación de servicios</w:t>
      </w:r>
      <w:r w:rsidR="00660F82" w:rsidRPr="00606E51">
        <w:rPr>
          <w:rFonts w:cs="Times New Roman"/>
          <w:b/>
          <w:lang w:val="es-CO"/>
        </w:rPr>
        <w:t>.</w:t>
      </w:r>
    </w:p>
    <w:p w14:paraId="08F2B35B" w14:textId="77777777" w:rsidR="00676AE2" w:rsidRPr="00606E51" w:rsidRDefault="00676AE2" w:rsidP="00676AE2">
      <w:pPr>
        <w:jc w:val="both"/>
        <w:rPr>
          <w:rFonts w:cs="Times New Roman"/>
          <w:lang w:val="es-CO"/>
        </w:rPr>
      </w:pPr>
    </w:p>
    <w:p w14:paraId="61D7584A" w14:textId="77777777" w:rsidR="00347D74" w:rsidRPr="00606E51" w:rsidRDefault="007B0DA2" w:rsidP="003F1FCE">
      <w:pPr>
        <w:jc w:val="both"/>
        <w:rPr>
          <w:rFonts w:cs="Times New Roman"/>
          <w:bCs/>
          <w:lang w:val="es-CO"/>
        </w:rPr>
      </w:pPr>
      <w:r w:rsidRPr="00606E51">
        <w:rPr>
          <w:rFonts w:cs="Times New Roman"/>
          <w:lang w:val="es-CO"/>
        </w:rPr>
        <w:t xml:space="preserve">Cada una de las </w:t>
      </w:r>
      <w:r w:rsidR="006B794A" w:rsidRPr="00606E51">
        <w:rPr>
          <w:rFonts w:cs="Times New Roman"/>
          <w:lang w:val="es-CO"/>
        </w:rPr>
        <w:t>órdenes</w:t>
      </w:r>
      <w:r w:rsidRPr="00606E51">
        <w:rPr>
          <w:rFonts w:cs="Times New Roman"/>
          <w:lang w:val="es-CO"/>
        </w:rPr>
        <w:t xml:space="preserve"> impartidas por la Resolución tanto a los aseguradores como </w:t>
      </w:r>
      <w:r w:rsidR="00D95AD0" w:rsidRPr="00606E51">
        <w:rPr>
          <w:rFonts w:cs="Times New Roman"/>
          <w:lang w:val="es-CO"/>
        </w:rPr>
        <w:t xml:space="preserve">a su red de </w:t>
      </w:r>
      <w:r w:rsidRPr="00606E51">
        <w:rPr>
          <w:rFonts w:cs="Times New Roman"/>
          <w:lang w:val="es-CO"/>
        </w:rPr>
        <w:t xml:space="preserve">prestadores no se han implementado adecuadamente de acuerdo a las entrevistas reportadas en el anexo </w:t>
      </w:r>
      <w:r w:rsidRPr="00606E51">
        <w:rPr>
          <w:rFonts w:cs="Times New Roman"/>
          <w:lang w:val="es-CO"/>
        </w:rPr>
        <w:fldChar w:fldCharType="begin"/>
      </w:r>
      <w:r w:rsidRPr="00606E51">
        <w:rPr>
          <w:rFonts w:cs="Times New Roman"/>
          <w:lang w:val="es-CO"/>
        </w:rPr>
        <w:instrText xml:space="preserve"> REF _Ref485186282 \r \h </w:instrText>
      </w:r>
      <w:r w:rsidRPr="00606E51">
        <w:rPr>
          <w:rFonts w:cs="Times New Roman"/>
          <w:lang w:val="es-CO"/>
        </w:rPr>
      </w:r>
      <w:r w:rsidRPr="00606E51">
        <w:rPr>
          <w:rFonts w:cs="Times New Roman"/>
          <w:lang w:val="es-CO"/>
        </w:rPr>
        <w:fldChar w:fldCharType="separate"/>
      </w:r>
      <w:r w:rsidR="00AB2859">
        <w:rPr>
          <w:rFonts w:cs="Times New Roman"/>
          <w:lang w:val="es-CO"/>
        </w:rPr>
        <w:t>7</w:t>
      </w:r>
      <w:r w:rsidRPr="00606E51">
        <w:rPr>
          <w:rFonts w:cs="Times New Roman"/>
          <w:lang w:val="es-CO"/>
        </w:rPr>
        <w:t>.3</w:t>
      </w:r>
      <w:r w:rsidRPr="00606E51">
        <w:rPr>
          <w:rFonts w:cs="Times New Roman"/>
          <w:lang w:val="es-CO"/>
        </w:rPr>
        <w:fldChar w:fldCharType="end"/>
      </w:r>
      <w:r w:rsidR="00300378" w:rsidRPr="00606E51">
        <w:rPr>
          <w:lang w:val="es-CO"/>
        </w:rPr>
        <w:t xml:space="preserve">. En efecto, la Resolución informa que </w:t>
      </w:r>
      <w:r w:rsidR="00491591" w:rsidRPr="00E35153">
        <w:rPr>
          <w:highlight w:val="yellow"/>
          <w:lang w:val="es-CO"/>
        </w:rPr>
        <w:t>las EAPB son responsables de garantizar la atención oportuna</w:t>
      </w:r>
      <w:r w:rsidR="00491591" w:rsidRPr="00606E51">
        <w:rPr>
          <w:lang w:val="es-CO"/>
        </w:rPr>
        <w:t xml:space="preserve"> y de calidad </w:t>
      </w:r>
      <w:r w:rsidR="00DE3326" w:rsidRPr="00606E51">
        <w:rPr>
          <w:lang w:val="es-CO"/>
        </w:rPr>
        <w:t>a sus afiliados menores de cinco años diagnosticados con desnutrición aguda</w:t>
      </w:r>
      <w:r w:rsidR="00491591" w:rsidRPr="00606E51">
        <w:rPr>
          <w:lang w:val="es-CO"/>
        </w:rPr>
        <w:t>, implementando estrategias</w:t>
      </w:r>
      <w:r w:rsidR="00DE3326" w:rsidRPr="00606E51">
        <w:rPr>
          <w:lang w:val="es-CO"/>
        </w:rPr>
        <w:t xml:space="preserve"> de atención</w:t>
      </w:r>
      <w:r w:rsidR="00491591" w:rsidRPr="00606E51">
        <w:rPr>
          <w:lang w:val="es-CO"/>
        </w:rPr>
        <w:t xml:space="preserve"> extramurales </w:t>
      </w:r>
      <w:r w:rsidR="00DE3326" w:rsidRPr="00606E51">
        <w:rPr>
          <w:lang w:val="es-CO"/>
        </w:rPr>
        <w:t xml:space="preserve">para la búsqueda activa comunitaria que permita la detección, atención y el seguimiento individual y familiar a nivel comunitario e intrahospitalario. </w:t>
      </w:r>
    </w:p>
    <w:p w14:paraId="1D62EB7F" w14:textId="77777777" w:rsidR="00347D74" w:rsidRPr="00606E51" w:rsidRDefault="00347D74" w:rsidP="003F1FCE">
      <w:pPr>
        <w:jc w:val="both"/>
        <w:rPr>
          <w:rFonts w:cs="Times New Roman"/>
          <w:bCs/>
          <w:lang w:val="es-CO"/>
        </w:rPr>
      </w:pPr>
    </w:p>
    <w:p w14:paraId="76F12E17" w14:textId="77777777" w:rsidR="003F1FCE" w:rsidRPr="00606E51" w:rsidRDefault="0022634C" w:rsidP="003F1FCE">
      <w:pPr>
        <w:jc w:val="both"/>
        <w:rPr>
          <w:rFonts w:cs="Times New Roman"/>
          <w:b/>
          <w:bCs/>
          <w:lang w:val="es-CO"/>
        </w:rPr>
      </w:pPr>
      <w:r w:rsidRPr="00606E51">
        <w:rPr>
          <w:rFonts w:cs="Times New Roman"/>
          <w:bCs/>
          <w:lang w:val="es-CO"/>
        </w:rPr>
        <w:t>Como se desprende de las entrevistas, l</w:t>
      </w:r>
      <w:r w:rsidR="003F1FCE" w:rsidRPr="00606E51">
        <w:rPr>
          <w:rFonts w:cs="Times New Roman"/>
          <w:bCs/>
          <w:lang w:val="es-CO"/>
        </w:rPr>
        <w:t xml:space="preserve">a mayoría de las EAPB </w:t>
      </w:r>
      <w:r w:rsidR="003F1FCE" w:rsidRPr="00A74E1E">
        <w:rPr>
          <w:rFonts w:cs="Times New Roman"/>
          <w:bCs/>
          <w:highlight w:val="yellow"/>
          <w:lang w:val="es-CO"/>
        </w:rPr>
        <w:t>usan equipos extramurales en las zonas rurales dispersas para hacer búsqueda activa de afiliados</w:t>
      </w:r>
      <w:r w:rsidR="00274011" w:rsidRPr="00606E51">
        <w:rPr>
          <w:rStyle w:val="FootnoteReference"/>
          <w:rFonts w:cs="Times New Roman"/>
          <w:bCs/>
          <w:lang w:val="es-CO"/>
        </w:rPr>
        <w:footnoteReference w:id="60"/>
      </w:r>
      <w:r w:rsidR="003F1FCE" w:rsidRPr="00606E51">
        <w:rPr>
          <w:rFonts w:cs="Times New Roman"/>
          <w:bCs/>
          <w:lang w:val="es-CO"/>
        </w:rPr>
        <w:t xml:space="preserve">, sin embargo, con estas actividades </w:t>
      </w:r>
      <w:r w:rsidR="003F1FCE" w:rsidRPr="00A74E1E">
        <w:rPr>
          <w:rFonts w:cs="Times New Roman"/>
          <w:bCs/>
          <w:highlight w:val="yellow"/>
          <w:lang w:val="es-CO"/>
        </w:rPr>
        <w:t>no se está caracterizando completamente el perfil de riesgo</w:t>
      </w:r>
      <w:r w:rsidR="003F1FCE" w:rsidRPr="00606E51">
        <w:rPr>
          <w:rFonts w:cs="Times New Roman"/>
          <w:bCs/>
          <w:lang w:val="es-CO"/>
        </w:rPr>
        <w:t xml:space="preserve"> de los afiliados como lo ordena el MIAS. Por otro lado, estas actividades no son usadas para hacer la planeación y presupuestación de la red de prestación de servicios necesaria para atender los riesgos de salud encontrados en estas jornadas</w:t>
      </w:r>
      <w:r w:rsidR="008B1101" w:rsidRPr="00606E51">
        <w:rPr>
          <w:rFonts w:cs="Times New Roman"/>
          <w:bCs/>
          <w:lang w:val="es-CO"/>
        </w:rPr>
        <w:t xml:space="preserve"> </w:t>
      </w:r>
      <w:r w:rsidR="008B1101" w:rsidRPr="00606E51">
        <w:rPr>
          <w:rFonts w:cs="Times New Roman"/>
          <w:lang w:val="es-CO"/>
        </w:rPr>
        <w:t xml:space="preserve">(ver anexo </w:t>
      </w:r>
      <w:r w:rsidR="008B1101" w:rsidRPr="00606E51">
        <w:rPr>
          <w:rFonts w:cs="Times New Roman"/>
          <w:lang w:val="es-CO"/>
        </w:rPr>
        <w:fldChar w:fldCharType="begin"/>
      </w:r>
      <w:r w:rsidR="008B1101" w:rsidRPr="00606E51">
        <w:rPr>
          <w:rFonts w:cs="Times New Roman"/>
          <w:lang w:val="es-CO"/>
        </w:rPr>
        <w:instrText xml:space="preserve"> REF _Ref485186282 \r \h </w:instrText>
      </w:r>
      <w:r w:rsidR="008B1101" w:rsidRPr="00606E51">
        <w:rPr>
          <w:rFonts w:cs="Times New Roman"/>
          <w:lang w:val="es-CO"/>
        </w:rPr>
      </w:r>
      <w:r w:rsidR="008B1101" w:rsidRPr="00606E51">
        <w:rPr>
          <w:rFonts w:cs="Times New Roman"/>
          <w:lang w:val="es-CO"/>
        </w:rPr>
        <w:fldChar w:fldCharType="separate"/>
      </w:r>
      <w:r w:rsidR="00AB2859">
        <w:rPr>
          <w:rFonts w:cs="Times New Roman"/>
          <w:lang w:val="es-CO"/>
        </w:rPr>
        <w:t>7</w:t>
      </w:r>
      <w:r w:rsidR="008B1101" w:rsidRPr="00606E51">
        <w:rPr>
          <w:rFonts w:cs="Times New Roman"/>
          <w:lang w:val="es-CO"/>
        </w:rPr>
        <w:t>.3</w:t>
      </w:r>
      <w:r w:rsidR="008B1101" w:rsidRPr="00606E51">
        <w:rPr>
          <w:rFonts w:cs="Times New Roman"/>
          <w:lang w:val="es-CO"/>
        </w:rPr>
        <w:fldChar w:fldCharType="end"/>
      </w:r>
      <w:r w:rsidR="008B1101" w:rsidRPr="00606E51">
        <w:rPr>
          <w:rFonts w:cs="Times New Roman"/>
          <w:lang w:val="es-CO"/>
        </w:rPr>
        <w:t>)</w:t>
      </w:r>
      <w:r w:rsidR="008B1101" w:rsidRPr="00606E51">
        <w:rPr>
          <w:lang w:val="es-CO"/>
        </w:rPr>
        <w:t>.</w:t>
      </w:r>
    </w:p>
    <w:p w14:paraId="1D822916" w14:textId="77777777" w:rsidR="003F1FCE" w:rsidRPr="00606E51" w:rsidRDefault="003F1FCE" w:rsidP="003F1FCE">
      <w:pPr>
        <w:jc w:val="both"/>
        <w:rPr>
          <w:rFonts w:cs="Times New Roman"/>
          <w:lang w:val="es-CO"/>
        </w:rPr>
      </w:pPr>
    </w:p>
    <w:p w14:paraId="256EE6DE" w14:textId="77777777" w:rsidR="000B1FB0" w:rsidRPr="00606E51" w:rsidRDefault="008B1101" w:rsidP="000B1FB0">
      <w:pPr>
        <w:jc w:val="both"/>
        <w:rPr>
          <w:rFonts w:cs="Times New Roman"/>
          <w:lang w:val="es-CO"/>
        </w:rPr>
      </w:pPr>
      <w:r w:rsidRPr="00606E51">
        <w:rPr>
          <w:rFonts w:cs="Times New Roman"/>
          <w:lang w:val="es-CO"/>
        </w:rPr>
        <w:t xml:space="preserve">La Resolución informa que la EAPB deben </w:t>
      </w:r>
      <w:r w:rsidRPr="00E35153">
        <w:rPr>
          <w:rFonts w:cs="Times New Roman"/>
          <w:highlight w:val="yellow"/>
          <w:lang w:val="es-CO"/>
        </w:rPr>
        <w:t>garantizar la disponibilidad y capacidad resolutiva</w:t>
      </w:r>
      <w:r w:rsidRPr="00606E51">
        <w:rPr>
          <w:rFonts w:cs="Times New Roman"/>
          <w:lang w:val="es-CO"/>
        </w:rPr>
        <w:t xml:space="preserve"> de su red de prestadores de servicios para que sigan las instrucciones contenidas en el Lineamiento incluído en la Resolución. Sin embargo, t</w:t>
      </w:r>
      <w:r w:rsidR="003F1FCE" w:rsidRPr="00606E51">
        <w:rPr>
          <w:rFonts w:cs="Times New Roman"/>
          <w:lang w:val="es-CO"/>
        </w:rPr>
        <w:t xml:space="preserve">odas las EAPB informaron que </w:t>
      </w:r>
      <w:r w:rsidR="003F1FCE" w:rsidRPr="00E35153">
        <w:rPr>
          <w:rFonts w:cs="Times New Roman"/>
          <w:highlight w:val="yellow"/>
          <w:lang w:val="es-CO"/>
        </w:rPr>
        <w:t>contratan por capitación</w:t>
      </w:r>
      <w:r w:rsidR="00422B69" w:rsidRPr="00606E51">
        <w:rPr>
          <w:rStyle w:val="FootnoteReference"/>
          <w:rFonts w:cs="Times New Roman"/>
          <w:lang w:val="es-CO"/>
        </w:rPr>
        <w:footnoteReference w:id="61"/>
      </w:r>
      <w:r w:rsidR="003F1FCE" w:rsidRPr="00606E51">
        <w:rPr>
          <w:rFonts w:cs="Times New Roman"/>
          <w:lang w:val="es-CO"/>
        </w:rPr>
        <w:t xml:space="preserve"> la atención ambulatoria del Lineamiento con su red de prestadores de baja complejidad. La atención de los niños y niñas con complicaciones se paga por evento en </w:t>
      </w:r>
      <w:r w:rsidR="00F33E07" w:rsidRPr="00606E51">
        <w:rPr>
          <w:rFonts w:cs="Times New Roman"/>
          <w:lang w:val="es-CO"/>
        </w:rPr>
        <w:t xml:space="preserve">las respectivas IPS de mediana y alta </w:t>
      </w:r>
      <w:r w:rsidR="004403D7" w:rsidRPr="00606E51">
        <w:rPr>
          <w:rFonts w:cs="Times New Roman"/>
          <w:lang w:val="es-CO"/>
        </w:rPr>
        <w:t>complejidad</w:t>
      </w:r>
      <w:r w:rsidR="004403D7" w:rsidRPr="00606E51" w:rsidDel="00F33E07">
        <w:rPr>
          <w:rFonts w:cs="Times New Roman"/>
          <w:lang w:val="es-CO"/>
        </w:rPr>
        <w:t>.</w:t>
      </w:r>
      <w:r w:rsidR="003F1FCE" w:rsidRPr="00606E51">
        <w:rPr>
          <w:rFonts w:cs="Times New Roman"/>
          <w:lang w:val="es-CO"/>
        </w:rPr>
        <w:t xml:space="preserve"> </w:t>
      </w:r>
      <w:r w:rsidRPr="00606E51">
        <w:rPr>
          <w:rFonts w:cs="Times New Roman"/>
          <w:lang w:val="es-CO"/>
        </w:rPr>
        <w:t>Ahora</w:t>
      </w:r>
      <w:r w:rsidR="003F1FCE" w:rsidRPr="00606E51">
        <w:rPr>
          <w:rFonts w:cs="Times New Roman"/>
          <w:lang w:val="es-CO"/>
        </w:rPr>
        <w:t>, cuando se solicitó la información de la estructura de costos de la atención ambulatoria e intrahospitalaria</w:t>
      </w:r>
      <w:r w:rsidR="00AB2859">
        <w:rPr>
          <w:rFonts w:cs="Times New Roman"/>
          <w:lang w:val="es-CO"/>
        </w:rPr>
        <w:t>,</w:t>
      </w:r>
      <w:r w:rsidR="003F1FCE" w:rsidRPr="00606E51">
        <w:rPr>
          <w:rFonts w:cs="Times New Roman"/>
          <w:lang w:val="es-CO"/>
        </w:rPr>
        <w:t xml:space="preserve"> ninguna EAPB envió la información, a pesar de solicitarla repetidamente desde la primera visita en diciembre de 2016.</w:t>
      </w:r>
    </w:p>
    <w:p w14:paraId="2A9B9D21" w14:textId="77777777" w:rsidR="00D51163" w:rsidRPr="00606E51" w:rsidRDefault="00D51163" w:rsidP="000B1FB0">
      <w:pPr>
        <w:jc w:val="both"/>
        <w:rPr>
          <w:rFonts w:cs="Times New Roman"/>
          <w:lang w:val="es-CO"/>
        </w:rPr>
      </w:pPr>
    </w:p>
    <w:p w14:paraId="2EE7C398" w14:textId="77777777" w:rsidR="008B1101" w:rsidRPr="00606E51" w:rsidRDefault="00D51163" w:rsidP="00D51163">
      <w:pPr>
        <w:jc w:val="both"/>
        <w:rPr>
          <w:rFonts w:cs="Times New Roman"/>
          <w:bCs/>
          <w:lang w:val="es-CO"/>
        </w:rPr>
      </w:pPr>
      <w:r w:rsidRPr="00606E51">
        <w:rPr>
          <w:rFonts w:cs="Times New Roman"/>
          <w:bCs/>
          <w:lang w:val="es-CO"/>
        </w:rPr>
        <w:t>Todos los prestadores informaron que las EAPB negocian contratos por capitación para la atención ambulator</w:t>
      </w:r>
      <w:r w:rsidR="009E7E6B" w:rsidRPr="00606E51">
        <w:rPr>
          <w:rFonts w:cs="Times New Roman"/>
          <w:bCs/>
          <w:lang w:val="es-CO"/>
        </w:rPr>
        <w:t>ia del L</w:t>
      </w:r>
      <w:r w:rsidRPr="00606E51">
        <w:rPr>
          <w:rFonts w:cs="Times New Roman"/>
          <w:bCs/>
          <w:lang w:val="es-CO"/>
        </w:rPr>
        <w:t>ineamiento. Todos estos contratos se hacen bajo la modalidad de promoción y prevención, ninguna IPS, IPSI o ESE tiene contratos para la atención ambulatoria de la morbilidad, en particular, ningún, prestador tiene clausulas específicas para realizar el seguimiento a los niños y niñas con desnutrición aguda moderada que requieren tratamiento ambulatorio. Todos los prestadores informaron que los contratos tienen una cláusula que los obliga a cumplir la Resolución, pero los pagos son por capitación en el componente de promoció</w:t>
      </w:r>
      <w:r w:rsidR="00005751" w:rsidRPr="00606E51">
        <w:rPr>
          <w:rFonts w:cs="Times New Roman"/>
          <w:bCs/>
          <w:lang w:val="es-CO"/>
        </w:rPr>
        <w:t>n y prevención</w:t>
      </w:r>
      <w:r w:rsidR="001C6B10" w:rsidRPr="00606E51">
        <w:rPr>
          <w:rFonts w:cs="Times New Roman"/>
          <w:bCs/>
          <w:lang w:val="es-CO"/>
        </w:rPr>
        <w:t xml:space="preserve"> </w:t>
      </w:r>
      <w:r w:rsidR="001C6B10" w:rsidRPr="00606E51">
        <w:rPr>
          <w:rFonts w:cs="Times New Roman"/>
          <w:lang w:val="es-CO"/>
        </w:rPr>
        <w:t xml:space="preserve">(ver anexo </w:t>
      </w:r>
      <w:r w:rsidR="001C6B10" w:rsidRPr="00606E51">
        <w:rPr>
          <w:rFonts w:cs="Times New Roman"/>
          <w:lang w:val="es-CO"/>
        </w:rPr>
        <w:fldChar w:fldCharType="begin"/>
      </w:r>
      <w:r w:rsidR="001C6B10" w:rsidRPr="00606E51">
        <w:rPr>
          <w:rFonts w:cs="Times New Roman"/>
          <w:lang w:val="es-CO"/>
        </w:rPr>
        <w:instrText xml:space="preserve"> REF _Ref485186282 \r \h </w:instrText>
      </w:r>
      <w:r w:rsidR="001C6B10" w:rsidRPr="00606E51">
        <w:rPr>
          <w:rFonts w:cs="Times New Roman"/>
          <w:lang w:val="es-CO"/>
        </w:rPr>
      </w:r>
      <w:r w:rsidR="001C6B10" w:rsidRPr="00606E51">
        <w:rPr>
          <w:rFonts w:cs="Times New Roman"/>
          <w:lang w:val="es-CO"/>
        </w:rPr>
        <w:fldChar w:fldCharType="separate"/>
      </w:r>
      <w:r w:rsidR="00AB2859">
        <w:rPr>
          <w:rFonts w:cs="Times New Roman"/>
          <w:lang w:val="es-CO"/>
        </w:rPr>
        <w:t>7</w:t>
      </w:r>
      <w:r w:rsidR="001C6B10" w:rsidRPr="00606E51">
        <w:rPr>
          <w:rFonts w:cs="Times New Roman"/>
          <w:lang w:val="es-CO"/>
        </w:rPr>
        <w:t>.3</w:t>
      </w:r>
      <w:r w:rsidR="001C6B10" w:rsidRPr="00606E51">
        <w:rPr>
          <w:rFonts w:cs="Times New Roman"/>
          <w:lang w:val="es-CO"/>
        </w:rPr>
        <w:fldChar w:fldCharType="end"/>
      </w:r>
      <w:r w:rsidR="001C6B10" w:rsidRPr="00606E51">
        <w:rPr>
          <w:rFonts w:cs="Times New Roman"/>
          <w:lang w:val="es-CO"/>
        </w:rPr>
        <w:t>)</w:t>
      </w:r>
      <w:r w:rsidR="001C6B10" w:rsidRPr="00606E51">
        <w:rPr>
          <w:lang w:val="es-CO"/>
        </w:rPr>
        <w:t>.</w:t>
      </w:r>
      <w:r w:rsidR="00005751" w:rsidRPr="00606E51">
        <w:rPr>
          <w:rFonts w:cs="Times New Roman"/>
          <w:bCs/>
          <w:lang w:val="es-CO"/>
        </w:rPr>
        <w:t xml:space="preserve"> Por otro lado, </w:t>
      </w:r>
      <w:r w:rsidRPr="00606E51">
        <w:rPr>
          <w:rFonts w:cs="Times New Roman"/>
          <w:bCs/>
          <w:lang w:val="es-CO"/>
        </w:rPr>
        <w:t>las ESE</w:t>
      </w:r>
      <w:r w:rsidR="00005751" w:rsidRPr="00606E51">
        <w:rPr>
          <w:rFonts w:cs="Times New Roman"/>
          <w:bCs/>
          <w:lang w:val="es-CO"/>
        </w:rPr>
        <w:t xml:space="preserve"> habilitadas para las atenciones de mediana y alta </w:t>
      </w:r>
      <w:r w:rsidR="00125A76" w:rsidRPr="00606E51">
        <w:rPr>
          <w:rFonts w:cs="Times New Roman"/>
          <w:bCs/>
          <w:lang w:val="es-CO"/>
        </w:rPr>
        <w:t>complejidad informaron</w:t>
      </w:r>
      <w:r w:rsidR="00212497" w:rsidRPr="00606E51">
        <w:rPr>
          <w:rFonts w:cs="Times New Roman"/>
          <w:bCs/>
          <w:lang w:val="es-CO"/>
        </w:rPr>
        <w:t xml:space="preserve"> que las EAPB no la</w:t>
      </w:r>
      <w:r w:rsidRPr="00606E51">
        <w:rPr>
          <w:rFonts w:cs="Times New Roman"/>
          <w:bCs/>
          <w:lang w:val="es-CO"/>
        </w:rPr>
        <w:t xml:space="preserve">s </w:t>
      </w:r>
      <w:r w:rsidR="00F33E07" w:rsidRPr="00606E51">
        <w:rPr>
          <w:rFonts w:cs="Times New Roman"/>
          <w:bCs/>
          <w:lang w:val="es-CO"/>
        </w:rPr>
        <w:t>contratan</w:t>
      </w:r>
      <w:r w:rsidRPr="00606E51">
        <w:rPr>
          <w:rFonts w:cs="Times New Roman"/>
          <w:bCs/>
          <w:lang w:val="es-CO"/>
        </w:rPr>
        <w:t xml:space="preserve"> </w:t>
      </w:r>
      <w:r w:rsidR="00125A76" w:rsidRPr="00606E51">
        <w:rPr>
          <w:rFonts w:cs="Times New Roman"/>
          <w:bCs/>
          <w:lang w:val="es-CO"/>
        </w:rPr>
        <w:t>para atender los niños y niñas dianosticados con desnutrición aguda severa con complicaciones</w:t>
      </w:r>
      <w:r w:rsidRPr="00606E51">
        <w:rPr>
          <w:rFonts w:cs="Times New Roman"/>
          <w:bCs/>
          <w:lang w:val="es-CO"/>
        </w:rPr>
        <w:t xml:space="preserve">. </w:t>
      </w:r>
    </w:p>
    <w:p w14:paraId="0C477870" w14:textId="77777777" w:rsidR="008B1101" w:rsidRPr="00606E51" w:rsidRDefault="008B1101" w:rsidP="00D51163">
      <w:pPr>
        <w:jc w:val="both"/>
        <w:rPr>
          <w:rFonts w:cs="Times New Roman"/>
          <w:bCs/>
          <w:lang w:val="es-CO"/>
        </w:rPr>
      </w:pPr>
    </w:p>
    <w:p w14:paraId="2CE4087A" w14:textId="77777777" w:rsidR="00D95AD0" w:rsidRPr="00606E51" w:rsidRDefault="008B1101" w:rsidP="00D51163">
      <w:pPr>
        <w:jc w:val="both"/>
        <w:rPr>
          <w:rFonts w:cs="Times New Roman"/>
          <w:bCs/>
          <w:lang w:val="es-CO"/>
        </w:rPr>
      </w:pPr>
      <w:r w:rsidRPr="00606E51">
        <w:rPr>
          <w:rFonts w:cs="Times New Roman"/>
          <w:lang w:val="es-CO"/>
        </w:rPr>
        <w:t xml:space="preserve">La evaluación pudo evidenciar que </w:t>
      </w:r>
      <w:r w:rsidRPr="00E35153">
        <w:rPr>
          <w:rFonts w:cs="Times New Roman"/>
          <w:highlight w:val="yellow"/>
          <w:lang w:val="es-CO"/>
        </w:rPr>
        <w:t>el seguimiento a los niños y niñas que requieren atención ambulatoria es limitado.</w:t>
      </w:r>
      <w:r w:rsidRPr="00606E51">
        <w:rPr>
          <w:rFonts w:cs="Times New Roman"/>
          <w:lang w:val="es-CO"/>
        </w:rPr>
        <w:t xml:space="preserve"> Las l</w:t>
      </w:r>
      <w:r w:rsidR="00BC1C66" w:rsidRPr="00606E51">
        <w:rPr>
          <w:rFonts w:cs="Times New Roman"/>
          <w:lang w:val="es-CO"/>
        </w:rPr>
        <w:t>imitaciones en la contratación</w:t>
      </w:r>
      <w:r w:rsidRPr="00606E51">
        <w:rPr>
          <w:rFonts w:cs="Times New Roman"/>
          <w:lang w:val="es-CO"/>
        </w:rPr>
        <w:t xml:space="preserve"> hacen difícil el mantenimiento</w:t>
      </w:r>
      <w:r w:rsidR="00BC1C66" w:rsidRPr="00606E51">
        <w:rPr>
          <w:rFonts w:cs="Times New Roman"/>
          <w:lang w:val="es-CO"/>
        </w:rPr>
        <w:t xml:space="preserve"> y consolidación</w:t>
      </w:r>
      <w:r w:rsidRPr="00606E51">
        <w:rPr>
          <w:rFonts w:cs="Times New Roman"/>
          <w:lang w:val="es-CO"/>
        </w:rPr>
        <w:t xml:space="preserve"> de equipos extramurale</w:t>
      </w:r>
      <w:r w:rsidR="00BC1C66" w:rsidRPr="00606E51">
        <w:rPr>
          <w:rFonts w:cs="Times New Roman"/>
          <w:lang w:val="es-CO"/>
        </w:rPr>
        <w:t xml:space="preserve">s para zonas rurales dispersas. Por último, aunque </w:t>
      </w:r>
      <w:r w:rsidRPr="00606E51">
        <w:rPr>
          <w:rFonts w:cs="Times New Roman"/>
          <w:lang w:val="es-CO"/>
        </w:rPr>
        <w:t xml:space="preserve">los datos de los resultados de las atenciones ambulatorias </w:t>
      </w:r>
      <w:r w:rsidR="00BC1C66" w:rsidRPr="00606E51">
        <w:rPr>
          <w:rFonts w:cs="Times New Roman"/>
          <w:lang w:val="es-CO"/>
        </w:rPr>
        <w:t xml:space="preserve">por parte de cada EAPB </w:t>
      </w:r>
      <w:r w:rsidRPr="00606E51">
        <w:rPr>
          <w:rFonts w:cs="Times New Roman"/>
          <w:lang w:val="es-CO"/>
        </w:rPr>
        <w:t>son enviados a la secretaría departamental de salud, no es claro que dicha oficina lo use para cumplir sus funciones de inspección y vigilancia de la atención.</w:t>
      </w:r>
      <w:r w:rsidR="00D95AD0" w:rsidRPr="00606E51">
        <w:rPr>
          <w:rFonts w:cs="Times New Roman"/>
          <w:bCs/>
          <w:lang w:val="es-CO"/>
        </w:rPr>
        <w:t xml:space="preserve"> </w:t>
      </w:r>
    </w:p>
    <w:p w14:paraId="4325F51B" w14:textId="77777777" w:rsidR="00AB2859" w:rsidRDefault="00AB2859" w:rsidP="00D51163">
      <w:pPr>
        <w:jc w:val="both"/>
        <w:rPr>
          <w:rFonts w:cs="Times New Roman"/>
          <w:bCs/>
          <w:lang w:val="es-CO"/>
        </w:rPr>
      </w:pPr>
    </w:p>
    <w:p w14:paraId="2238DCE9" w14:textId="77777777" w:rsidR="00D51163" w:rsidRPr="00606E51" w:rsidRDefault="00D51163" w:rsidP="00D51163">
      <w:pPr>
        <w:jc w:val="both"/>
        <w:rPr>
          <w:rFonts w:cs="Times New Roman"/>
          <w:bCs/>
          <w:lang w:val="es-CO"/>
        </w:rPr>
      </w:pPr>
      <w:r w:rsidRPr="00606E51">
        <w:rPr>
          <w:rFonts w:cs="Times New Roman"/>
          <w:bCs/>
          <w:lang w:val="es-CO"/>
        </w:rPr>
        <w:t>Estos elementos muestran un incumplimiento</w:t>
      </w:r>
      <w:r w:rsidR="00B160F2" w:rsidRPr="00606E51">
        <w:rPr>
          <w:rFonts w:cs="Times New Roman"/>
          <w:bCs/>
          <w:lang w:val="es-CO"/>
        </w:rPr>
        <w:t xml:space="preserve"> parcial</w:t>
      </w:r>
      <w:r w:rsidRPr="00606E51">
        <w:rPr>
          <w:rFonts w:cs="Times New Roman"/>
          <w:bCs/>
          <w:lang w:val="es-CO"/>
        </w:rPr>
        <w:t xml:space="preserve"> de las órdenes impartidas en la Resolución para la adecuada implementación del Lineamiento</w:t>
      </w:r>
      <w:r w:rsidR="00B160F2" w:rsidRPr="00606E51">
        <w:rPr>
          <w:rFonts w:cs="Times New Roman"/>
          <w:bCs/>
          <w:lang w:val="es-CO"/>
        </w:rPr>
        <w:t xml:space="preserve"> y una trasferencia del riesgo de la atención a los p</w:t>
      </w:r>
      <w:r w:rsidR="00BC3ADD" w:rsidRPr="00606E51">
        <w:rPr>
          <w:rFonts w:cs="Times New Roman"/>
          <w:bCs/>
          <w:lang w:val="es-CO"/>
        </w:rPr>
        <w:t>restadores de baja complejidad.</w:t>
      </w:r>
    </w:p>
    <w:p w14:paraId="7A7F90C9" w14:textId="77777777" w:rsidR="00BC3ADD" w:rsidRPr="00606E51" w:rsidRDefault="00BC3ADD" w:rsidP="00D51163">
      <w:pPr>
        <w:jc w:val="both"/>
        <w:rPr>
          <w:rFonts w:cs="Times New Roman"/>
          <w:bCs/>
          <w:lang w:val="es-CO"/>
        </w:rPr>
      </w:pPr>
    </w:p>
    <w:p w14:paraId="0AE26D6D" w14:textId="77777777" w:rsidR="00BC3ADD" w:rsidRPr="00606E51" w:rsidRDefault="00BC3ADD" w:rsidP="00D51163">
      <w:pPr>
        <w:jc w:val="both"/>
        <w:rPr>
          <w:rFonts w:cs="Times New Roman"/>
          <w:bCs/>
          <w:lang w:val="es-CO"/>
        </w:rPr>
      </w:pPr>
      <w:r w:rsidRPr="00606E51">
        <w:rPr>
          <w:rFonts w:cs="Times New Roman"/>
          <w:bCs/>
          <w:lang w:val="es-CO"/>
        </w:rPr>
        <w:t xml:space="preserve">Por último, como resultado de las visitas a las oficinas de algunas EPS y después de realizar las entrevistas a las personas que las atienden, era evidente que </w:t>
      </w:r>
      <w:r w:rsidRPr="00E35153">
        <w:rPr>
          <w:rFonts w:cs="Times New Roman"/>
          <w:bCs/>
          <w:highlight w:val="yellow"/>
          <w:lang w:val="es-CO"/>
        </w:rPr>
        <w:t>no conocían el contenido ni de la Resolución ni del Lineamiento y la Ruta</w:t>
      </w:r>
      <w:r w:rsidRPr="00606E51">
        <w:rPr>
          <w:rFonts w:cs="Times New Roman"/>
          <w:bCs/>
          <w:lang w:val="es-CO"/>
        </w:rPr>
        <w:t xml:space="preserve">. </w:t>
      </w:r>
    </w:p>
    <w:p w14:paraId="2B8CB28F" w14:textId="77777777" w:rsidR="002C0EC5" w:rsidRPr="00606E51" w:rsidRDefault="00210DDF" w:rsidP="00BB1D7B">
      <w:pPr>
        <w:pStyle w:val="ListParagraph"/>
        <w:numPr>
          <w:ilvl w:val="0"/>
          <w:numId w:val="21"/>
        </w:numPr>
        <w:jc w:val="both"/>
        <w:rPr>
          <w:rFonts w:cs="Times New Roman"/>
          <w:lang w:val="es-CO"/>
        </w:rPr>
      </w:pPr>
      <w:r w:rsidRPr="00606E51">
        <w:rPr>
          <w:rFonts w:cs="Times New Roman"/>
          <w:b/>
          <w:lang w:val="es-CO"/>
        </w:rPr>
        <w:t>Existe una brecha significativa entre lo que ordena la Resolución y la implementación por parte de las IPS.</w:t>
      </w:r>
    </w:p>
    <w:p w14:paraId="4FAAE81F" w14:textId="77777777" w:rsidR="002C0EC5" w:rsidRPr="00606E51" w:rsidRDefault="002C0EC5" w:rsidP="00347E9A">
      <w:pPr>
        <w:jc w:val="both"/>
        <w:rPr>
          <w:rFonts w:cs="Times New Roman"/>
          <w:lang w:val="es-CO"/>
        </w:rPr>
      </w:pPr>
    </w:p>
    <w:p w14:paraId="6A97D4BC" w14:textId="77777777" w:rsidR="00A479BD" w:rsidRPr="00606E51" w:rsidRDefault="00D95AD0" w:rsidP="00347E9A">
      <w:pPr>
        <w:jc w:val="both"/>
        <w:rPr>
          <w:rFonts w:cs="Times New Roman"/>
          <w:lang w:val="es-CO"/>
        </w:rPr>
      </w:pPr>
      <w:r w:rsidRPr="00606E51">
        <w:rPr>
          <w:rFonts w:cs="Times New Roman"/>
          <w:lang w:val="es-CO"/>
        </w:rPr>
        <w:t xml:space="preserve">Las </w:t>
      </w:r>
      <w:r w:rsidR="00872E90" w:rsidRPr="00606E51">
        <w:rPr>
          <w:rFonts w:cs="Times New Roman"/>
          <w:lang w:val="es-CO"/>
        </w:rPr>
        <w:t>órdenes</w:t>
      </w:r>
      <w:r w:rsidRPr="00606E51">
        <w:rPr>
          <w:rFonts w:cs="Times New Roman"/>
          <w:lang w:val="es-CO"/>
        </w:rPr>
        <w:t xml:space="preserve"> impartidas en la Resolución a las IPS </w:t>
      </w:r>
      <w:r w:rsidR="00CF1724" w:rsidRPr="00606E51">
        <w:rPr>
          <w:rFonts w:cs="Times New Roman"/>
          <w:lang w:val="es-CO"/>
        </w:rPr>
        <w:t xml:space="preserve">informan que estas instituciones deben garantizar la prestación de servicios con calidad y oportunidad, conformando grupos de atención extramural para la población rural dispersa a su cargo. La atención se debe estructurar de tal forma que permita el seguimiento de los niños y niñas diagnosticados con desnutrición aguda. </w:t>
      </w:r>
    </w:p>
    <w:p w14:paraId="5DC92A94" w14:textId="77777777" w:rsidR="00DD5C91" w:rsidRPr="00606E51" w:rsidRDefault="00DD5C91" w:rsidP="00347E9A">
      <w:pPr>
        <w:jc w:val="both"/>
        <w:rPr>
          <w:rFonts w:cs="Times New Roman"/>
          <w:lang w:val="es-CO"/>
        </w:rPr>
      </w:pPr>
    </w:p>
    <w:p w14:paraId="09735A64" w14:textId="77777777" w:rsidR="00DD5C91" w:rsidRPr="00606E51" w:rsidRDefault="00DD5C91" w:rsidP="00347E9A">
      <w:pPr>
        <w:jc w:val="both"/>
        <w:rPr>
          <w:rFonts w:cs="Times New Roman"/>
          <w:lang w:val="es-CO"/>
        </w:rPr>
      </w:pPr>
      <w:r w:rsidRPr="00606E51">
        <w:rPr>
          <w:rFonts w:cs="Times New Roman"/>
          <w:lang w:val="es-CO"/>
        </w:rPr>
        <w:t xml:space="preserve">Como corolario del hallazgo anterior, gran parte del cumplimiento de estas ordenes están ligadas a las relaciones de contratación con las EAPB y las entidades territoriales que tienen a su cargo la atención de la población pobre no asegurada. Por lo tanto, el diseño contractual descrito en el hallazgo anterior impone limitaciones para que las IPS cumplan adecuadamente estas disposiciones legales. </w:t>
      </w:r>
    </w:p>
    <w:p w14:paraId="295F7403" w14:textId="77777777" w:rsidR="00347E9A" w:rsidRPr="00606E51" w:rsidRDefault="00347E9A" w:rsidP="00D51163">
      <w:pPr>
        <w:jc w:val="both"/>
        <w:rPr>
          <w:rFonts w:cs="Times New Roman"/>
          <w:lang w:val="es-CO"/>
        </w:rPr>
      </w:pPr>
    </w:p>
    <w:p w14:paraId="4DF26E15" w14:textId="3A2E6803" w:rsidR="0036195C" w:rsidRPr="00606E51" w:rsidRDefault="00425FC4" w:rsidP="0036195C">
      <w:pPr>
        <w:jc w:val="both"/>
        <w:rPr>
          <w:rFonts w:cs="Times New Roman"/>
          <w:lang w:val="es-CO"/>
        </w:rPr>
      </w:pPr>
      <w:r w:rsidRPr="00EF36E9">
        <w:rPr>
          <w:rFonts w:cs="Times New Roman"/>
          <w:lang w:val="es-CO"/>
        </w:rPr>
        <w:t xml:space="preserve">Sin embargo, más allá de las imperfecciones en el modelo de contratación vigente entre aseguradores y prestadores, la brecha en la implementación de la Resolución también se observa en la adherencia incompleta por parte de las IPS al Lineamiento contenido en este acto administrativo. </w:t>
      </w:r>
      <w:r w:rsidR="005A77F9" w:rsidRPr="00EF36E9">
        <w:rPr>
          <w:rFonts w:cs="Times New Roman"/>
          <w:lang w:val="es-CO"/>
        </w:rPr>
        <w:t xml:space="preserve">Las entrevistas y los grupos de discusión dirigida </w:t>
      </w:r>
      <w:r w:rsidR="005A5C1B" w:rsidRPr="00EF36E9">
        <w:rPr>
          <w:rFonts w:cs="Times New Roman"/>
          <w:lang w:val="es-CO"/>
        </w:rPr>
        <w:t xml:space="preserve">permiten soportar este hallazgo (ver anexo </w:t>
      </w:r>
      <w:r w:rsidR="005A5C1B" w:rsidRPr="00EF36E9">
        <w:rPr>
          <w:rFonts w:cs="Times New Roman"/>
          <w:lang w:val="es-CO"/>
        </w:rPr>
        <w:fldChar w:fldCharType="begin"/>
      </w:r>
      <w:r w:rsidR="005A5C1B" w:rsidRPr="00EF36E9">
        <w:rPr>
          <w:rFonts w:cs="Times New Roman"/>
          <w:lang w:val="es-CO"/>
        </w:rPr>
        <w:instrText xml:space="preserve"> REF _Ref485186282 \r \h </w:instrText>
      </w:r>
      <w:r w:rsidR="00EF36E9">
        <w:rPr>
          <w:rFonts w:cs="Times New Roman"/>
          <w:lang w:val="es-CO"/>
        </w:rPr>
        <w:instrText xml:space="preserve"> \* MERGEFORMAT </w:instrText>
      </w:r>
      <w:r w:rsidR="005A5C1B" w:rsidRPr="00EF36E9">
        <w:rPr>
          <w:rFonts w:cs="Times New Roman"/>
          <w:lang w:val="es-CO"/>
        </w:rPr>
      </w:r>
      <w:r w:rsidR="005A5C1B" w:rsidRPr="00EF36E9">
        <w:rPr>
          <w:rFonts w:cs="Times New Roman"/>
          <w:lang w:val="es-CO"/>
        </w:rPr>
        <w:fldChar w:fldCharType="separate"/>
      </w:r>
      <w:r w:rsidR="00872E90" w:rsidRPr="00EF36E9">
        <w:rPr>
          <w:rFonts w:cs="Times New Roman"/>
          <w:lang w:val="es-CO"/>
        </w:rPr>
        <w:t>7</w:t>
      </w:r>
      <w:r w:rsidR="005A5C1B" w:rsidRPr="00EF36E9">
        <w:rPr>
          <w:rFonts w:cs="Times New Roman"/>
          <w:lang w:val="es-CO"/>
        </w:rPr>
        <w:t>.3</w:t>
      </w:r>
      <w:r w:rsidR="005A5C1B" w:rsidRPr="00EF36E9">
        <w:rPr>
          <w:rFonts w:cs="Times New Roman"/>
          <w:lang w:val="es-CO"/>
        </w:rPr>
        <w:fldChar w:fldCharType="end"/>
      </w:r>
      <w:r w:rsidR="005A5C1B" w:rsidRPr="00EF36E9">
        <w:rPr>
          <w:rFonts w:cs="Times New Roman"/>
          <w:lang w:val="es-CO"/>
        </w:rPr>
        <w:t>)</w:t>
      </w:r>
      <w:r w:rsidR="0036195C" w:rsidRPr="00EF36E9">
        <w:rPr>
          <w:lang w:val="es-CO"/>
        </w:rPr>
        <w:t>. En efecto, varios</w:t>
      </w:r>
      <w:r w:rsidR="005A5C1B" w:rsidRPr="00EF36E9">
        <w:rPr>
          <w:rFonts w:cs="Times New Roman"/>
          <w:lang w:val="es-CO"/>
        </w:rPr>
        <w:t xml:space="preserve"> funcionarios de una ESE informaron que no hacen referencia y contra-referencia de pacientes con desnutrición aguda a establecimientos de mayor complejidad</w:t>
      </w:r>
      <w:r w:rsidR="005A5C1B" w:rsidRPr="00606E51">
        <w:rPr>
          <w:rFonts w:cs="Times New Roman"/>
          <w:lang w:val="es-CO"/>
        </w:rPr>
        <w:t xml:space="preserve"> porque aprovechan la presencia en su institución de un especialista que financia una fundación. Esta afirmación demuestra un conocimiento parcial del Lineamiento y por tanto una aplicació</w:t>
      </w:r>
      <w:r w:rsidR="0036195C" w:rsidRPr="00606E51">
        <w:rPr>
          <w:rFonts w:cs="Times New Roman"/>
          <w:lang w:val="es-CO"/>
        </w:rPr>
        <w:t>n incorrecta del protocolo.</w:t>
      </w:r>
    </w:p>
    <w:p w14:paraId="6875F10C" w14:textId="77777777" w:rsidR="00242BCD" w:rsidRPr="00606E51" w:rsidRDefault="00242BCD" w:rsidP="0036195C">
      <w:pPr>
        <w:jc w:val="both"/>
        <w:rPr>
          <w:rFonts w:cs="Times New Roman"/>
          <w:lang w:val="es-CO"/>
        </w:rPr>
      </w:pPr>
    </w:p>
    <w:p w14:paraId="0FAD35E6" w14:textId="77777777" w:rsidR="00242BCD" w:rsidRPr="00606E51" w:rsidRDefault="00080F33" w:rsidP="00BB1D7B">
      <w:pPr>
        <w:pStyle w:val="ListParagraph"/>
        <w:numPr>
          <w:ilvl w:val="0"/>
          <w:numId w:val="21"/>
        </w:numPr>
        <w:jc w:val="both"/>
        <w:rPr>
          <w:rFonts w:cs="Times New Roman"/>
          <w:lang w:val="es-CO"/>
        </w:rPr>
      </w:pPr>
      <w:r w:rsidRPr="00606E51">
        <w:rPr>
          <w:rFonts w:cs="Times New Roman"/>
          <w:b/>
          <w:lang w:val="es-CO"/>
        </w:rPr>
        <w:t xml:space="preserve">El MSPS </w:t>
      </w:r>
      <w:r w:rsidR="00596820" w:rsidRPr="00606E51">
        <w:rPr>
          <w:rFonts w:cs="Times New Roman"/>
          <w:b/>
          <w:lang w:val="es-CO"/>
        </w:rPr>
        <w:t xml:space="preserve">ha cumplido lo que ordena la Resolución en el departamento de La </w:t>
      </w:r>
      <w:r w:rsidR="00CE68F6" w:rsidRPr="00606E51">
        <w:rPr>
          <w:rFonts w:cs="Times New Roman"/>
          <w:b/>
          <w:lang w:val="es-CO"/>
        </w:rPr>
        <w:t>Guajira</w:t>
      </w:r>
      <w:r w:rsidR="005653CD">
        <w:rPr>
          <w:rFonts w:cs="Times New Roman"/>
          <w:b/>
          <w:lang w:val="es-CO"/>
        </w:rPr>
        <w:t xml:space="preserve">.  No obstante, no se ha avanzado </w:t>
      </w:r>
      <w:r w:rsidR="007E67B3">
        <w:rPr>
          <w:rFonts w:cs="Times New Roman"/>
          <w:b/>
          <w:lang w:val="es-CO"/>
        </w:rPr>
        <w:t xml:space="preserve">en </w:t>
      </w:r>
      <w:r w:rsidR="00055C71">
        <w:rPr>
          <w:rFonts w:cs="Times New Roman"/>
          <w:b/>
          <w:lang w:val="es-CO"/>
        </w:rPr>
        <w:t xml:space="preserve">el perfeccionamiento de </w:t>
      </w:r>
      <w:r w:rsidR="007E67B3">
        <w:rPr>
          <w:rFonts w:cs="Times New Roman"/>
          <w:b/>
          <w:lang w:val="es-CO"/>
        </w:rPr>
        <w:t xml:space="preserve">procesos y herramientas </w:t>
      </w:r>
      <w:r w:rsidR="00055C71">
        <w:rPr>
          <w:rFonts w:cs="Times New Roman"/>
          <w:b/>
          <w:lang w:val="es-CO"/>
        </w:rPr>
        <w:t xml:space="preserve">de monitoreo (que incluyan, por ejemplo, </w:t>
      </w:r>
      <w:r w:rsidR="005653CD" w:rsidRPr="005653CD">
        <w:rPr>
          <w:rFonts w:cs="Times New Roman"/>
          <w:b/>
          <w:lang w:val="es-CO"/>
        </w:rPr>
        <w:t>indicadores de proceso, producto y resultado</w:t>
      </w:r>
      <w:r w:rsidR="00055C71">
        <w:rPr>
          <w:rFonts w:cs="Times New Roman"/>
          <w:b/>
          <w:lang w:val="es-CO"/>
        </w:rPr>
        <w:t>)</w:t>
      </w:r>
      <w:r w:rsidR="005653CD" w:rsidRPr="005653CD">
        <w:rPr>
          <w:rFonts w:cs="Times New Roman"/>
          <w:b/>
          <w:lang w:val="es-CO"/>
        </w:rPr>
        <w:t>, a la implementación de la Resolución en La Guajira y el resto del país.</w:t>
      </w:r>
    </w:p>
    <w:p w14:paraId="02F9788C" w14:textId="77777777" w:rsidR="006C0E4E" w:rsidRPr="00606E51" w:rsidRDefault="006C0E4E" w:rsidP="006C0E4E">
      <w:pPr>
        <w:jc w:val="both"/>
        <w:rPr>
          <w:rFonts w:cs="Times New Roman"/>
          <w:lang w:val="es-CO"/>
        </w:rPr>
      </w:pPr>
    </w:p>
    <w:p w14:paraId="37924AFB" w14:textId="77777777" w:rsidR="008A235F" w:rsidRPr="00606E51" w:rsidRDefault="008A235F" w:rsidP="006C0E4E">
      <w:pPr>
        <w:jc w:val="both"/>
        <w:rPr>
          <w:rFonts w:cs="Times New Roman"/>
          <w:lang w:val="es-CO"/>
        </w:rPr>
      </w:pPr>
      <w:r w:rsidRPr="00606E51">
        <w:rPr>
          <w:rFonts w:cs="Times New Roman"/>
          <w:lang w:val="es-CO"/>
        </w:rPr>
        <w:t xml:space="preserve">La </w:t>
      </w:r>
      <w:r w:rsidR="003C0C4E" w:rsidRPr="00606E51">
        <w:rPr>
          <w:rFonts w:cs="Times New Roman"/>
          <w:lang w:val="es-CO"/>
        </w:rPr>
        <w:t xml:space="preserve">expedición de la Resolución permite ordernar los roles de cada miembro del SGSSS y pone en cabeza del MSPS la atención en salud de los niños y niñas, tanto con desnutrición aguda como con otras patologías. El Lineamiento y la Ruta </w:t>
      </w:r>
      <w:r w:rsidR="00FB337D">
        <w:rPr>
          <w:rFonts w:cs="Times New Roman"/>
          <w:lang w:val="es-CO"/>
        </w:rPr>
        <w:t xml:space="preserve">también ordenan </w:t>
      </w:r>
      <w:r w:rsidR="003C0C4E" w:rsidRPr="00606E51">
        <w:rPr>
          <w:rFonts w:cs="Times New Roman"/>
          <w:lang w:val="es-CO"/>
        </w:rPr>
        <w:t xml:space="preserve">la </w:t>
      </w:r>
      <w:r w:rsidR="00FB337D">
        <w:rPr>
          <w:rFonts w:cs="Times New Roman"/>
          <w:lang w:val="es-CO"/>
        </w:rPr>
        <w:t xml:space="preserve">coordinación </w:t>
      </w:r>
      <w:r w:rsidR="003C0C4E" w:rsidRPr="00606E51">
        <w:rPr>
          <w:rFonts w:cs="Times New Roman"/>
          <w:lang w:val="es-CO"/>
        </w:rPr>
        <w:t>entre instancias del Gobierno Nacional</w:t>
      </w:r>
      <w:r w:rsidR="00FB337D">
        <w:rPr>
          <w:rFonts w:cs="Times New Roman"/>
          <w:lang w:val="es-CO"/>
        </w:rPr>
        <w:t xml:space="preserve">, así como </w:t>
      </w:r>
      <w:r w:rsidR="003C0C4E" w:rsidRPr="00606E51">
        <w:rPr>
          <w:rFonts w:eastAsia="Times New Roman"/>
          <w:lang w:val="es-CO"/>
        </w:rPr>
        <w:t xml:space="preserve">entre los diferentes niveles de gobierno, además de informar los momentos específicos en que debe usarse cada programa para el tratamiento de la desnutrición. </w:t>
      </w:r>
    </w:p>
    <w:p w14:paraId="02535AE7" w14:textId="77777777" w:rsidR="008A235F" w:rsidRPr="00606E51" w:rsidRDefault="008A235F" w:rsidP="006C0E4E">
      <w:pPr>
        <w:jc w:val="both"/>
        <w:rPr>
          <w:rFonts w:cs="Times New Roman"/>
          <w:lang w:val="es-CO"/>
        </w:rPr>
      </w:pPr>
    </w:p>
    <w:p w14:paraId="52D3009F" w14:textId="77777777" w:rsidR="00DD62C1" w:rsidRPr="00606E51" w:rsidRDefault="00340FF7" w:rsidP="006C0E4E">
      <w:pPr>
        <w:jc w:val="both"/>
        <w:rPr>
          <w:rFonts w:cs="Times New Roman"/>
          <w:lang w:val="es-CO"/>
        </w:rPr>
      </w:pPr>
      <w:r w:rsidRPr="00606E51">
        <w:rPr>
          <w:rFonts w:cs="Times New Roman"/>
          <w:lang w:val="es-CO"/>
        </w:rPr>
        <w:t>El MSPS ha socializado la Resolución junto con el Lineamiento y la Ruta que hacen parte de este acto administrativo. Por otra parte, las admninistraciones municipales de salud reportan en el SIVIGILA el evento de desnutrición aguda en niños y niñas menores de cinco años.</w:t>
      </w:r>
      <w:r w:rsidR="00F91F66" w:rsidRPr="00606E51">
        <w:rPr>
          <w:rFonts w:cs="Times New Roman"/>
          <w:lang w:val="es-CO"/>
        </w:rPr>
        <w:t xml:space="preserve"> </w:t>
      </w:r>
      <w:r w:rsidR="00FB337D">
        <w:rPr>
          <w:rFonts w:cs="Times New Roman"/>
          <w:lang w:val="es-CO"/>
        </w:rPr>
        <w:t xml:space="preserve"> </w:t>
      </w:r>
      <w:r w:rsidR="00275E50" w:rsidRPr="00606E51">
        <w:rPr>
          <w:rFonts w:cs="Times New Roman"/>
          <w:lang w:val="es-CO"/>
        </w:rPr>
        <w:t xml:space="preserve">Adicionalmente, el MSPS </w:t>
      </w:r>
      <w:r w:rsidR="00FA7971">
        <w:rPr>
          <w:rFonts w:cs="Times New Roman"/>
          <w:lang w:val="es-CO"/>
        </w:rPr>
        <w:t>diseñó</w:t>
      </w:r>
      <w:r w:rsidR="00094839" w:rsidRPr="00606E51">
        <w:rPr>
          <w:rFonts w:cs="Times New Roman"/>
          <w:lang w:val="es-CO"/>
        </w:rPr>
        <w:t>,</w:t>
      </w:r>
      <w:r w:rsidR="00275E50" w:rsidRPr="00606E51">
        <w:rPr>
          <w:rFonts w:cs="Times New Roman"/>
          <w:lang w:val="es-CO"/>
        </w:rPr>
        <w:t xml:space="preserve"> </w:t>
      </w:r>
      <w:r w:rsidR="00FA7971">
        <w:rPr>
          <w:rFonts w:cs="Times New Roman"/>
          <w:lang w:val="es-CO"/>
        </w:rPr>
        <w:t xml:space="preserve">implementó </w:t>
      </w:r>
      <w:r w:rsidR="00094839" w:rsidRPr="00606E51">
        <w:rPr>
          <w:rFonts w:cs="Times New Roman"/>
          <w:lang w:val="es-CO"/>
        </w:rPr>
        <w:t>y evaluó los procesos</w:t>
      </w:r>
      <w:r w:rsidR="00275E50" w:rsidRPr="00606E51">
        <w:rPr>
          <w:rFonts w:cs="Times New Roman"/>
          <w:lang w:val="es-CO"/>
        </w:rPr>
        <w:t xml:space="preserve"> </w:t>
      </w:r>
      <w:r w:rsidR="00094839" w:rsidRPr="00606E51">
        <w:rPr>
          <w:rFonts w:cs="Times New Roman"/>
          <w:lang w:val="es-CO"/>
        </w:rPr>
        <w:t>d</w:t>
      </w:r>
      <w:r w:rsidR="00275E50" w:rsidRPr="00606E51">
        <w:rPr>
          <w:rFonts w:cs="Times New Roman"/>
          <w:lang w:val="es-CO"/>
        </w:rPr>
        <w:t xml:space="preserve">el Programa que “surgió como respuesta del Gobierno Nacional a la crisis de salud y nutrición que enfrenta la población de </w:t>
      </w:r>
      <w:r w:rsidR="00DD62C1" w:rsidRPr="00606E51">
        <w:rPr>
          <w:rFonts w:cs="Times New Roman"/>
          <w:lang w:val="es-CO"/>
        </w:rPr>
        <w:t>esta zona</w:t>
      </w:r>
      <w:r w:rsidR="00275E50" w:rsidRPr="00606E51">
        <w:rPr>
          <w:rFonts w:cs="Times New Roman"/>
          <w:lang w:val="es-CO"/>
        </w:rPr>
        <w:t>”</w:t>
      </w:r>
      <w:r w:rsidR="00275E50" w:rsidRPr="00606E51">
        <w:rPr>
          <w:rStyle w:val="FootnoteReference"/>
          <w:rFonts w:cs="Times New Roman"/>
          <w:lang w:val="es-CO"/>
        </w:rPr>
        <w:footnoteReference w:id="62"/>
      </w:r>
      <w:r w:rsidR="00DD62C1" w:rsidRPr="00606E51">
        <w:rPr>
          <w:rFonts w:cs="Times New Roman"/>
          <w:lang w:val="es-CO"/>
        </w:rPr>
        <w:t xml:space="preserve"> y </w:t>
      </w:r>
      <w:r w:rsidR="00FA7971">
        <w:rPr>
          <w:rFonts w:cs="Times New Roman"/>
          <w:lang w:val="es-CO"/>
        </w:rPr>
        <w:t xml:space="preserve">promovió </w:t>
      </w:r>
      <w:r w:rsidR="00DD62C1" w:rsidRPr="00606E51">
        <w:rPr>
          <w:rFonts w:cs="Times New Roman"/>
          <w:lang w:val="es-CO"/>
        </w:rPr>
        <w:t xml:space="preserve">la </w:t>
      </w:r>
      <w:r w:rsidR="00FA7971">
        <w:rPr>
          <w:rFonts w:cs="Times New Roman"/>
          <w:lang w:val="es-CO"/>
        </w:rPr>
        <w:t xml:space="preserve">presente </w:t>
      </w:r>
      <w:r w:rsidR="00DD62C1" w:rsidRPr="00606E51">
        <w:rPr>
          <w:rFonts w:cs="Times New Roman"/>
          <w:lang w:val="es-CO"/>
        </w:rPr>
        <w:t xml:space="preserve">evaluación </w:t>
      </w:r>
      <w:r w:rsidR="00094839" w:rsidRPr="00606E51">
        <w:rPr>
          <w:rFonts w:cs="Times New Roman"/>
          <w:lang w:val="es-CO"/>
        </w:rPr>
        <w:t xml:space="preserve">de adherencia y costo efectividad </w:t>
      </w:r>
      <w:r w:rsidR="00DD62C1" w:rsidRPr="00606E51">
        <w:rPr>
          <w:rFonts w:cs="Times New Roman"/>
          <w:lang w:val="es-CO"/>
        </w:rPr>
        <w:t>del Lineamiento.</w:t>
      </w:r>
      <w:r w:rsidR="003B70AF" w:rsidRPr="00606E51">
        <w:rPr>
          <w:rFonts w:cs="Times New Roman"/>
          <w:lang w:val="es-CO"/>
        </w:rPr>
        <w:t xml:space="preserve"> No obstante, las entrevistas a los funcionarios del MSPS </w:t>
      </w:r>
      <w:r w:rsidR="00FA7971">
        <w:rPr>
          <w:rFonts w:cs="Times New Roman"/>
          <w:lang w:val="es-CO"/>
        </w:rPr>
        <w:t xml:space="preserve">evidenciaron </w:t>
      </w:r>
      <w:r w:rsidR="003B70AF" w:rsidRPr="00606E51">
        <w:rPr>
          <w:rFonts w:cs="Times New Roman"/>
          <w:lang w:val="es-CO"/>
        </w:rPr>
        <w:t>que no existe un seguimiento</w:t>
      </w:r>
      <w:r w:rsidR="00FA7971">
        <w:rPr>
          <w:rFonts w:cs="Times New Roman"/>
          <w:lang w:val="es-CO"/>
        </w:rPr>
        <w:t xml:space="preserve"> sistemático</w:t>
      </w:r>
      <w:r w:rsidR="003B70AF" w:rsidRPr="00606E51">
        <w:rPr>
          <w:rFonts w:cs="Times New Roman"/>
          <w:lang w:val="es-CO"/>
        </w:rPr>
        <w:t xml:space="preserve">, con indicadores y metas de proceso, producto y resultado, a la implementación de la Resolución en La Guajira y el resto del país. </w:t>
      </w:r>
    </w:p>
    <w:p w14:paraId="03CBB028" w14:textId="77777777" w:rsidR="00525A31" w:rsidRPr="00606E51" w:rsidRDefault="00525A31" w:rsidP="006C0E4E">
      <w:pPr>
        <w:jc w:val="both"/>
        <w:rPr>
          <w:rFonts w:cs="Times New Roman"/>
          <w:lang w:val="es-CO"/>
        </w:rPr>
      </w:pPr>
    </w:p>
    <w:p w14:paraId="38319139" w14:textId="77777777" w:rsidR="003B70AF" w:rsidRPr="00606E51" w:rsidRDefault="00CB67A1" w:rsidP="006C0E4E">
      <w:pPr>
        <w:jc w:val="both"/>
        <w:rPr>
          <w:rFonts w:cs="Times New Roman"/>
          <w:lang w:val="es-CO"/>
        </w:rPr>
      </w:pPr>
      <w:r>
        <w:rPr>
          <w:rFonts w:cs="Times New Roman"/>
          <w:lang w:val="es-CO"/>
        </w:rPr>
        <w:t>E</w:t>
      </w:r>
      <w:r w:rsidR="00525A31" w:rsidRPr="00606E51">
        <w:rPr>
          <w:rFonts w:cs="Times New Roman"/>
          <w:lang w:val="es-CO"/>
        </w:rPr>
        <w:t xml:space="preserve">n todas las entrevistas y grupos de discusión dirigida </w:t>
      </w:r>
      <w:r>
        <w:rPr>
          <w:rFonts w:cs="Times New Roman"/>
          <w:lang w:val="es-CO"/>
        </w:rPr>
        <w:t xml:space="preserve">también </w:t>
      </w:r>
      <w:r w:rsidR="00525A31" w:rsidRPr="00606E51">
        <w:rPr>
          <w:rFonts w:cs="Times New Roman"/>
          <w:lang w:val="es-CO"/>
        </w:rPr>
        <w:t xml:space="preserve">se </w:t>
      </w:r>
      <w:r>
        <w:rPr>
          <w:rFonts w:cs="Times New Roman"/>
          <w:lang w:val="es-CO"/>
        </w:rPr>
        <w:t xml:space="preserve">encontró </w:t>
      </w:r>
      <w:r w:rsidR="00525A31" w:rsidRPr="00606E51">
        <w:rPr>
          <w:rFonts w:cs="Times New Roman"/>
          <w:lang w:val="es-CO"/>
        </w:rPr>
        <w:t>que se requería</w:t>
      </w:r>
      <w:r>
        <w:rPr>
          <w:rFonts w:cs="Times New Roman"/>
          <w:lang w:val="es-CO"/>
        </w:rPr>
        <w:t>n</w:t>
      </w:r>
      <w:r w:rsidR="00525A31" w:rsidRPr="00606E51">
        <w:rPr>
          <w:rFonts w:cs="Times New Roman"/>
          <w:lang w:val="es-CO"/>
        </w:rPr>
        <w:t xml:space="preserve"> capacitaciones continuas tanto a los funcionarios de las secretarías de salud como al personal médico </w:t>
      </w:r>
      <w:r w:rsidR="00525A31" w:rsidRPr="00606E51">
        <w:rPr>
          <w:rFonts w:cs="Times New Roman"/>
          <w:lang w:val="es-CO"/>
        </w:rPr>
        <w:lastRenderedPageBreak/>
        <w:t xml:space="preserve">y administrativo de las entidades aseguradoras y prestadoras de salud. </w:t>
      </w:r>
      <w:r w:rsidR="00C27C58">
        <w:rPr>
          <w:rFonts w:cs="Times New Roman"/>
          <w:lang w:val="es-CO"/>
        </w:rPr>
        <w:t xml:space="preserve"> </w:t>
      </w:r>
      <w:r w:rsidR="003674D7" w:rsidRPr="00606E51">
        <w:rPr>
          <w:rFonts w:cs="Times New Roman"/>
          <w:lang w:val="es-CO"/>
        </w:rPr>
        <w:t>En el caso de los funcionarios de las administraciones locales de salud, los entrevistados solicitaban capacitaciones acordes con el perfil de los participantes y que se realizaran demostraciones de la implementación del Lineamiento en las zonas rurales dispersas. Por otro lado, los prestadores de salud informaban que se requiere una actualización y capacitación permanente al personal médico y a las enfermeras porque existe una alta rotación de este tipo de prof</w:t>
      </w:r>
      <w:r w:rsidR="00690F42" w:rsidRPr="00606E51">
        <w:rPr>
          <w:rFonts w:cs="Times New Roman"/>
          <w:lang w:val="es-CO"/>
        </w:rPr>
        <w:t>esionales en las instituciones</w:t>
      </w:r>
      <w:r w:rsidR="00690F42" w:rsidRPr="00606E51">
        <w:rPr>
          <w:rStyle w:val="FootnoteReference"/>
          <w:rFonts w:cs="Times New Roman"/>
          <w:lang w:val="es-CO"/>
        </w:rPr>
        <w:footnoteReference w:id="63"/>
      </w:r>
      <w:r w:rsidR="00690F42" w:rsidRPr="00606E51">
        <w:rPr>
          <w:rFonts w:cs="Times New Roman"/>
          <w:lang w:val="es-CO"/>
        </w:rPr>
        <w:t xml:space="preserve">. </w:t>
      </w:r>
      <w:r w:rsidR="00BC3ADD" w:rsidRPr="00606E51">
        <w:rPr>
          <w:rFonts w:cs="Times New Roman"/>
          <w:lang w:val="es-CO"/>
        </w:rPr>
        <w:t xml:space="preserve">Por otro lado, todos los entrevistados informaron que el principal cuello de botella en la implementación del Lineamiento </w:t>
      </w:r>
      <w:r w:rsidR="00AD28F1" w:rsidRPr="00606E51">
        <w:rPr>
          <w:rFonts w:cs="Times New Roman"/>
          <w:lang w:val="es-CO"/>
        </w:rPr>
        <w:t xml:space="preserve">fue la disponibilidad de la FTLPC durante los primeros meses </w:t>
      </w:r>
      <w:r w:rsidR="00690F42" w:rsidRPr="00606E51">
        <w:rPr>
          <w:rFonts w:cs="Times New Roman"/>
          <w:lang w:val="es-CO"/>
        </w:rPr>
        <w:t>de expedida la Resolución.</w:t>
      </w:r>
      <w:r w:rsidR="00492B02" w:rsidRPr="00606E51">
        <w:rPr>
          <w:rFonts w:cs="Times New Roman"/>
          <w:lang w:val="es-CO"/>
        </w:rPr>
        <w:t xml:space="preserve"> Para las administraciones municipales de salud y los prestadores y aseguradores, el manejo centralizado de este medicamento por parte de la secretaría departamental de salud y los procedimientos para su asignación difucultaron la adecuada atención. </w:t>
      </w:r>
    </w:p>
    <w:p w14:paraId="609D155E" w14:textId="77777777" w:rsidR="00690F42" w:rsidRPr="00606E51" w:rsidRDefault="00690F42" w:rsidP="006C0E4E">
      <w:pPr>
        <w:jc w:val="both"/>
        <w:rPr>
          <w:rFonts w:cs="Times New Roman"/>
          <w:lang w:val="es-CO"/>
        </w:rPr>
      </w:pPr>
    </w:p>
    <w:p w14:paraId="054992F1" w14:textId="77777777" w:rsidR="007969E8" w:rsidRPr="00606E51" w:rsidRDefault="00690F42" w:rsidP="00492B02">
      <w:pPr>
        <w:jc w:val="both"/>
        <w:rPr>
          <w:rFonts w:cs="Times New Roman"/>
          <w:lang w:val="es-CO"/>
        </w:rPr>
      </w:pPr>
      <w:r w:rsidRPr="00606E51">
        <w:rPr>
          <w:rFonts w:cs="Times New Roman"/>
          <w:lang w:val="es-CO"/>
        </w:rPr>
        <w:t>Por último, anque no es una orden de la Resolución para el MSPS, todos los entrevistados informaron que existen muchas EP</w:t>
      </w:r>
      <w:r w:rsidR="00FA6453" w:rsidRPr="00606E51">
        <w:rPr>
          <w:rFonts w:cs="Times New Roman"/>
          <w:lang w:val="es-CO"/>
        </w:rPr>
        <w:t xml:space="preserve">S e IPS en el Departamento y </w:t>
      </w:r>
      <w:r w:rsidRPr="00606E51">
        <w:rPr>
          <w:rFonts w:cs="Times New Roman"/>
          <w:lang w:val="es-CO"/>
        </w:rPr>
        <w:t>que no esta bien estructurada la red de prestadores para hacer la re</w:t>
      </w:r>
      <w:r w:rsidR="00FA6453" w:rsidRPr="00606E51">
        <w:rPr>
          <w:rFonts w:cs="Times New Roman"/>
          <w:lang w:val="es-CO"/>
        </w:rPr>
        <w:t xml:space="preserve">ferencia y contra-referencia de los niños diagnósticados con desnutrición aguda. </w:t>
      </w:r>
      <w:r w:rsidR="00B02E37" w:rsidRPr="00606E51">
        <w:rPr>
          <w:rFonts w:cs="Times New Roman"/>
          <w:lang w:val="es-CO"/>
        </w:rPr>
        <w:t>E</w:t>
      </w:r>
      <w:r w:rsidR="0077143A" w:rsidRPr="00606E51">
        <w:rPr>
          <w:rFonts w:cs="Times New Roman"/>
          <w:lang w:val="es-CO"/>
        </w:rPr>
        <w:t xml:space="preserve">ste hallazgo implica que el MSPS debe avanzar en la implementación de PAIS y MIAS para este tipo de territorios. </w:t>
      </w:r>
    </w:p>
    <w:p w14:paraId="7296C837" w14:textId="77777777" w:rsidR="00492B02" w:rsidRPr="00606E51" w:rsidRDefault="00492B02" w:rsidP="00492B02">
      <w:pPr>
        <w:jc w:val="both"/>
        <w:rPr>
          <w:rFonts w:cs="Times New Roman"/>
          <w:lang w:val="es-CO"/>
        </w:rPr>
      </w:pPr>
    </w:p>
    <w:p w14:paraId="1D8BEDAE" w14:textId="77777777" w:rsidR="004A1493" w:rsidRPr="00606E51" w:rsidRDefault="00280348" w:rsidP="008A61FD">
      <w:pPr>
        <w:pStyle w:val="Heading2"/>
        <w:rPr>
          <w:lang w:val="es-CO"/>
        </w:rPr>
      </w:pPr>
      <w:bookmarkStart w:id="95" w:name="_Ref486358708"/>
      <w:bookmarkStart w:id="96" w:name="_Toc505090954"/>
      <w:r w:rsidRPr="00606E51">
        <w:rPr>
          <w:lang w:val="es-CO"/>
        </w:rPr>
        <w:t>Hallazgos para el criterio de costo-efectividad</w:t>
      </w:r>
      <w:bookmarkEnd w:id="95"/>
      <w:bookmarkEnd w:id="96"/>
    </w:p>
    <w:p w14:paraId="1C29DDE4" w14:textId="77777777" w:rsidR="004246F0" w:rsidRPr="00606E51" w:rsidRDefault="004246F0" w:rsidP="00201729">
      <w:pPr>
        <w:jc w:val="both"/>
        <w:rPr>
          <w:rFonts w:cs="Times New Roman"/>
          <w:b/>
          <w:lang w:val="es-CO"/>
        </w:rPr>
      </w:pPr>
    </w:p>
    <w:p w14:paraId="0D3237B7" w14:textId="77777777" w:rsidR="0036195C" w:rsidRPr="00606E51" w:rsidRDefault="00201729" w:rsidP="00201729">
      <w:pPr>
        <w:jc w:val="both"/>
        <w:rPr>
          <w:rFonts w:cs="Times New Roman"/>
          <w:lang w:val="es-CO"/>
        </w:rPr>
      </w:pPr>
      <w:r w:rsidRPr="00606E51">
        <w:rPr>
          <w:rFonts w:cs="Times New Roman"/>
          <w:lang w:val="es-CO"/>
        </w:rPr>
        <w:t>Para la estimación de los resultados se utilizó un modelo de árbol de decisión con los parámetros estimados a partir de la información descrita en la sección</w:t>
      </w:r>
      <w:r w:rsidR="004246F0" w:rsidRPr="00606E51">
        <w:rPr>
          <w:rFonts w:cs="Times New Roman"/>
          <w:lang w:val="es-CO"/>
        </w:rPr>
        <w:t xml:space="preserve"> </w:t>
      </w:r>
      <w:r w:rsidR="004246F0" w:rsidRPr="00606E51">
        <w:rPr>
          <w:rFonts w:cs="Times New Roman"/>
          <w:lang w:val="es-CO"/>
        </w:rPr>
        <w:fldChar w:fldCharType="begin"/>
      </w:r>
      <w:r w:rsidR="004246F0" w:rsidRPr="00606E51">
        <w:rPr>
          <w:rFonts w:cs="Times New Roman"/>
          <w:lang w:val="es-CO"/>
        </w:rPr>
        <w:instrText xml:space="preserve"> REF _Ref486292196 \r \h </w:instrText>
      </w:r>
      <w:r w:rsidR="004246F0" w:rsidRPr="00606E51">
        <w:rPr>
          <w:rFonts w:cs="Times New Roman"/>
          <w:lang w:val="es-CO"/>
        </w:rPr>
      </w:r>
      <w:r w:rsidR="004246F0" w:rsidRPr="00606E51">
        <w:rPr>
          <w:rFonts w:cs="Times New Roman"/>
          <w:lang w:val="es-CO"/>
        </w:rPr>
        <w:fldChar w:fldCharType="separate"/>
      </w:r>
      <w:r w:rsidR="004246F0" w:rsidRPr="00606E51">
        <w:rPr>
          <w:rFonts w:cs="Times New Roman"/>
          <w:lang w:val="es-CO"/>
        </w:rPr>
        <w:t>4.3.1</w:t>
      </w:r>
      <w:r w:rsidR="004246F0" w:rsidRPr="00606E51">
        <w:rPr>
          <w:rFonts w:cs="Times New Roman"/>
          <w:lang w:val="es-CO"/>
        </w:rPr>
        <w:fldChar w:fldCharType="end"/>
      </w:r>
      <w:r w:rsidR="004246F0" w:rsidRPr="00606E51">
        <w:rPr>
          <w:rFonts w:cs="Times New Roman"/>
          <w:lang w:val="es-CO"/>
        </w:rPr>
        <w:t xml:space="preserve"> </w:t>
      </w:r>
      <w:r w:rsidR="002956C4" w:rsidRPr="00606E51">
        <w:rPr>
          <w:rFonts w:cs="Times New Roman"/>
          <w:lang w:val="es-CO"/>
        </w:rPr>
        <w:t>(</w:t>
      </w:r>
      <w:r w:rsidR="004246F0" w:rsidRPr="00606E51">
        <w:rPr>
          <w:rFonts w:cs="Times New Roman"/>
          <w:lang w:val="es-CO"/>
        </w:rPr>
        <w:fldChar w:fldCharType="begin"/>
      </w:r>
      <w:r w:rsidR="004246F0" w:rsidRPr="00606E51">
        <w:rPr>
          <w:rFonts w:cs="Times New Roman"/>
          <w:lang w:val="es-CO"/>
        </w:rPr>
        <w:instrText xml:space="preserve"> REF _Ref486292228 \h </w:instrText>
      </w:r>
      <w:r w:rsidR="004246F0" w:rsidRPr="00606E51">
        <w:rPr>
          <w:rFonts w:cs="Times New Roman"/>
          <w:lang w:val="es-CO"/>
        </w:rPr>
      </w:r>
      <w:r w:rsidR="004246F0" w:rsidRPr="00606E51">
        <w:rPr>
          <w:rFonts w:cs="Times New Roman"/>
          <w:lang w:val="es-CO"/>
        </w:rPr>
        <w:fldChar w:fldCharType="separate"/>
      </w:r>
      <w:r w:rsidR="004246F0" w:rsidRPr="00606E51">
        <w:rPr>
          <w:lang w:val="es-CO"/>
        </w:rPr>
        <w:t>Los datos usados para la estimación de costo-efectividad</w:t>
      </w:r>
      <w:r w:rsidR="004246F0" w:rsidRPr="00606E51">
        <w:rPr>
          <w:rFonts w:cs="Times New Roman"/>
          <w:lang w:val="es-CO"/>
        </w:rPr>
        <w:fldChar w:fldCharType="end"/>
      </w:r>
      <w:r w:rsidR="002956C4" w:rsidRPr="00606E51">
        <w:rPr>
          <w:rFonts w:cs="Times New Roman"/>
          <w:lang w:val="es-CO"/>
        </w:rPr>
        <w:t>)</w:t>
      </w:r>
      <w:r w:rsidRPr="00606E51">
        <w:rPr>
          <w:rFonts w:cs="Times New Roman"/>
          <w:lang w:val="es-CO"/>
        </w:rPr>
        <w:t xml:space="preserve">. En la </w:t>
      </w:r>
      <w:r w:rsidRPr="00606E51">
        <w:rPr>
          <w:rFonts w:cs="Times New Roman"/>
          <w:lang w:val="es-CO"/>
        </w:rPr>
        <w:fldChar w:fldCharType="begin"/>
      </w:r>
      <w:r w:rsidRPr="00606E51">
        <w:rPr>
          <w:rFonts w:cs="Times New Roman"/>
          <w:lang w:val="es-CO"/>
        </w:rPr>
        <w:instrText xml:space="preserve"> REF  _Ref478146473 \* Lower \h  \* MERGEFORMAT </w:instrText>
      </w:r>
      <w:r w:rsidRPr="00606E51">
        <w:rPr>
          <w:rFonts w:cs="Times New Roman"/>
          <w:lang w:val="es-CO"/>
        </w:rPr>
      </w:r>
      <w:r w:rsidRPr="00606E51">
        <w:rPr>
          <w:rFonts w:cs="Times New Roman"/>
          <w:lang w:val="es-CO"/>
        </w:rPr>
        <w:fldChar w:fldCharType="separate"/>
      </w:r>
      <w:r w:rsidRPr="00606E51">
        <w:rPr>
          <w:rFonts w:cs="Times New Roman"/>
          <w:lang w:val="es-CO"/>
        </w:rPr>
        <w:t>figura 5.1</w:t>
      </w:r>
      <w:r w:rsidRPr="00606E51">
        <w:rPr>
          <w:rFonts w:cs="Times New Roman"/>
          <w:lang w:val="es-CO"/>
        </w:rPr>
        <w:fldChar w:fldCharType="end"/>
      </w:r>
      <w:r w:rsidRPr="00606E51">
        <w:rPr>
          <w:rFonts w:cs="Times New Roman"/>
          <w:lang w:val="es-CO"/>
        </w:rPr>
        <w:t xml:space="preserve"> se presentan la </w:t>
      </w:r>
      <w:r w:rsidRPr="00EF36E9">
        <w:rPr>
          <w:rFonts w:cs="Times New Roman"/>
          <w:lang w:val="es-CO"/>
        </w:rPr>
        <w:t>evolución entre estados considerando los</w:t>
      </w:r>
      <w:r w:rsidRPr="00606E51">
        <w:rPr>
          <w:rFonts w:cs="Times New Roman"/>
          <w:lang w:val="es-CO"/>
        </w:rPr>
        <w:t xml:space="preserve"> dos escenarios de análisis y las probabilidades estimadas de pasar de un estado a otro. Adicionalmente, a partir de 5.000 simulaciones se estimaron los valores promedio de cada uno de los resultados de costos y efectividad.</w:t>
      </w:r>
    </w:p>
    <w:p w14:paraId="5A9030AF" w14:textId="77777777" w:rsidR="0036195C" w:rsidRPr="00606E51" w:rsidRDefault="0036195C" w:rsidP="00201729">
      <w:pPr>
        <w:jc w:val="both"/>
        <w:rPr>
          <w:rFonts w:cs="Times New Roman"/>
          <w:lang w:val="es-CO"/>
        </w:rPr>
      </w:pPr>
    </w:p>
    <w:p w14:paraId="68A8952B" w14:textId="77777777" w:rsidR="00201729" w:rsidRPr="00606E51" w:rsidRDefault="00201729" w:rsidP="00201729">
      <w:pPr>
        <w:jc w:val="both"/>
        <w:rPr>
          <w:rFonts w:cs="Times New Roman"/>
          <w:b/>
          <w:bCs/>
          <w:lang w:val="es-CO"/>
        </w:rPr>
      </w:pPr>
      <w:bookmarkStart w:id="97" w:name="_Ref478146473"/>
      <w:bookmarkStart w:id="98" w:name="_Toc486454318"/>
      <w:r w:rsidRPr="00606E51">
        <w:rPr>
          <w:rFonts w:cs="Times New Roman"/>
          <w:b/>
          <w:bCs/>
          <w:lang w:val="es-CO"/>
        </w:rPr>
        <w:t xml:space="preserve">Figura </w:t>
      </w:r>
      <w:r w:rsidRPr="00606E51">
        <w:rPr>
          <w:rFonts w:cs="Times New Roman"/>
          <w:b/>
          <w:bCs/>
          <w:lang w:val="es-CO"/>
        </w:rPr>
        <w:fldChar w:fldCharType="begin"/>
      </w:r>
      <w:r w:rsidRPr="00606E51">
        <w:rPr>
          <w:rFonts w:cs="Times New Roman"/>
          <w:b/>
          <w:bCs/>
          <w:lang w:val="es-CO"/>
        </w:rPr>
        <w:instrText xml:space="preserve"> STYLEREF 1 \s </w:instrText>
      </w:r>
      <w:r w:rsidRPr="00606E51">
        <w:rPr>
          <w:rFonts w:cs="Times New Roman"/>
          <w:b/>
          <w:bCs/>
          <w:lang w:val="es-CO"/>
        </w:rPr>
        <w:fldChar w:fldCharType="separate"/>
      </w:r>
      <w:r w:rsidR="002A5922" w:rsidRPr="00606E51">
        <w:rPr>
          <w:rFonts w:cs="Times New Roman"/>
          <w:b/>
          <w:bCs/>
          <w:lang w:val="es-CO"/>
        </w:rPr>
        <w:t>5</w:t>
      </w:r>
      <w:r w:rsidRPr="00606E51">
        <w:rPr>
          <w:rFonts w:cs="Times New Roman"/>
          <w:lang w:val="es-CO"/>
        </w:rPr>
        <w:fldChar w:fldCharType="end"/>
      </w:r>
      <w:r w:rsidRPr="00606E51">
        <w:rPr>
          <w:rFonts w:cs="Times New Roman"/>
          <w:b/>
          <w:bCs/>
          <w:lang w:val="es-CO"/>
        </w:rPr>
        <w:t>.</w:t>
      </w:r>
      <w:r w:rsidRPr="00606E51">
        <w:rPr>
          <w:rFonts w:cs="Times New Roman"/>
          <w:b/>
          <w:bCs/>
          <w:lang w:val="es-CO"/>
        </w:rPr>
        <w:fldChar w:fldCharType="begin"/>
      </w:r>
      <w:r w:rsidRPr="00606E51">
        <w:rPr>
          <w:rFonts w:cs="Times New Roman"/>
          <w:b/>
          <w:bCs/>
          <w:lang w:val="es-CO"/>
        </w:rPr>
        <w:instrText xml:space="preserve"> SEQ Figura \* ARABIC \s 1 </w:instrText>
      </w:r>
      <w:r w:rsidRPr="00606E51">
        <w:rPr>
          <w:rFonts w:cs="Times New Roman"/>
          <w:b/>
          <w:bCs/>
          <w:lang w:val="es-CO"/>
        </w:rPr>
        <w:fldChar w:fldCharType="separate"/>
      </w:r>
      <w:r w:rsidR="002A5922" w:rsidRPr="00606E51">
        <w:rPr>
          <w:rFonts w:cs="Times New Roman"/>
          <w:b/>
          <w:bCs/>
          <w:lang w:val="es-CO"/>
        </w:rPr>
        <w:t>1</w:t>
      </w:r>
      <w:r w:rsidRPr="00606E51">
        <w:rPr>
          <w:rFonts w:cs="Times New Roman"/>
          <w:lang w:val="es-CO"/>
        </w:rPr>
        <w:fldChar w:fldCharType="end"/>
      </w:r>
      <w:bookmarkEnd w:id="97"/>
      <w:r w:rsidRPr="00606E51">
        <w:rPr>
          <w:rFonts w:cs="Times New Roman"/>
          <w:b/>
          <w:bCs/>
          <w:lang w:val="es-CO"/>
        </w:rPr>
        <w:t>. Árbol de decisión en los esc</w:t>
      </w:r>
      <w:r w:rsidR="009E7E6B" w:rsidRPr="00606E51">
        <w:rPr>
          <w:rFonts w:cs="Times New Roman"/>
          <w:b/>
          <w:bCs/>
          <w:lang w:val="es-CO"/>
        </w:rPr>
        <w:t>enarios sin implementación del L</w:t>
      </w:r>
      <w:r w:rsidRPr="00606E51">
        <w:rPr>
          <w:rFonts w:cs="Times New Roman"/>
          <w:b/>
          <w:bCs/>
          <w:lang w:val="es-CO"/>
        </w:rPr>
        <w:t>ineamien</w:t>
      </w:r>
      <w:r w:rsidR="009E7E6B" w:rsidRPr="00606E51">
        <w:rPr>
          <w:rFonts w:cs="Times New Roman"/>
          <w:b/>
          <w:bCs/>
          <w:lang w:val="es-CO"/>
        </w:rPr>
        <w:t>to y con la implementación del L</w:t>
      </w:r>
      <w:r w:rsidRPr="00606E51">
        <w:rPr>
          <w:rFonts w:cs="Times New Roman"/>
          <w:b/>
          <w:bCs/>
          <w:lang w:val="es-CO"/>
        </w:rPr>
        <w:t>ineamiento</w:t>
      </w:r>
      <w:bookmarkEnd w:id="98"/>
    </w:p>
    <w:p w14:paraId="266F8C88" w14:textId="77777777" w:rsidR="00201729" w:rsidRPr="00606E51" w:rsidRDefault="00201729" w:rsidP="00201729">
      <w:pPr>
        <w:jc w:val="both"/>
        <w:rPr>
          <w:rFonts w:cs="Times New Roman"/>
          <w:lang w:val="es-CO"/>
        </w:rPr>
      </w:pPr>
      <w:r w:rsidRPr="00606E51">
        <w:rPr>
          <w:rFonts w:cs="Times New Roman"/>
          <w:noProof/>
          <w:lang w:val="en-US"/>
        </w:rPr>
        <w:drawing>
          <wp:inline distT="0" distB="0" distL="0" distR="0" wp14:anchorId="62987F4E" wp14:editId="0F58C501">
            <wp:extent cx="5603240" cy="2387744"/>
            <wp:effectExtent l="0" t="0" r="1016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6.png"/>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747700" cy="2449304"/>
                    </a:xfrm>
                    <a:prstGeom prst="rect">
                      <a:avLst/>
                    </a:prstGeom>
                    <a:ln>
                      <a:noFill/>
                    </a:ln>
                    <a:extLst>
                      <a:ext uri="{53640926-AAD7-44D8-BBD7-CCE9431645EC}">
                        <a14:shadowObscured xmlns:a14="http://schemas.microsoft.com/office/drawing/2010/main"/>
                      </a:ext>
                    </a:extLst>
                  </pic:spPr>
                </pic:pic>
              </a:graphicData>
            </a:graphic>
          </wp:inline>
        </w:drawing>
      </w:r>
    </w:p>
    <w:p w14:paraId="206F0531" w14:textId="77777777" w:rsidR="00201729" w:rsidRPr="00606E51" w:rsidRDefault="00201729" w:rsidP="00201729">
      <w:pPr>
        <w:jc w:val="both"/>
        <w:rPr>
          <w:rFonts w:cs="Times New Roman"/>
          <w:sz w:val="21"/>
          <w:lang w:val="es-CO"/>
        </w:rPr>
      </w:pPr>
      <w:r w:rsidRPr="00606E51">
        <w:rPr>
          <w:rFonts w:cs="Times New Roman"/>
          <w:sz w:val="18"/>
          <w:lang w:val="es-CO"/>
        </w:rPr>
        <w:t>Fuente: elaboración propia</w:t>
      </w:r>
    </w:p>
    <w:p w14:paraId="5E26DCB9" w14:textId="77777777" w:rsidR="007665CF" w:rsidRPr="00606E51" w:rsidRDefault="00201729" w:rsidP="00201729">
      <w:pPr>
        <w:jc w:val="both"/>
        <w:rPr>
          <w:rFonts w:cs="Times New Roman"/>
          <w:lang w:val="es-CO"/>
        </w:rPr>
      </w:pPr>
      <w:r w:rsidRPr="00606E51">
        <w:rPr>
          <w:rFonts w:cs="Times New Roman"/>
          <w:lang w:val="es-CO"/>
        </w:rPr>
        <w:t xml:space="preserve">Es importante señalar que solamente se está considerando una situación de mortalidad cuando el niño o niña se encuentra hospitalizado en una IPS de mediana/alta complejidad, ya que no se cuenta con </w:t>
      </w:r>
      <w:r w:rsidRPr="00606E51">
        <w:rPr>
          <w:rFonts w:cs="Times New Roman"/>
          <w:lang w:val="es-CO"/>
        </w:rPr>
        <w:lastRenderedPageBreak/>
        <w:t>información que permita estimar una tasa de mortalidad para una situación diferente; sin embargo, esto no significa que se esté desconociendo que se puedan presentar defunciones en otros escenarios.</w:t>
      </w:r>
      <w:bookmarkStart w:id="99" w:name="_Ref478147443"/>
    </w:p>
    <w:p w14:paraId="13EEA0B1" w14:textId="77777777" w:rsidR="003C0C4E" w:rsidRPr="00606E51" w:rsidRDefault="003C0C4E" w:rsidP="00201729">
      <w:pPr>
        <w:jc w:val="both"/>
        <w:rPr>
          <w:rFonts w:cs="Times New Roman"/>
          <w:lang w:val="es-CO"/>
        </w:rPr>
      </w:pPr>
    </w:p>
    <w:p w14:paraId="449766F7" w14:textId="77777777" w:rsidR="007155CA" w:rsidRDefault="007155CA" w:rsidP="007665CF">
      <w:pPr>
        <w:jc w:val="center"/>
        <w:rPr>
          <w:rFonts w:cs="Times New Roman"/>
          <w:b/>
          <w:bCs/>
          <w:lang w:val="es-CO"/>
        </w:rPr>
      </w:pPr>
      <w:bookmarkStart w:id="100" w:name="_Toc490045712"/>
    </w:p>
    <w:p w14:paraId="7F55E233" w14:textId="77777777" w:rsidR="007155CA" w:rsidRDefault="007155CA" w:rsidP="007665CF">
      <w:pPr>
        <w:jc w:val="center"/>
        <w:rPr>
          <w:rFonts w:cs="Times New Roman"/>
          <w:b/>
          <w:bCs/>
          <w:lang w:val="es-CO"/>
        </w:rPr>
      </w:pPr>
    </w:p>
    <w:p w14:paraId="1CD3C1E1" w14:textId="77777777" w:rsidR="00201729" w:rsidRPr="00606E51" w:rsidRDefault="00201729" w:rsidP="007665CF">
      <w:pPr>
        <w:jc w:val="center"/>
        <w:rPr>
          <w:rFonts w:cs="Times New Roman"/>
          <w:lang w:val="es-CO"/>
        </w:rPr>
      </w:pPr>
      <w:r w:rsidRPr="00606E51">
        <w:rPr>
          <w:rFonts w:cs="Times New Roman"/>
          <w:b/>
          <w:bCs/>
          <w:lang w:val="es-CO"/>
        </w:rPr>
        <w:t xml:space="preserve">Cuadro </w:t>
      </w:r>
      <w:r w:rsidR="00F1370E" w:rsidRPr="00606E51">
        <w:rPr>
          <w:rFonts w:cs="Times New Roman"/>
          <w:b/>
          <w:bCs/>
          <w:lang w:val="es-CO"/>
        </w:rPr>
        <w:fldChar w:fldCharType="begin"/>
      </w:r>
      <w:r w:rsidR="00F1370E" w:rsidRPr="00606E51">
        <w:rPr>
          <w:rFonts w:cs="Times New Roman"/>
          <w:b/>
          <w:bCs/>
          <w:lang w:val="es-CO"/>
        </w:rPr>
        <w:instrText xml:space="preserve"> STYLEREF 1 \s </w:instrText>
      </w:r>
      <w:r w:rsidR="00F1370E" w:rsidRPr="00606E51">
        <w:rPr>
          <w:rFonts w:cs="Times New Roman"/>
          <w:b/>
          <w:bCs/>
          <w:lang w:val="es-CO"/>
        </w:rPr>
        <w:fldChar w:fldCharType="separate"/>
      </w:r>
      <w:r w:rsidR="00F1370E" w:rsidRPr="00606E51">
        <w:rPr>
          <w:rFonts w:cs="Times New Roman"/>
          <w:b/>
          <w:bCs/>
          <w:lang w:val="es-CO"/>
        </w:rPr>
        <w:t>5</w:t>
      </w:r>
      <w:r w:rsidR="00F1370E" w:rsidRPr="00606E51">
        <w:rPr>
          <w:rFonts w:cs="Times New Roman"/>
          <w:b/>
          <w:bCs/>
          <w:lang w:val="es-CO"/>
        </w:rPr>
        <w:fldChar w:fldCharType="end"/>
      </w:r>
      <w:r w:rsidR="00F1370E" w:rsidRPr="00606E51">
        <w:rPr>
          <w:rFonts w:cs="Times New Roman"/>
          <w:b/>
          <w:bCs/>
          <w:lang w:val="es-CO"/>
        </w:rPr>
        <w:noBreakHyphen/>
      </w:r>
      <w:r w:rsidR="00F1370E" w:rsidRPr="00606E51">
        <w:rPr>
          <w:rFonts w:cs="Times New Roman"/>
          <w:b/>
          <w:bCs/>
          <w:lang w:val="es-CO"/>
        </w:rPr>
        <w:fldChar w:fldCharType="begin"/>
      </w:r>
      <w:r w:rsidR="00F1370E" w:rsidRPr="00606E51">
        <w:rPr>
          <w:rFonts w:cs="Times New Roman"/>
          <w:b/>
          <w:bCs/>
          <w:lang w:val="es-CO"/>
        </w:rPr>
        <w:instrText xml:space="preserve"> SEQ Cuadro \* ROMAN \s 1 </w:instrText>
      </w:r>
      <w:r w:rsidR="00F1370E" w:rsidRPr="00606E51">
        <w:rPr>
          <w:rFonts w:cs="Times New Roman"/>
          <w:b/>
          <w:bCs/>
          <w:lang w:val="es-CO"/>
        </w:rPr>
        <w:fldChar w:fldCharType="separate"/>
      </w:r>
      <w:r w:rsidR="00F1370E" w:rsidRPr="00606E51">
        <w:rPr>
          <w:rFonts w:cs="Times New Roman"/>
          <w:b/>
          <w:bCs/>
          <w:lang w:val="es-CO"/>
        </w:rPr>
        <w:t>I</w:t>
      </w:r>
      <w:r w:rsidR="00F1370E" w:rsidRPr="00606E51">
        <w:rPr>
          <w:rFonts w:cs="Times New Roman"/>
          <w:b/>
          <w:bCs/>
          <w:lang w:val="es-CO"/>
        </w:rPr>
        <w:fldChar w:fldCharType="end"/>
      </w:r>
      <w:bookmarkEnd w:id="99"/>
      <w:r w:rsidRPr="00606E51">
        <w:rPr>
          <w:rFonts w:cs="Times New Roman"/>
          <w:b/>
          <w:bCs/>
          <w:lang w:val="es-CO"/>
        </w:rPr>
        <w:t>. Parámetros para la estimación de costos</w:t>
      </w:r>
      <w:bookmarkEnd w:id="100"/>
    </w:p>
    <w:tbl>
      <w:tblPr>
        <w:tblW w:w="7286" w:type="dxa"/>
        <w:jc w:val="center"/>
        <w:tblCellMar>
          <w:left w:w="70" w:type="dxa"/>
          <w:right w:w="70" w:type="dxa"/>
        </w:tblCellMar>
        <w:tblLook w:val="04A0" w:firstRow="1" w:lastRow="0" w:firstColumn="1" w:lastColumn="0" w:noHBand="0" w:noVBand="1"/>
      </w:tblPr>
      <w:tblGrid>
        <w:gridCol w:w="4029"/>
        <w:gridCol w:w="1674"/>
        <w:gridCol w:w="1583"/>
      </w:tblGrid>
      <w:tr w:rsidR="00201729" w:rsidRPr="00606E51" w14:paraId="317FFF12" w14:textId="77777777" w:rsidTr="00070782">
        <w:trPr>
          <w:trHeight w:val="213"/>
          <w:jc w:val="center"/>
        </w:trPr>
        <w:tc>
          <w:tcPr>
            <w:tcW w:w="4029" w:type="dxa"/>
            <w:tcBorders>
              <w:top w:val="single" w:sz="4" w:space="0" w:color="auto"/>
              <w:left w:val="nil"/>
              <w:bottom w:val="single" w:sz="4" w:space="0" w:color="auto"/>
              <w:right w:val="nil"/>
            </w:tcBorders>
            <w:shd w:val="clear" w:color="auto" w:fill="auto"/>
            <w:noWrap/>
            <w:vAlign w:val="center"/>
            <w:hideMark/>
          </w:tcPr>
          <w:p w14:paraId="02C19841"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Atención ambulatoria de manejo en el hogar</w:t>
            </w:r>
          </w:p>
        </w:tc>
        <w:tc>
          <w:tcPr>
            <w:tcW w:w="1674" w:type="dxa"/>
            <w:tcBorders>
              <w:top w:val="single" w:sz="4" w:space="0" w:color="auto"/>
              <w:left w:val="nil"/>
              <w:bottom w:val="single" w:sz="4" w:space="0" w:color="auto"/>
              <w:right w:val="nil"/>
            </w:tcBorders>
            <w:shd w:val="clear" w:color="auto" w:fill="auto"/>
            <w:vAlign w:val="center"/>
            <w:hideMark/>
          </w:tcPr>
          <w:p w14:paraId="57FA9BFA"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Con lineamiento</w:t>
            </w:r>
            <w:r w:rsidRPr="00606E51">
              <w:rPr>
                <w:rFonts w:cs="Times New Roman"/>
                <w:sz w:val="16"/>
                <w:szCs w:val="16"/>
                <w:vertAlign w:val="superscript"/>
                <w:lang w:val="es-CO"/>
              </w:rPr>
              <w:footnoteReference w:id="64"/>
            </w:r>
          </w:p>
        </w:tc>
        <w:tc>
          <w:tcPr>
            <w:tcW w:w="1583" w:type="dxa"/>
            <w:tcBorders>
              <w:top w:val="single" w:sz="4" w:space="0" w:color="auto"/>
              <w:left w:val="nil"/>
              <w:bottom w:val="single" w:sz="4" w:space="0" w:color="auto"/>
              <w:right w:val="nil"/>
            </w:tcBorders>
            <w:shd w:val="clear" w:color="auto" w:fill="auto"/>
            <w:vAlign w:val="center"/>
            <w:hideMark/>
          </w:tcPr>
          <w:p w14:paraId="443E9FA9"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 xml:space="preserve">Sin lineamiento </w:t>
            </w:r>
          </w:p>
        </w:tc>
      </w:tr>
      <w:tr w:rsidR="00201729" w:rsidRPr="00606E51" w14:paraId="695626BE" w14:textId="77777777" w:rsidTr="002956C4">
        <w:trPr>
          <w:trHeight w:val="20"/>
          <w:jc w:val="center"/>
        </w:trPr>
        <w:tc>
          <w:tcPr>
            <w:tcW w:w="4029" w:type="dxa"/>
            <w:tcBorders>
              <w:top w:val="nil"/>
              <w:left w:val="nil"/>
              <w:bottom w:val="nil"/>
              <w:right w:val="nil"/>
            </w:tcBorders>
            <w:shd w:val="clear" w:color="auto" w:fill="auto"/>
            <w:vAlign w:val="center"/>
            <w:hideMark/>
          </w:tcPr>
          <w:p w14:paraId="166925DD"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Formula terapéutica lista para consumir (FTLC)</w:t>
            </w:r>
          </w:p>
        </w:tc>
        <w:tc>
          <w:tcPr>
            <w:tcW w:w="1674" w:type="dxa"/>
            <w:tcBorders>
              <w:top w:val="nil"/>
              <w:left w:val="nil"/>
              <w:bottom w:val="nil"/>
              <w:right w:val="nil"/>
            </w:tcBorders>
            <w:shd w:val="clear" w:color="auto" w:fill="auto"/>
            <w:noWrap/>
            <w:vAlign w:val="bottom"/>
            <w:hideMark/>
          </w:tcPr>
          <w:p w14:paraId="5ADE5E55"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$115.764</w:t>
            </w:r>
          </w:p>
        </w:tc>
        <w:tc>
          <w:tcPr>
            <w:tcW w:w="1583" w:type="dxa"/>
            <w:tcBorders>
              <w:top w:val="nil"/>
              <w:left w:val="nil"/>
              <w:bottom w:val="nil"/>
              <w:right w:val="nil"/>
            </w:tcBorders>
            <w:shd w:val="clear" w:color="auto" w:fill="auto"/>
            <w:noWrap/>
            <w:vAlign w:val="bottom"/>
            <w:hideMark/>
          </w:tcPr>
          <w:p w14:paraId="1FD5D4EC"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22E93621" w14:textId="77777777" w:rsidTr="002956C4">
        <w:trPr>
          <w:trHeight w:val="20"/>
          <w:jc w:val="center"/>
        </w:trPr>
        <w:tc>
          <w:tcPr>
            <w:tcW w:w="4029" w:type="dxa"/>
            <w:tcBorders>
              <w:top w:val="nil"/>
              <w:left w:val="nil"/>
              <w:bottom w:val="nil"/>
              <w:right w:val="nil"/>
            </w:tcBorders>
            <w:shd w:val="clear" w:color="auto" w:fill="auto"/>
            <w:vAlign w:val="center"/>
            <w:hideMark/>
          </w:tcPr>
          <w:p w14:paraId="29192C07"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Precio sobre FTLC</w:t>
            </w:r>
            <w:r w:rsidRPr="00606E51">
              <w:rPr>
                <w:rFonts w:cs="Times New Roman"/>
                <w:bCs/>
                <w:sz w:val="16"/>
                <w:szCs w:val="16"/>
                <w:vertAlign w:val="superscript"/>
                <w:lang w:val="es-CO"/>
              </w:rPr>
              <w:t>1</w:t>
            </w:r>
          </w:p>
        </w:tc>
        <w:tc>
          <w:tcPr>
            <w:tcW w:w="1674" w:type="dxa"/>
            <w:tcBorders>
              <w:top w:val="nil"/>
              <w:left w:val="nil"/>
              <w:bottom w:val="nil"/>
              <w:right w:val="nil"/>
            </w:tcBorders>
            <w:shd w:val="clear" w:color="auto" w:fill="auto"/>
            <w:noWrap/>
            <w:vAlign w:val="bottom"/>
            <w:hideMark/>
          </w:tcPr>
          <w:p w14:paraId="45BADCB0"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1.257</w:t>
            </w:r>
          </w:p>
        </w:tc>
        <w:tc>
          <w:tcPr>
            <w:tcW w:w="1583" w:type="dxa"/>
            <w:tcBorders>
              <w:top w:val="nil"/>
              <w:left w:val="nil"/>
              <w:bottom w:val="nil"/>
              <w:right w:val="nil"/>
            </w:tcBorders>
            <w:shd w:val="clear" w:color="auto" w:fill="auto"/>
            <w:noWrap/>
            <w:vAlign w:val="bottom"/>
            <w:hideMark/>
          </w:tcPr>
          <w:p w14:paraId="2CB1251B"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7DC3B839" w14:textId="77777777" w:rsidTr="002956C4">
        <w:trPr>
          <w:trHeight w:val="20"/>
          <w:jc w:val="center"/>
        </w:trPr>
        <w:tc>
          <w:tcPr>
            <w:tcW w:w="4029" w:type="dxa"/>
            <w:tcBorders>
              <w:top w:val="nil"/>
              <w:left w:val="nil"/>
              <w:bottom w:val="nil"/>
              <w:right w:val="nil"/>
            </w:tcBorders>
            <w:shd w:val="clear" w:color="auto" w:fill="auto"/>
            <w:vAlign w:val="center"/>
            <w:hideMark/>
          </w:tcPr>
          <w:p w14:paraId="67CE681A"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Número de sobres por niño</w:t>
            </w:r>
            <w:r w:rsidRPr="00606E51">
              <w:rPr>
                <w:rFonts w:cs="Times New Roman"/>
                <w:bCs/>
                <w:sz w:val="16"/>
                <w:szCs w:val="16"/>
                <w:vertAlign w:val="superscript"/>
                <w:lang w:val="es-CO"/>
              </w:rPr>
              <w:t>2</w:t>
            </w:r>
          </w:p>
        </w:tc>
        <w:tc>
          <w:tcPr>
            <w:tcW w:w="1674" w:type="dxa"/>
            <w:tcBorders>
              <w:top w:val="nil"/>
              <w:left w:val="nil"/>
              <w:bottom w:val="nil"/>
              <w:right w:val="nil"/>
            </w:tcBorders>
            <w:shd w:val="clear" w:color="auto" w:fill="auto"/>
            <w:noWrap/>
            <w:vAlign w:val="bottom"/>
            <w:hideMark/>
          </w:tcPr>
          <w:p w14:paraId="747C9EA9"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92</w:t>
            </w:r>
          </w:p>
        </w:tc>
        <w:tc>
          <w:tcPr>
            <w:tcW w:w="1583" w:type="dxa"/>
            <w:tcBorders>
              <w:top w:val="nil"/>
              <w:left w:val="nil"/>
              <w:bottom w:val="nil"/>
              <w:right w:val="nil"/>
            </w:tcBorders>
            <w:shd w:val="clear" w:color="auto" w:fill="auto"/>
            <w:noWrap/>
            <w:vAlign w:val="bottom"/>
            <w:hideMark/>
          </w:tcPr>
          <w:p w14:paraId="6BDFA4D7"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2EF32766"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587F671B"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Kit FTLC</w:t>
            </w:r>
            <w:r w:rsidRPr="00606E51">
              <w:rPr>
                <w:rFonts w:cs="Times New Roman"/>
                <w:bCs/>
                <w:sz w:val="16"/>
                <w:szCs w:val="16"/>
                <w:vertAlign w:val="superscript"/>
                <w:lang w:val="es-CO"/>
              </w:rPr>
              <w:t>3</w:t>
            </w:r>
          </w:p>
        </w:tc>
        <w:tc>
          <w:tcPr>
            <w:tcW w:w="1674" w:type="dxa"/>
            <w:tcBorders>
              <w:top w:val="nil"/>
              <w:left w:val="nil"/>
              <w:bottom w:val="nil"/>
              <w:right w:val="nil"/>
            </w:tcBorders>
            <w:shd w:val="clear" w:color="auto" w:fill="auto"/>
            <w:noWrap/>
            <w:vAlign w:val="bottom"/>
            <w:hideMark/>
          </w:tcPr>
          <w:p w14:paraId="2AA34F27"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$13.850</w:t>
            </w:r>
          </w:p>
        </w:tc>
        <w:tc>
          <w:tcPr>
            <w:tcW w:w="1583" w:type="dxa"/>
            <w:tcBorders>
              <w:top w:val="nil"/>
              <w:left w:val="nil"/>
              <w:bottom w:val="nil"/>
              <w:right w:val="nil"/>
            </w:tcBorders>
            <w:shd w:val="clear" w:color="auto" w:fill="auto"/>
            <w:noWrap/>
            <w:vAlign w:val="bottom"/>
            <w:hideMark/>
          </w:tcPr>
          <w:p w14:paraId="56204490"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17EBC55F"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413B3ACA"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Otros insumos y costos no comunes</w:t>
            </w:r>
          </w:p>
        </w:tc>
        <w:tc>
          <w:tcPr>
            <w:tcW w:w="1674" w:type="dxa"/>
            <w:tcBorders>
              <w:top w:val="nil"/>
              <w:left w:val="nil"/>
              <w:bottom w:val="nil"/>
              <w:right w:val="nil"/>
            </w:tcBorders>
            <w:shd w:val="clear" w:color="auto" w:fill="auto"/>
            <w:noWrap/>
            <w:vAlign w:val="bottom"/>
            <w:hideMark/>
          </w:tcPr>
          <w:p w14:paraId="184B1CD8"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c>
          <w:tcPr>
            <w:tcW w:w="1583" w:type="dxa"/>
            <w:tcBorders>
              <w:top w:val="nil"/>
              <w:left w:val="nil"/>
              <w:bottom w:val="nil"/>
              <w:right w:val="nil"/>
            </w:tcBorders>
            <w:shd w:val="clear" w:color="auto" w:fill="auto"/>
            <w:noWrap/>
            <w:vAlign w:val="bottom"/>
            <w:hideMark/>
          </w:tcPr>
          <w:p w14:paraId="149E4C8F"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5BB9FCCC"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4AFF8290"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Costos de entrenamiento</w:t>
            </w:r>
          </w:p>
        </w:tc>
        <w:tc>
          <w:tcPr>
            <w:tcW w:w="1674" w:type="dxa"/>
            <w:tcBorders>
              <w:top w:val="nil"/>
              <w:left w:val="nil"/>
              <w:bottom w:val="nil"/>
              <w:right w:val="nil"/>
            </w:tcBorders>
            <w:shd w:val="clear" w:color="auto" w:fill="auto"/>
            <w:noWrap/>
            <w:vAlign w:val="bottom"/>
            <w:hideMark/>
          </w:tcPr>
          <w:p w14:paraId="474098DE"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c>
          <w:tcPr>
            <w:tcW w:w="1583" w:type="dxa"/>
            <w:tcBorders>
              <w:top w:val="nil"/>
              <w:left w:val="nil"/>
              <w:bottom w:val="nil"/>
              <w:right w:val="nil"/>
            </w:tcBorders>
            <w:shd w:val="clear" w:color="auto" w:fill="auto"/>
            <w:noWrap/>
            <w:vAlign w:val="bottom"/>
            <w:hideMark/>
          </w:tcPr>
          <w:p w14:paraId="14354C3A"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057D048C" w14:textId="77777777" w:rsidTr="002956C4">
        <w:trPr>
          <w:trHeight w:val="20"/>
          <w:jc w:val="center"/>
        </w:trPr>
        <w:tc>
          <w:tcPr>
            <w:tcW w:w="4029" w:type="dxa"/>
            <w:tcBorders>
              <w:top w:val="nil"/>
              <w:left w:val="nil"/>
              <w:bottom w:val="nil"/>
              <w:right w:val="nil"/>
            </w:tcBorders>
            <w:shd w:val="clear" w:color="auto" w:fill="auto"/>
            <w:vAlign w:val="center"/>
            <w:hideMark/>
          </w:tcPr>
          <w:p w14:paraId="09241300"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Total</w:t>
            </w:r>
          </w:p>
        </w:tc>
        <w:tc>
          <w:tcPr>
            <w:tcW w:w="1674" w:type="dxa"/>
            <w:tcBorders>
              <w:top w:val="nil"/>
              <w:left w:val="nil"/>
              <w:bottom w:val="nil"/>
              <w:right w:val="nil"/>
            </w:tcBorders>
            <w:shd w:val="clear" w:color="auto" w:fill="auto"/>
            <w:noWrap/>
            <w:vAlign w:val="bottom"/>
            <w:hideMark/>
          </w:tcPr>
          <w:p w14:paraId="47F9A843"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$129.614</w:t>
            </w:r>
          </w:p>
        </w:tc>
        <w:tc>
          <w:tcPr>
            <w:tcW w:w="1583" w:type="dxa"/>
            <w:tcBorders>
              <w:top w:val="nil"/>
              <w:left w:val="nil"/>
              <w:bottom w:val="nil"/>
              <w:right w:val="nil"/>
            </w:tcBorders>
            <w:shd w:val="clear" w:color="auto" w:fill="auto"/>
            <w:noWrap/>
            <w:vAlign w:val="bottom"/>
            <w:hideMark/>
          </w:tcPr>
          <w:p w14:paraId="4FB8F432"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71025A94" w14:textId="77777777" w:rsidTr="002956C4">
        <w:trPr>
          <w:trHeight w:val="20"/>
          <w:jc w:val="center"/>
        </w:trPr>
        <w:tc>
          <w:tcPr>
            <w:tcW w:w="4029" w:type="dxa"/>
            <w:tcBorders>
              <w:top w:val="single" w:sz="4" w:space="0" w:color="auto"/>
              <w:left w:val="nil"/>
              <w:bottom w:val="single" w:sz="4" w:space="0" w:color="auto"/>
              <w:right w:val="nil"/>
            </w:tcBorders>
            <w:shd w:val="clear" w:color="auto" w:fill="auto"/>
            <w:noWrap/>
            <w:vAlign w:val="center"/>
            <w:hideMark/>
          </w:tcPr>
          <w:p w14:paraId="2824354B"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Atención mediana complejidad</w:t>
            </w:r>
          </w:p>
        </w:tc>
        <w:tc>
          <w:tcPr>
            <w:tcW w:w="1674" w:type="dxa"/>
            <w:tcBorders>
              <w:top w:val="single" w:sz="4" w:space="0" w:color="auto"/>
              <w:left w:val="nil"/>
              <w:bottom w:val="single" w:sz="4" w:space="0" w:color="auto"/>
              <w:right w:val="nil"/>
            </w:tcBorders>
            <w:shd w:val="clear" w:color="auto" w:fill="auto"/>
            <w:vAlign w:val="center"/>
            <w:hideMark/>
          </w:tcPr>
          <w:p w14:paraId="101D4E33" w14:textId="77777777" w:rsidR="00201729" w:rsidRPr="00606E51" w:rsidRDefault="00201729" w:rsidP="00070782">
            <w:pPr>
              <w:jc w:val="center"/>
              <w:rPr>
                <w:rFonts w:cs="Times New Roman"/>
                <w:b/>
                <w:bCs/>
                <w:sz w:val="16"/>
                <w:szCs w:val="16"/>
                <w:lang w:val="es-CO"/>
              </w:rPr>
            </w:pPr>
            <w:r w:rsidRPr="00606E51">
              <w:rPr>
                <w:rFonts w:cs="Times New Roman"/>
                <w:b/>
                <w:bCs/>
                <w:sz w:val="16"/>
                <w:szCs w:val="16"/>
                <w:lang w:val="es-CO"/>
              </w:rPr>
              <w:t>Con lineamiento</w:t>
            </w:r>
          </w:p>
        </w:tc>
        <w:tc>
          <w:tcPr>
            <w:tcW w:w="1583" w:type="dxa"/>
            <w:tcBorders>
              <w:top w:val="single" w:sz="4" w:space="0" w:color="auto"/>
              <w:left w:val="nil"/>
              <w:bottom w:val="single" w:sz="4" w:space="0" w:color="auto"/>
              <w:right w:val="nil"/>
            </w:tcBorders>
            <w:shd w:val="clear" w:color="auto" w:fill="auto"/>
            <w:vAlign w:val="center"/>
            <w:hideMark/>
          </w:tcPr>
          <w:p w14:paraId="4F4DA6BC" w14:textId="77777777" w:rsidR="00201729" w:rsidRPr="00606E51" w:rsidRDefault="00201729" w:rsidP="00070782">
            <w:pPr>
              <w:jc w:val="center"/>
              <w:rPr>
                <w:rFonts w:cs="Times New Roman"/>
                <w:b/>
                <w:bCs/>
                <w:sz w:val="16"/>
                <w:szCs w:val="16"/>
                <w:lang w:val="es-CO"/>
              </w:rPr>
            </w:pPr>
            <w:r w:rsidRPr="00606E51">
              <w:rPr>
                <w:rFonts w:cs="Times New Roman"/>
                <w:b/>
                <w:bCs/>
                <w:sz w:val="16"/>
                <w:szCs w:val="16"/>
                <w:lang w:val="es-CO"/>
              </w:rPr>
              <w:t>Sin lineamiento</w:t>
            </w:r>
          </w:p>
        </w:tc>
      </w:tr>
      <w:tr w:rsidR="00201729" w:rsidRPr="00606E51" w14:paraId="6AFD8502"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0259C945"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 en consultas</w:t>
            </w:r>
            <w:r w:rsidRPr="00606E51">
              <w:rPr>
                <w:rFonts w:cs="Times New Roman"/>
                <w:bCs/>
                <w:sz w:val="16"/>
                <w:szCs w:val="16"/>
                <w:vertAlign w:val="superscript"/>
                <w:lang w:val="es-CO"/>
              </w:rPr>
              <w:t>4</w:t>
            </w:r>
          </w:p>
        </w:tc>
        <w:tc>
          <w:tcPr>
            <w:tcW w:w="1674" w:type="dxa"/>
            <w:tcBorders>
              <w:top w:val="nil"/>
              <w:left w:val="nil"/>
              <w:bottom w:val="nil"/>
              <w:right w:val="nil"/>
            </w:tcBorders>
            <w:shd w:val="clear" w:color="auto" w:fill="auto"/>
            <w:noWrap/>
            <w:vAlign w:val="bottom"/>
            <w:hideMark/>
          </w:tcPr>
          <w:p w14:paraId="498B05F3"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$23.734</w:t>
            </w:r>
          </w:p>
        </w:tc>
        <w:tc>
          <w:tcPr>
            <w:tcW w:w="1583" w:type="dxa"/>
            <w:tcBorders>
              <w:top w:val="nil"/>
              <w:left w:val="nil"/>
              <w:bottom w:val="nil"/>
              <w:right w:val="nil"/>
            </w:tcBorders>
            <w:shd w:val="clear" w:color="auto" w:fill="auto"/>
            <w:noWrap/>
            <w:vAlign w:val="bottom"/>
            <w:hideMark/>
          </w:tcPr>
          <w:p w14:paraId="757029B9"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$23.734</w:t>
            </w:r>
          </w:p>
        </w:tc>
      </w:tr>
      <w:tr w:rsidR="00201729" w:rsidRPr="00606E51" w14:paraId="0508193A"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1AE47FA9"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Costos de procedimientos</w:t>
            </w:r>
            <w:r w:rsidRPr="00606E51">
              <w:rPr>
                <w:rFonts w:cs="Times New Roman"/>
                <w:bCs/>
                <w:sz w:val="16"/>
                <w:szCs w:val="16"/>
                <w:vertAlign w:val="superscript"/>
                <w:lang w:val="es-CO"/>
              </w:rPr>
              <w:t>4 y 5</w:t>
            </w:r>
          </w:p>
        </w:tc>
        <w:tc>
          <w:tcPr>
            <w:tcW w:w="1674" w:type="dxa"/>
            <w:tcBorders>
              <w:top w:val="nil"/>
              <w:left w:val="nil"/>
              <w:bottom w:val="nil"/>
              <w:right w:val="nil"/>
            </w:tcBorders>
            <w:shd w:val="clear" w:color="auto" w:fill="auto"/>
            <w:noWrap/>
            <w:vAlign w:val="bottom"/>
            <w:hideMark/>
          </w:tcPr>
          <w:p w14:paraId="4B023974"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$61.600</w:t>
            </w:r>
          </w:p>
        </w:tc>
        <w:tc>
          <w:tcPr>
            <w:tcW w:w="1583" w:type="dxa"/>
            <w:tcBorders>
              <w:top w:val="nil"/>
              <w:left w:val="nil"/>
              <w:bottom w:val="nil"/>
              <w:right w:val="nil"/>
            </w:tcBorders>
            <w:shd w:val="clear" w:color="auto" w:fill="auto"/>
            <w:noWrap/>
            <w:vAlign w:val="bottom"/>
            <w:hideMark/>
          </w:tcPr>
          <w:p w14:paraId="2F6306C9"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$68.056</w:t>
            </w:r>
          </w:p>
        </w:tc>
      </w:tr>
      <w:tr w:rsidR="00201729" w:rsidRPr="00606E51" w14:paraId="36C56F27"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22BC6F22"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 de medicamentos e insumos</w:t>
            </w:r>
            <w:r w:rsidRPr="00606E51">
              <w:rPr>
                <w:rFonts w:cs="Times New Roman"/>
                <w:bCs/>
                <w:sz w:val="16"/>
                <w:szCs w:val="16"/>
                <w:vertAlign w:val="superscript"/>
                <w:lang w:val="es-CO"/>
              </w:rPr>
              <w:t>5</w:t>
            </w:r>
          </w:p>
        </w:tc>
        <w:tc>
          <w:tcPr>
            <w:tcW w:w="1674" w:type="dxa"/>
            <w:tcBorders>
              <w:top w:val="nil"/>
              <w:left w:val="nil"/>
              <w:bottom w:val="nil"/>
              <w:right w:val="nil"/>
            </w:tcBorders>
            <w:shd w:val="clear" w:color="auto" w:fill="auto"/>
            <w:noWrap/>
            <w:vAlign w:val="bottom"/>
            <w:hideMark/>
          </w:tcPr>
          <w:p w14:paraId="32003382"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$44.035</w:t>
            </w:r>
          </w:p>
        </w:tc>
        <w:tc>
          <w:tcPr>
            <w:tcW w:w="1583" w:type="dxa"/>
            <w:tcBorders>
              <w:top w:val="nil"/>
              <w:left w:val="nil"/>
              <w:bottom w:val="nil"/>
              <w:right w:val="nil"/>
            </w:tcBorders>
            <w:shd w:val="clear" w:color="auto" w:fill="auto"/>
            <w:noWrap/>
            <w:vAlign w:val="center"/>
            <w:hideMark/>
          </w:tcPr>
          <w:p w14:paraId="4CC4D8FE"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w:t>
            </w:r>
          </w:p>
        </w:tc>
      </w:tr>
      <w:tr w:rsidR="00201729" w:rsidRPr="00606E51" w14:paraId="4D657594"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4F45EDB4"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Costos de estancia en hospitalización</w:t>
            </w:r>
            <w:r w:rsidRPr="00606E51">
              <w:rPr>
                <w:rFonts w:cs="Times New Roman"/>
                <w:bCs/>
                <w:sz w:val="16"/>
                <w:szCs w:val="16"/>
                <w:vertAlign w:val="superscript"/>
                <w:lang w:val="es-CO"/>
              </w:rPr>
              <w:t>5</w:t>
            </w:r>
          </w:p>
        </w:tc>
        <w:tc>
          <w:tcPr>
            <w:tcW w:w="1674" w:type="dxa"/>
            <w:tcBorders>
              <w:top w:val="nil"/>
              <w:left w:val="nil"/>
              <w:bottom w:val="nil"/>
              <w:right w:val="nil"/>
            </w:tcBorders>
            <w:shd w:val="clear" w:color="auto" w:fill="auto"/>
            <w:noWrap/>
            <w:vAlign w:val="bottom"/>
            <w:hideMark/>
          </w:tcPr>
          <w:p w14:paraId="48BCF79E"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$1.341.400</w:t>
            </w:r>
          </w:p>
        </w:tc>
        <w:tc>
          <w:tcPr>
            <w:tcW w:w="1583" w:type="dxa"/>
            <w:tcBorders>
              <w:top w:val="nil"/>
              <w:left w:val="nil"/>
              <w:bottom w:val="nil"/>
              <w:right w:val="nil"/>
            </w:tcBorders>
            <w:shd w:val="clear" w:color="auto" w:fill="auto"/>
            <w:noWrap/>
            <w:vAlign w:val="bottom"/>
            <w:hideMark/>
          </w:tcPr>
          <w:p w14:paraId="14745173"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$1.341.400</w:t>
            </w:r>
          </w:p>
        </w:tc>
      </w:tr>
      <w:tr w:rsidR="00201729" w:rsidRPr="00606E51" w14:paraId="192F217D" w14:textId="77777777" w:rsidTr="002956C4">
        <w:trPr>
          <w:trHeight w:val="20"/>
          <w:jc w:val="center"/>
        </w:trPr>
        <w:tc>
          <w:tcPr>
            <w:tcW w:w="4029" w:type="dxa"/>
            <w:tcBorders>
              <w:top w:val="nil"/>
              <w:left w:val="nil"/>
              <w:bottom w:val="nil"/>
              <w:right w:val="nil"/>
            </w:tcBorders>
            <w:shd w:val="clear" w:color="auto" w:fill="auto"/>
            <w:noWrap/>
            <w:vAlign w:val="center"/>
            <w:hideMark/>
          </w:tcPr>
          <w:p w14:paraId="485C8F93"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Días de hospitalización</w:t>
            </w:r>
          </w:p>
        </w:tc>
        <w:tc>
          <w:tcPr>
            <w:tcW w:w="1674" w:type="dxa"/>
            <w:tcBorders>
              <w:top w:val="nil"/>
              <w:left w:val="nil"/>
              <w:bottom w:val="nil"/>
              <w:right w:val="nil"/>
            </w:tcBorders>
            <w:shd w:val="clear" w:color="auto" w:fill="auto"/>
            <w:noWrap/>
            <w:vAlign w:val="bottom"/>
            <w:hideMark/>
          </w:tcPr>
          <w:p w14:paraId="21FCC7F5"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9,9</w:t>
            </w:r>
          </w:p>
        </w:tc>
        <w:tc>
          <w:tcPr>
            <w:tcW w:w="1583" w:type="dxa"/>
            <w:tcBorders>
              <w:top w:val="nil"/>
              <w:left w:val="nil"/>
              <w:bottom w:val="nil"/>
              <w:right w:val="nil"/>
            </w:tcBorders>
            <w:shd w:val="clear" w:color="auto" w:fill="auto"/>
            <w:noWrap/>
            <w:vAlign w:val="bottom"/>
            <w:hideMark/>
          </w:tcPr>
          <w:p w14:paraId="798FB567"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9,9</w:t>
            </w:r>
          </w:p>
        </w:tc>
      </w:tr>
      <w:tr w:rsidR="00201729" w:rsidRPr="00606E51" w14:paraId="402D592C" w14:textId="77777777" w:rsidTr="002956C4">
        <w:trPr>
          <w:trHeight w:val="20"/>
          <w:jc w:val="center"/>
        </w:trPr>
        <w:tc>
          <w:tcPr>
            <w:tcW w:w="4029" w:type="dxa"/>
            <w:tcBorders>
              <w:top w:val="nil"/>
              <w:left w:val="nil"/>
              <w:bottom w:val="single" w:sz="4" w:space="0" w:color="auto"/>
              <w:right w:val="nil"/>
            </w:tcBorders>
            <w:shd w:val="clear" w:color="auto" w:fill="auto"/>
            <w:noWrap/>
            <w:vAlign w:val="center"/>
            <w:hideMark/>
          </w:tcPr>
          <w:p w14:paraId="40246FA2" w14:textId="77777777" w:rsidR="00201729" w:rsidRPr="00606E51" w:rsidRDefault="00201729" w:rsidP="00201729">
            <w:pPr>
              <w:jc w:val="both"/>
              <w:rPr>
                <w:rFonts w:cs="Times New Roman"/>
                <w:sz w:val="16"/>
                <w:szCs w:val="16"/>
                <w:lang w:val="es-CO"/>
              </w:rPr>
            </w:pPr>
            <w:r w:rsidRPr="00606E51">
              <w:rPr>
                <w:rFonts w:cs="Times New Roman"/>
                <w:sz w:val="16"/>
                <w:szCs w:val="16"/>
                <w:lang w:val="es-CO"/>
              </w:rPr>
              <w:t>Costo estancia intrahospitalaria</w:t>
            </w:r>
          </w:p>
        </w:tc>
        <w:tc>
          <w:tcPr>
            <w:tcW w:w="1674" w:type="dxa"/>
            <w:tcBorders>
              <w:top w:val="nil"/>
              <w:left w:val="nil"/>
              <w:bottom w:val="single" w:sz="4" w:space="0" w:color="auto"/>
              <w:right w:val="nil"/>
            </w:tcBorders>
            <w:shd w:val="clear" w:color="auto" w:fill="auto"/>
            <w:noWrap/>
            <w:vAlign w:val="bottom"/>
            <w:hideMark/>
          </w:tcPr>
          <w:p w14:paraId="50DB6EAB"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$134.900</w:t>
            </w:r>
          </w:p>
        </w:tc>
        <w:tc>
          <w:tcPr>
            <w:tcW w:w="1583" w:type="dxa"/>
            <w:tcBorders>
              <w:top w:val="nil"/>
              <w:left w:val="nil"/>
              <w:bottom w:val="single" w:sz="4" w:space="0" w:color="auto"/>
              <w:right w:val="nil"/>
            </w:tcBorders>
            <w:shd w:val="clear" w:color="auto" w:fill="auto"/>
            <w:noWrap/>
            <w:vAlign w:val="bottom"/>
            <w:hideMark/>
          </w:tcPr>
          <w:p w14:paraId="0D3187A4"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$134.900</w:t>
            </w:r>
          </w:p>
        </w:tc>
      </w:tr>
      <w:tr w:rsidR="00201729" w:rsidRPr="00606E51" w14:paraId="4FC7DA2E" w14:textId="77777777" w:rsidTr="002956C4">
        <w:trPr>
          <w:trHeight w:val="20"/>
          <w:jc w:val="center"/>
        </w:trPr>
        <w:tc>
          <w:tcPr>
            <w:tcW w:w="4029" w:type="dxa"/>
            <w:tcBorders>
              <w:top w:val="nil"/>
              <w:left w:val="nil"/>
              <w:bottom w:val="single" w:sz="4" w:space="0" w:color="auto"/>
              <w:right w:val="nil"/>
            </w:tcBorders>
            <w:shd w:val="clear" w:color="auto" w:fill="auto"/>
            <w:noWrap/>
            <w:vAlign w:val="center"/>
            <w:hideMark/>
          </w:tcPr>
          <w:p w14:paraId="26C2C879" w14:textId="77777777" w:rsidR="00201729" w:rsidRPr="00606E51" w:rsidRDefault="00201729" w:rsidP="00201729">
            <w:pPr>
              <w:jc w:val="both"/>
              <w:rPr>
                <w:rFonts w:cs="Times New Roman"/>
                <w:b/>
                <w:bCs/>
                <w:sz w:val="16"/>
                <w:szCs w:val="16"/>
                <w:lang w:val="es-CO"/>
              </w:rPr>
            </w:pPr>
            <w:r w:rsidRPr="00606E51">
              <w:rPr>
                <w:rFonts w:cs="Times New Roman"/>
                <w:b/>
                <w:bCs/>
                <w:sz w:val="16"/>
                <w:szCs w:val="16"/>
                <w:lang w:val="es-CO"/>
              </w:rPr>
              <w:t>Total</w:t>
            </w:r>
          </w:p>
        </w:tc>
        <w:tc>
          <w:tcPr>
            <w:tcW w:w="1674" w:type="dxa"/>
            <w:tcBorders>
              <w:top w:val="nil"/>
              <w:left w:val="nil"/>
              <w:bottom w:val="single" w:sz="4" w:space="0" w:color="auto"/>
              <w:right w:val="nil"/>
            </w:tcBorders>
            <w:shd w:val="clear" w:color="auto" w:fill="auto"/>
            <w:noWrap/>
            <w:vAlign w:val="bottom"/>
            <w:hideMark/>
          </w:tcPr>
          <w:p w14:paraId="19919B7B"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$1.465.405</w:t>
            </w:r>
          </w:p>
        </w:tc>
        <w:tc>
          <w:tcPr>
            <w:tcW w:w="1583" w:type="dxa"/>
            <w:tcBorders>
              <w:top w:val="nil"/>
              <w:left w:val="nil"/>
              <w:bottom w:val="single" w:sz="4" w:space="0" w:color="auto"/>
              <w:right w:val="nil"/>
            </w:tcBorders>
            <w:shd w:val="clear" w:color="auto" w:fill="auto"/>
            <w:noWrap/>
            <w:vAlign w:val="bottom"/>
            <w:hideMark/>
          </w:tcPr>
          <w:p w14:paraId="02068924" w14:textId="77777777" w:rsidR="00201729" w:rsidRPr="00606E51" w:rsidRDefault="00201729" w:rsidP="00070782">
            <w:pPr>
              <w:jc w:val="center"/>
              <w:rPr>
                <w:rFonts w:cs="Times New Roman"/>
                <w:sz w:val="16"/>
                <w:szCs w:val="16"/>
                <w:lang w:val="es-CO"/>
              </w:rPr>
            </w:pPr>
            <w:r w:rsidRPr="00606E51">
              <w:rPr>
                <w:rFonts w:cs="Times New Roman"/>
                <w:sz w:val="16"/>
                <w:szCs w:val="16"/>
                <w:lang w:val="es-CO"/>
              </w:rPr>
              <w:t>$1.433.190</w:t>
            </w:r>
          </w:p>
        </w:tc>
      </w:tr>
    </w:tbl>
    <w:p w14:paraId="410A0814" w14:textId="77777777" w:rsidR="00201729" w:rsidRPr="00606E51" w:rsidRDefault="00201729" w:rsidP="00070782">
      <w:pPr>
        <w:rPr>
          <w:rFonts w:cs="Times New Roman"/>
          <w:bCs/>
          <w:sz w:val="21"/>
          <w:lang w:val="es-CO"/>
        </w:rPr>
      </w:pPr>
      <w:r w:rsidRPr="00606E51">
        <w:rPr>
          <w:rFonts w:cs="Times New Roman"/>
          <w:bCs/>
          <w:sz w:val="16"/>
          <w:lang w:val="es-CO"/>
        </w:rPr>
        <w:t xml:space="preserve">Fuente: </w:t>
      </w:r>
      <w:r w:rsidRPr="00606E51">
        <w:rPr>
          <w:rFonts w:cs="Times New Roman"/>
          <w:bCs/>
          <w:sz w:val="16"/>
          <w:vertAlign w:val="superscript"/>
          <w:lang w:val="es-CO"/>
        </w:rPr>
        <w:t>1</w:t>
      </w:r>
      <w:r w:rsidRPr="00606E51">
        <w:rPr>
          <w:rFonts w:cs="Times New Roman"/>
          <w:bCs/>
          <w:sz w:val="16"/>
          <w:lang w:val="es-CO"/>
        </w:rPr>
        <w:t xml:space="preserve">UNICEF, </w:t>
      </w:r>
      <w:r w:rsidRPr="00606E51">
        <w:rPr>
          <w:rFonts w:cs="Times New Roman"/>
          <w:bCs/>
          <w:sz w:val="16"/>
          <w:vertAlign w:val="superscript"/>
          <w:lang w:val="es-CO"/>
        </w:rPr>
        <w:t>2</w:t>
      </w:r>
      <w:r w:rsidRPr="00606E51">
        <w:rPr>
          <w:rFonts w:cs="Times New Roman"/>
          <w:bCs/>
          <w:sz w:val="16"/>
          <w:lang w:val="es-CO"/>
        </w:rPr>
        <w:t xml:space="preserve">UNICEF-MSPS, </w:t>
      </w:r>
      <w:r w:rsidRPr="00606E51">
        <w:rPr>
          <w:rFonts w:cs="Times New Roman"/>
          <w:bCs/>
          <w:sz w:val="16"/>
          <w:vertAlign w:val="superscript"/>
          <w:lang w:val="es-CO"/>
        </w:rPr>
        <w:t>3</w:t>
      </w:r>
      <w:r w:rsidRPr="00606E51">
        <w:rPr>
          <w:rFonts w:cs="Times New Roman"/>
          <w:bCs/>
          <w:sz w:val="16"/>
          <w:lang w:val="es-CO"/>
        </w:rPr>
        <w:t xml:space="preserve">Estimación de los autores a partir del Lineamiento, </w:t>
      </w:r>
      <w:r w:rsidRPr="00606E51">
        <w:rPr>
          <w:rFonts w:cs="Times New Roman"/>
          <w:bCs/>
          <w:sz w:val="16"/>
          <w:vertAlign w:val="superscript"/>
          <w:lang w:val="es-CO"/>
        </w:rPr>
        <w:t>4</w:t>
      </w:r>
      <w:r w:rsidRPr="00606E51">
        <w:rPr>
          <w:rFonts w:cs="Times New Roman"/>
          <w:bCs/>
          <w:sz w:val="16"/>
          <w:lang w:val="es-CO"/>
        </w:rPr>
        <w:t xml:space="preserve">RIPS, </w:t>
      </w:r>
      <w:r w:rsidRPr="00606E51">
        <w:rPr>
          <w:rFonts w:cs="Times New Roman"/>
          <w:bCs/>
          <w:sz w:val="16"/>
          <w:vertAlign w:val="superscript"/>
          <w:lang w:val="es-CO"/>
        </w:rPr>
        <w:t>5</w:t>
      </w:r>
      <w:r w:rsidR="009E7E6B" w:rsidRPr="00606E51">
        <w:rPr>
          <w:rFonts w:cs="Times New Roman"/>
          <w:bCs/>
          <w:sz w:val="16"/>
          <w:lang w:val="es-CO"/>
        </w:rPr>
        <w:t>Autores a partir del L</w:t>
      </w:r>
      <w:r w:rsidRPr="00606E51">
        <w:rPr>
          <w:rFonts w:cs="Times New Roman"/>
          <w:bCs/>
          <w:sz w:val="16"/>
          <w:lang w:val="es-CO"/>
        </w:rPr>
        <w:t>ineamiento SISMED y tarifario SOAT-2016. Precios de 2016.</w:t>
      </w:r>
    </w:p>
    <w:p w14:paraId="38E4D14A" w14:textId="77777777" w:rsidR="001C03EF" w:rsidRPr="00606E51" w:rsidRDefault="001C03EF" w:rsidP="00201729">
      <w:pPr>
        <w:jc w:val="both"/>
        <w:rPr>
          <w:rFonts w:cs="Times New Roman"/>
          <w:lang w:val="es-CO"/>
        </w:rPr>
      </w:pPr>
    </w:p>
    <w:p w14:paraId="3D3DDE8C" w14:textId="77777777" w:rsidR="00201729" w:rsidRPr="00606E51" w:rsidRDefault="00201729" w:rsidP="00201729">
      <w:pPr>
        <w:jc w:val="both"/>
        <w:rPr>
          <w:rFonts w:cs="Times New Roman"/>
          <w:lang w:val="es-CO"/>
        </w:rPr>
      </w:pPr>
      <w:r w:rsidRPr="00606E51">
        <w:rPr>
          <w:rFonts w:cs="Times New Roman"/>
          <w:lang w:val="es-CO"/>
        </w:rPr>
        <w:t xml:space="preserve">A partir de los parámetros de costos y efectividad presentados en el </w:t>
      </w:r>
      <w:r w:rsidRPr="00606E51">
        <w:rPr>
          <w:rFonts w:cs="Times New Roman"/>
          <w:lang w:val="es-CO"/>
        </w:rPr>
        <w:fldChar w:fldCharType="begin"/>
      </w:r>
      <w:r w:rsidRPr="00606E51">
        <w:rPr>
          <w:rFonts w:cs="Times New Roman"/>
          <w:lang w:val="es-CO"/>
        </w:rPr>
        <w:instrText xml:space="preserve"> REF  _Ref478147443 \* Lower \h  \* MERGEFORMAT </w:instrText>
      </w:r>
      <w:r w:rsidRPr="00606E51">
        <w:rPr>
          <w:rFonts w:cs="Times New Roman"/>
          <w:lang w:val="es-CO"/>
        </w:rPr>
      </w:r>
      <w:r w:rsidRPr="00606E51">
        <w:rPr>
          <w:rFonts w:cs="Times New Roman"/>
          <w:lang w:val="es-CO"/>
        </w:rPr>
        <w:fldChar w:fldCharType="separate"/>
      </w:r>
      <w:r w:rsidR="00B01F0F" w:rsidRPr="00606E51">
        <w:rPr>
          <w:rFonts w:cs="Times New Roman"/>
          <w:lang w:val="es-CO"/>
        </w:rPr>
        <w:t xml:space="preserve">cuadro </w:t>
      </w:r>
      <w:r w:rsidR="00B01F0F" w:rsidRPr="00606E51">
        <w:rPr>
          <w:rFonts w:cs="Times New Roman"/>
          <w:bCs/>
          <w:lang w:val="es-CO"/>
        </w:rPr>
        <w:t>5-1</w:t>
      </w:r>
      <w:r w:rsidRPr="00606E51">
        <w:rPr>
          <w:rFonts w:cs="Times New Roman"/>
          <w:lang w:val="es-CO"/>
        </w:rPr>
        <w:fldChar w:fldCharType="end"/>
      </w:r>
      <w:r w:rsidRPr="00606E51">
        <w:rPr>
          <w:rFonts w:cs="Times New Roman"/>
          <w:lang w:val="es-CO"/>
        </w:rPr>
        <w:t xml:space="preserve"> y la </w:t>
      </w:r>
      <w:r w:rsidRPr="00606E51">
        <w:rPr>
          <w:rFonts w:cs="Times New Roman"/>
          <w:lang w:val="es-CO"/>
        </w:rPr>
        <w:fldChar w:fldCharType="begin"/>
      </w:r>
      <w:r w:rsidRPr="00606E51">
        <w:rPr>
          <w:rFonts w:cs="Times New Roman"/>
          <w:lang w:val="es-CO"/>
        </w:rPr>
        <w:instrText xml:space="preserve"> REF  _Ref478146473 \* Lower \h  \* MERGEFORMAT </w:instrText>
      </w:r>
      <w:r w:rsidRPr="00606E51">
        <w:rPr>
          <w:rFonts w:cs="Times New Roman"/>
          <w:lang w:val="es-CO"/>
        </w:rPr>
      </w:r>
      <w:r w:rsidRPr="00606E51">
        <w:rPr>
          <w:rFonts w:cs="Times New Roman"/>
          <w:lang w:val="es-CO"/>
        </w:rPr>
        <w:fldChar w:fldCharType="separate"/>
      </w:r>
      <w:r w:rsidR="00B01F0F" w:rsidRPr="00606E51">
        <w:rPr>
          <w:rFonts w:cs="Times New Roman"/>
          <w:lang w:val="es-CO"/>
        </w:rPr>
        <w:t>figura 5.1</w:t>
      </w:r>
      <w:r w:rsidRPr="00606E51">
        <w:rPr>
          <w:rFonts w:cs="Times New Roman"/>
          <w:lang w:val="es-CO"/>
        </w:rPr>
        <w:fldChar w:fldCharType="end"/>
      </w:r>
      <w:r w:rsidRPr="00606E51">
        <w:rPr>
          <w:rFonts w:cs="Times New Roman"/>
          <w:lang w:val="es-CO"/>
        </w:rPr>
        <w:t>, se estiman los siguientes resultados, para el es</w:t>
      </w:r>
      <w:r w:rsidR="009E7E6B" w:rsidRPr="00606E51">
        <w:rPr>
          <w:rFonts w:cs="Times New Roman"/>
          <w:lang w:val="es-CO"/>
        </w:rPr>
        <w:t>cenario sin implementación del L</w:t>
      </w:r>
      <w:r w:rsidRPr="00606E51">
        <w:rPr>
          <w:rFonts w:cs="Times New Roman"/>
          <w:lang w:val="es-CO"/>
        </w:rPr>
        <w:t>inea</w:t>
      </w:r>
      <w:r w:rsidR="009E7E6B" w:rsidRPr="00606E51">
        <w:rPr>
          <w:rFonts w:cs="Times New Roman"/>
          <w:lang w:val="es-CO"/>
        </w:rPr>
        <w:t>miento, con implementación del L</w:t>
      </w:r>
      <w:r w:rsidRPr="00606E51">
        <w:rPr>
          <w:rFonts w:cs="Times New Roman"/>
          <w:lang w:val="es-CO"/>
        </w:rPr>
        <w:t>ineamiento y finalmente los resultados incrementales. Se debe tener en cuenta que se ha considerado que el número de entrantes (niños y niñas identificados con desnutrición aguda) en la estimación es igual a 116, el cual corresponde al número de niños y niñas identificados con desnutrición en el año 2016, a part</w:t>
      </w:r>
      <w:r w:rsidR="007665CF" w:rsidRPr="00606E51">
        <w:rPr>
          <w:rFonts w:cs="Times New Roman"/>
          <w:lang w:val="es-CO"/>
        </w:rPr>
        <w:t>ir de la base de datos de MSPS.</w:t>
      </w:r>
    </w:p>
    <w:p w14:paraId="098F7276" w14:textId="77777777" w:rsidR="006E01A5" w:rsidRPr="00606E51" w:rsidRDefault="006E01A5" w:rsidP="006E01A5">
      <w:pPr>
        <w:rPr>
          <w:rFonts w:cs="Times New Roman"/>
          <w:lang w:val="es-CO"/>
        </w:rPr>
      </w:pPr>
      <w:bookmarkStart w:id="101" w:name="_Ref478148437"/>
    </w:p>
    <w:p w14:paraId="5F26C4EC" w14:textId="77777777" w:rsidR="00201729" w:rsidRPr="00606E51" w:rsidRDefault="00201729" w:rsidP="006E01A5">
      <w:pPr>
        <w:jc w:val="center"/>
        <w:rPr>
          <w:rFonts w:cs="Times New Roman"/>
          <w:bCs/>
          <w:lang w:val="es-CO"/>
        </w:rPr>
      </w:pPr>
      <w:bookmarkStart w:id="102" w:name="_Toc490045713"/>
      <w:r w:rsidRPr="00606E51">
        <w:rPr>
          <w:rFonts w:cs="Times New Roman"/>
          <w:b/>
          <w:bCs/>
          <w:lang w:val="es-CO"/>
        </w:rPr>
        <w:t xml:space="preserve">Cuadro </w:t>
      </w:r>
      <w:r w:rsidR="00F1370E" w:rsidRPr="00606E51">
        <w:rPr>
          <w:rFonts w:cs="Times New Roman"/>
          <w:b/>
          <w:bCs/>
          <w:lang w:val="es-CO"/>
        </w:rPr>
        <w:fldChar w:fldCharType="begin"/>
      </w:r>
      <w:r w:rsidR="00F1370E" w:rsidRPr="00606E51">
        <w:rPr>
          <w:rFonts w:cs="Times New Roman"/>
          <w:b/>
          <w:bCs/>
          <w:lang w:val="es-CO"/>
        </w:rPr>
        <w:instrText xml:space="preserve"> STYLEREF 1 \s </w:instrText>
      </w:r>
      <w:r w:rsidR="00F1370E" w:rsidRPr="00606E51">
        <w:rPr>
          <w:rFonts w:cs="Times New Roman"/>
          <w:b/>
          <w:bCs/>
          <w:lang w:val="es-CO"/>
        </w:rPr>
        <w:fldChar w:fldCharType="separate"/>
      </w:r>
      <w:r w:rsidR="00F1370E" w:rsidRPr="00606E51">
        <w:rPr>
          <w:rFonts w:cs="Times New Roman"/>
          <w:b/>
          <w:bCs/>
          <w:lang w:val="es-CO"/>
        </w:rPr>
        <w:t>5</w:t>
      </w:r>
      <w:r w:rsidR="00F1370E" w:rsidRPr="00606E51">
        <w:rPr>
          <w:rFonts w:cs="Times New Roman"/>
          <w:b/>
          <w:bCs/>
          <w:lang w:val="es-CO"/>
        </w:rPr>
        <w:fldChar w:fldCharType="end"/>
      </w:r>
      <w:r w:rsidR="00F1370E" w:rsidRPr="00606E51">
        <w:rPr>
          <w:rFonts w:cs="Times New Roman"/>
          <w:b/>
          <w:bCs/>
          <w:lang w:val="es-CO"/>
        </w:rPr>
        <w:noBreakHyphen/>
      </w:r>
      <w:r w:rsidR="00F1370E" w:rsidRPr="00606E51">
        <w:rPr>
          <w:rFonts w:cs="Times New Roman"/>
          <w:b/>
          <w:bCs/>
          <w:lang w:val="es-CO"/>
        </w:rPr>
        <w:fldChar w:fldCharType="begin"/>
      </w:r>
      <w:r w:rsidR="00F1370E" w:rsidRPr="00606E51">
        <w:rPr>
          <w:rFonts w:cs="Times New Roman"/>
          <w:b/>
          <w:bCs/>
          <w:lang w:val="es-CO"/>
        </w:rPr>
        <w:instrText xml:space="preserve"> SEQ Cuadro \* ROMAN \s 1 </w:instrText>
      </w:r>
      <w:r w:rsidR="00F1370E" w:rsidRPr="00606E51">
        <w:rPr>
          <w:rFonts w:cs="Times New Roman"/>
          <w:b/>
          <w:bCs/>
          <w:lang w:val="es-CO"/>
        </w:rPr>
        <w:fldChar w:fldCharType="separate"/>
      </w:r>
      <w:r w:rsidR="00F1370E" w:rsidRPr="00606E51">
        <w:rPr>
          <w:rFonts w:cs="Times New Roman"/>
          <w:b/>
          <w:bCs/>
          <w:lang w:val="es-CO"/>
        </w:rPr>
        <w:t>II</w:t>
      </w:r>
      <w:r w:rsidR="00F1370E" w:rsidRPr="00606E51">
        <w:rPr>
          <w:rFonts w:cs="Times New Roman"/>
          <w:b/>
          <w:bCs/>
          <w:lang w:val="es-CO"/>
        </w:rPr>
        <w:fldChar w:fldCharType="end"/>
      </w:r>
      <w:bookmarkEnd w:id="101"/>
      <w:r w:rsidRPr="00606E51">
        <w:rPr>
          <w:rFonts w:cs="Times New Roman"/>
          <w:b/>
          <w:bCs/>
          <w:lang w:val="es-CO"/>
        </w:rPr>
        <w:t>. Resultados en el es</w:t>
      </w:r>
      <w:r w:rsidR="009E7E6B" w:rsidRPr="00606E51">
        <w:rPr>
          <w:rFonts w:cs="Times New Roman"/>
          <w:b/>
          <w:bCs/>
          <w:lang w:val="es-CO"/>
        </w:rPr>
        <w:t>cenario sin implementación del L</w:t>
      </w:r>
      <w:r w:rsidRPr="00606E51">
        <w:rPr>
          <w:rFonts w:cs="Times New Roman"/>
          <w:b/>
          <w:bCs/>
          <w:lang w:val="es-CO"/>
        </w:rPr>
        <w:t>ineamiento</w:t>
      </w:r>
      <w:bookmarkEnd w:id="102"/>
    </w:p>
    <w:tbl>
      <w:tblPr>
        <w:tblW w:w="0" w:type="auto"/>
        <w:jc w:val="center"/>
        <w:tblCellMar>
          <w:left w:w="70" w:type="dxa"/>
          <w:right w:w="70" w:type="dxa"/>
        </w:tblCellMar>
        <w:tblLook w:val="04A0" w:firstRow="1" w:lastRow="0" w:firstColumn="1" w:lastColumn="0" w:noHBand="0" w:noVBand="1"/>
      </w:tblPr>
      <w:tblGrid>
        <w:gridCol w:w="3399"/>
        <w:gridCol w:w="940"/>
        <w:gridCol w:w="901"/>
      </w:tblGrid>
      <w:tr w:rsidR="00D721F8" w:rsidRPr="00606E51" w14:paraId="520B00C0" w14:textId="77777777" w:rsidTr="00D721F8">
        <w:trPr>
          <w:trHeight w:val="283"/>
          <w:jc w:val="center"/>
        </w:trPr>
        <w:tc>
          <w:tcPr>
            <w:tcW w:w="3399" w:type="dxa"/>
            <w:tcBorders>
              <w:top w:val="nil"/>
              <w:left w:val="nil"/>
              <w:bottom w:val="single" w:sz="4" w:space="0" w:color="auto"/>
              <w:right w:val="nil"/>
            </w:tcBorders>
            <w:shd w:val="clear" w:color="auto" w:fill="auto"/>
            <w:noWrap/>
            <w:vAlign w:val="bottom"/>
            <w:hideMark/>
          </w:tcPr>
          <w:p w14:paraId="6D5D8A71" w14:textId="77777777" w:rsidR="00201729" w:rsidRPr="00606E51" w:rsidRDefault="00201729" w:rsidP="00201729">
            <w:pPr>
              <w:jc w:val="both"/>
              <w:rPr>
                <w:rFonts w:cs="Times New Roman"/>
                <w:sz w:val="16"/>
                <w:lang w:val="es-CO"/>
              </w:rPr>
            </w:pPr>
            <w:r w:rsidRPr="00606E51">
              <w:rPr>
                <w:rFonts w:cs="Times New Roman"/>
                <w:sz w:val="16"/>
                <w:lang w:val="es-CO"/>
              </w:rPr>
              <w:t> </w:t>
            </w:r>
          </w:p>
        </w:tc>
        <w:tc>
          <w:tcPr>
            <w:tcW w:w="940" w:type="dxa"/>
            <w:tcBorders>
              <w:top w:val="single" w:sz="4" w:space="0" w:color="auto"/>
              <w:left w:val="nil"/>
              <w:bottom w:val="single" w:sz="4" w:space="0" w:color="auto"/>
              <w:right w:val="nil"/>
            </w:tcBorders>
            <w:shd w:val="clear" w:color="auto" w:fill="auto"/>
            <w:noWrap/>
            <w:vAlign w:val="center"/>
            <w:hideMark/>
          </w:tcPr>
          <w:p w14:paraId="389502CB" w14:textId="77777777" w:rsidR="00201729" w:rsidRPr="00606E51" w:rsidRDefault="00201729" w:rsidP="00201729">
            <w:pPr>
              <w:jc w:val="both"/>
              <w:rPr>
                <w:rFonts w:cs="Times New Roman"/>
                <w:b/>
                <w:bCs/>
                <w:sz w:val="16"/>
                <w:lang w:val="es-CO"/>
              </w:rPr>
            </w:pPr>
            <w:r w:rsidRPr="00606E51">
              <w:rPr>
                <w:rFonts w:cs="Times New Roman"/>
                <w:b/>
                <w:bCs/>
                <w:sz w:val="16"/>
                <w:lang w:val="es-CO"/>
              </w:rPr>
              <w:t>Promedio</w:t>
            </w:r>
          </w:p>
        </w:tc>
        <w:tc>
          <w:tcPr>
            <w:tcW w:w="0" w:type="auto"/>
            <w:tcBorders>
              <w:top w:val="single" w:sz="4" w:space="0" w:color="auto"/>
              <w:left w:val="nil"/>
              <w:bottom w:val="single" w:sz="4" w:space="0" w:color="auto"/>
              <w:right w:val="nil"/>
            </w:tcBorders>
            <w:shd w:val="clear" w:color="auto" w:fill="auto"/>
            <w:noWrap/>
            <w:vAlign w:val="center"/>
            <w:hideMark/>
          </w:tcPr>
          <w:p w14:paraId="4798F565" w14:textId="77777777" w:rsidR="00201729" w:rsidRPr="00606E51" w:rsidRDefault="00201729" w:rsidP="00201729">
            <w:pPr>
              <w:jc w:val="both"/>
              <w:rPr>
                <w:rFonts w:cs="Times New Roman"/>
                <w:b/>
                <w:bCs/>
                <w:sz w:val="16"/>
                <w:lang w:val="es-CO"/>
              </w:rPr>
            </w:pPr>
            <w:r w:rsidRPr="00606E51">
              <w:rPr>
                <w:rFonts w:cs="Times New Roman"/>
                <w:b/>
                <w:bCs/>
                <w:sz w:val="16"/>
                <w:lang w:val="es-CO"/>
              </w:rPr>
              <w:t>Desv. Estd.</w:t>
            </w:r>
          </w:p>
        </w:tc>
      </w:tr>
      <w:tr w:rsidR="00D721F8" w:rsidRPr="00606E51" w14:paraId="59532F98" w14:textId="77777777" w:rsidTr="00D721F8">
        <w:trPr>
          <w:trHeight w:val="255"/>
          <w:jc w:val="center"/>
        </w:trPr>
        <w:tc>
          <w:tcPr>
            <w:tcW w:w="3399" w:type="dxa"/>
            <w:tcBorders>
              <w:top w:val="nil"/>
              <w:left w:val="nil"/>
              <w:bottom w:val="nil"/>
              <w:right w:val="nil"/>
            </w:tcBorders>
            <w:shd w:val="clear" w:color="auto" w:fill="auto"/>
            <w:noWrap/>
            <w:vAlign w:val="center"/>
            <w:hideMark/>
          </w:tcPr>
          <w:p w14:paraId="0B28B685" w14:textId="77777777" w:rsidR="00201729" w:rsidRPr="00606E51" w:rsidRDefault="00201729" w:rsidP="00201729">
            <w:pPr>
              <w:jc w:val="both"/>
              <w:rPr>
                <w:rFonts w:cs="Times New Roman"/>
                <w:b/>
                <w:bCs/>
                <w:sz w:val="16"/>
                <w:lang w:val="es-CO"/>
              </w:rPr>
            </w:pPr>
            <w:r w:rsidRPr="00606E51">
              <w:rPr>
                <w:rFonts w:cs="Times New Roman"/>
                <w:b/>
                <w:bCs/>
                <w:sz w:val="16"/>
                <w:lang w:val="es-CO"/>
              </w:rPr>
              <w:t>Entrantes</w:t>
            </w:r>
          </w:p>
        </w:tc>
        <w:tc>
          <w:tcPr>
            <w:tcW w:w="940" w:type="dxa"/>
            <w:tcBorders>
              <w:top w:val="nil"/>
              <w:left w:val="nil"/>
              <w:bottom w:val="nil"/>
              <w:right w:val="nil"/>
            </w:tcBorders>
            <w:shd w:val="clear" w:color="auto" w:fill="auto"/>
            <w:noWrap/>
            <w:vAlign w:val="center"/>
            <w:hideMark/>
          </w:tcPr>
          <w:p w14:paraId="33EECDF4" w14:textId="77777777" w:rsidR="00201729" w:rsidRPr="00606E51" w:rsidRDefault="00201729" w:rsidP="00070782">
            <w:pPr>
              <w:jc w:val="center"/>
              <w:rPr>
                <w:rFonts w:cs="Times New Roman"/>
                <w:sz w:val="16"/>
                <w:lang w:val="es-CO"/>
              </w:rPr>
            </w:pPr>
            <w:r w:rsidRPr="00606E51">
              <w:rPr>
                <w:rFonts w:cs="Times New Roman"/>
                <w:sz w:val="16"/>
                <w:lang w:val="es-CO"/>
              </w:rPr>
              <w:t>116</w:t>
            </w:r>
          </w:p>
        </w:tc>
        <w:tc>
          <w:tcPr>
            <w:tcW w:w="0" w:type="auto"/>
            <w:tcBorders>
              <w:top w:val="nil"/>
              <w:left w:val="nil"/>
              <w:bottom w:val="nil"/>
              <w:right w:val="nil"/>
            </w:tcBorders>
            <w:shd w:val="clear" w:color="auto" w:fill="auto"/>
            <w:noWrap/>
            <w:vAlign w:val="center"/>
            <w:hideMark/>
          </w:tcPr>
          <w:p w14:paraId="6B5FE7F9" w14:textId="77777777" w:rsidR="00201729" w:rsidRPr="00606E51" w:rsidRDefault="00201729" w:rsidP="00070782">
            <w:pPr>
              <w:jc w:val="center"/>
              <w:rPr>
                <w:rFonts w:cs="Times New Roman"/>
                <w:sz w:val="16"/>
                <w:lang w:val="es-CO"/>
              </w:rPr>
            </w:pPr>
            <w:r w:rsidRPr="00606E51">
              <w:rPr>
                <w:rFonts w:cs="Times New Roman"/>
                <w:sz w:val="16"/>
                <w:lang w:val="es-CO"/>
              </w:rPr>
              <w:t>-</w:t>
            </w:r>
          </w:p>
        </w:tc>
      </w:tr>
      <w:tr w:rsidR="00D721F8" w:rsidRPr="00606E51" w14:paraId="075A30AC" w14:textId="77777777" w:rsidTr="00D721F8">
        <w:trPr>
          <w:trHeight w:val="125"/>
          <w:jc w:val="center"/>
        </w:trPr>
        <w:tc>
          <w:tcPr>
            <w:tcW w:w="3399" w:type="dxa"/>
            <w:tcBorders>
              <w:top w:val="nil"/>
              <w:left w:val="nil"/>
              <w:bottom w:val="nil"/>
              <w:right w:val="nil"/>
            </w:tcBorders>
            <w:shd w:val="clear" w:color="auto" w:fill="auto"/>
            <w:noWrap/>
            <w:vAlign w:val="center"/>
            <w:hideMark/>
          </w:tcPr>
          <w:p w14:paraId="6755C909" w14:textId="77777777" w:rsidR="00201729" w:rsidRPr="00606E51" w:rsidRDefault="00D721F8" w:rsidP="00D721F8">
            <w:pPr>
              <w:rPr>
                <w:rFonts w:cs="Times New Roman"/>
                <w:b/>
                <w:bCs/>
                <w:sz w:val="16"/>
                <w:lang w:val="es-CO"/>
              </w:rPr>
            </w:pPr>
            <w:r w:rsidRPr="00606E51">
              <w:rPr>
                <w:rFonts w:cs="Times New Roman"/>
                <w:b/>
                <w:bCs/>
                <w:sz w:val="16"/>
                <w:lang w:val="es-CO"/>
              </w:rPr>
              <w:t xml:space="preserve">Remisión II nivel/ Manejo </w:t>
            </w:r>
            <w:r w:rsidR="00201729" w:rsidRPr="00606E51">
              <w:rPr>
                <w:rFonts w:cs="Times New Roman"/>
                <w:b/>
                <w:bCs/>
                <w:sz w:val="16"/>
                <w:lang w:val="es-CO"/>
              </w:rPr>
              <w:t>intrahospitalario</w:t>
            </w:r>
          </w:p>
        </w:tc>
        <w:tc>
          <w:tcPr>
            <w:tcW w:w="940" w:type="dxa"/>
            <w:tcBorders>
              <w:top w:val="nil"/>
              <w:left w:val="nil"/>
              <w:bottom w:val="nil"/>
              <w:right w:val="nil"/>
            </w:tcBorders>
            <w:shd w:val="clear" w:color="auto" w:fill="auto"/>
            <w:noWrap/>
            <w:vAlign w:val="center"/>
            <w:hideMark/>
          </w:tcPr>
          <w:p w14:paraId="610E50E8" w14:textId="77777777" w:rsidR="00201729" w:rsidRPr="00606E51" w:rsidRDefault="00201729" w:rsidP="00070782">
            <w:pPr>
              <w:jc w:val="center"/>
              <w:rPr>
                <w:rFonts w:cs="Times New Roman"/>
                <w:sz w:val="16"/>
                <w:lang w:val="es-CO"/>
              </w:rPr>
            </w:pPr>
            <w:r w:rsidRPr="00606E51">
              <w:rPr>
                <w:rFonts w:cs="Times New Roman"/>
                <w:sz w:val="16"/>
                <w:lang w:val="es-CO"/>
              </w:rPr>
              <w:t>37</w:t>
            </w:r>
          </w:p>
        </w:tc>
        <w:tc>
          <w:tcPr>
            <w:tcW w:w="0" w:type="auto"/>
            <w:tcBorders>
              <w:top w:val="nil"/>
              <w:left w:val="nil"/>
              <w:bottom w:val="nil"/>
              <w:right w:val="nil"/>
            </w:tcBorders>
            <w:shd w:val="clear" w:color="auto" w:fill="auto"/>
            <w:noWrap/>
            <w:vAlign w:val="center"/>
            <w:hideMark/>
          </w:tcPr>
          <w:p w14:paraId="7D42D109" w14:textId="77777777" w:rsidR="00201729" w:rsidRPr="00606E51" w:rsidRDefault="00201729" w:rsidP="00070782">
            <w:pPr>
              <w:jc w:val="center"/>
              <w:rPr>
                <w:rFonts w:cs="Times New Roman"/>
                <w:sz w:val="16"/>
                <w:lang w:val="es-CO"/>
              </w:rPr>
            </w:pPr>
            <w:r w:rsidRPr="00606E51">
              <w:rPr>
                <w:rFonts w:cs="Times New Roman"/>
                <w:sz w:val="16"/>
                <w:lang w:val="es-CO"/>
              </w:rPr>
              <w:t>5,0</w:t>
            </w:r>
          </w:p>
        </w:tc>
      </w:tr>
      <w:tr w:rsidR="00D721F8" w:rsidRPr="00606E51" w14:paraId="4E2DB61B" w14:textId="77777777" w:rsidTr="00D721F8">
        <w:trPr>
          <w:trHeight w:val="167"/>
          <w:jc w:val="center"/>
        </w:trPr>
        <w:tc>
          <w:tcPr>
            <w:tcW w:w="3399" w:type="dxa"/>
            <w:tcBorders>
              <w:top w:val="nil"/>
              <w:left w:val="nil"/>
              <w:bottom w:val="nil"/>
              <w:right w:val="nil"/>
            </w:tcBorders>
            <w:shd w:val="clear" w:color="auto" w:fill="auto"/>
            <w:noWrap/>
            <w:vAlign w:val="center"/>
            <w:hideMark/>
          </w:tcPr>
          <w:p w14:paraId="2A09E744" w14:textId="77777777" w:rsidR="00201729" w:rsidRPr="00606E51" w:rsidRDefault="00201729" w:rsidP="00201729">
            <w:pPr>
              <w:jc w:val="both"/>
              <w:rPr>
                <w:rFonts w:cs="Times New Roman"/>
                <w:b/>
                <w:bCs/>
                <w:sz w:val="16"/>
                <w:lang w:val="es-CO"/>
              </w:rPr>
            </w:pPr>
            <w:r w:rsidRPr="00606E51">
              <w:rPr>
                <w:rFonts w:cs="Times New Roman"/>
                <w:b/>
                <w:bCs/>
                <w:sz w:val="16"/>
                <w:lang w:val="es-CO"/>
              </w:rPr>
              <w:t>Sin seguimiento</w:t>
            </w:r>
          </w:p>
        </w:tc>
        <w:tc>
          <w:tcPr>
            <w:tcW w:w="940" w:type="dxa"/>
            <w:tcBorders>
              <w:top w:val="nil"/>
              <w:left w:val="nil"/>
              <w:bottom w:val="nil"/>
              <w:right w:val="nil"/>
            </w:tcBorders>
            <w:shd w:val="clear" w:color="auto" w:fill="auto"/>
            <w:noWrap/>
            <w:vAlign w:val="center"/>
            <w:hideMark/>
          </w:tcPr>
          <w:p w14:paraId="58F9D8B2" w14:textId="77777777" w:rsidR="00201729" w:rsidRPr="00606E51" w:rsidRDefault="00201729" w:rsidP="00070782">
            <w:pPr>
              <w:jc w:val="center"/>
              <w:rPr>
                <w:rFonts w:cs="Times New Roman"/>
                <w:sz w:val="16"/>
                <w:lang w:val="es-CO"/>
              </w:rPr>
            </w:pPr>
            <w:r w:rsidRPr="00606E51">
              <w:rPr>
                <w:rFonts w:cs="Times New Roman"/>
                <w:sz w:val="16"/>
                <w:lang w:val="es-CO"/>
              </w:rPr>
              <w:t>79</w:t>
            </w:r>
          </w:p>
        </w:tc>
        <w:tc>
          <w:tcPr>
            <w:tcW w:w="0" w:type="auto"/>
            <w:tcBorders>
              <w:top w:val="nil"/>
              <w:left w:val="nil"/>
              <w:bottom w:val="nil"/>
              <w:right w:val="nil"/>
            </w:tcBorders>
            <w:shd w:val="clear" w:color="auto" w:fill="auto"/>
            <w:noWrap/>
            <w:vAlign w:val="center"/>
            <w:hideMark/>
          </w:tcPr>
          <w:p w14:paraId="03FAF8F6" w14:textId="77777777" w:rsidR="00201729" w:rsidRPr="00606E51" w:rsidRDefault="00201729" w:rsidP="00070782">
            <w:pPr>
              <w:jc w:val="center"/>
              <w:rPr>
                <w:rFonts w:cs="Times New Roman"/>
                <w:sz w:val="16"/>
                <w:lang w:val="es-CO"/>
              </w:rPr>
            </w:pPr>
            <w:r w:rsidRPr="00606E51">
              <w:rPr>
                <w:rFonts w:cs="Times New Roman"/>
                <w:sz w:val="16"/>
                <w:lang w:val="es-CO"/>
              </w:rPr>
              <w:t>5,0</w:t>
            </w:r>
          </w:p>
        </w:tc>
      </w:tr>
      <w:tr w:rsidR="00D721F8" w:rsidRPr="00606E51" w14:paraId="2EBEF75B" w14:textId="77777777" w:rsidTr="00D721F8">
        <w:trPr>
          <w:trHeight w:val="223"/>
          <w:jc w:val="center"/>
        </w:trPr>
        <w:tc>
          <w:tcPr>
            <w:tcW w:w="3399" w:type="dxa"/>
            <w:tcBorders>
              <w:top w:val="nil"/>
              <w:left w:val="nil"/>
              <w:bottom w:val="nil"/>
              <w:right w:val="nil"/>
            </w:tcBorders>
            <w:shd w:val="clear" w:color="auto" w:fill="auto"/>
            <w:noWrap/>
            <w:vAlign w:val="center"/>
            <w:hideMark/>
          </w:tcPr>
          <w:p w14:paraId="4AB00140" w14:textId="77777777" w:rsidR="00201729" w:rsidRPr="00606E51" w:rsidRDefault="00201729" w:rsidP="00201729">
            <w:pPr>
              <w:jc w:val="both"/>
              <w:rPr>
                <w:rFonts w:cs="Times New Roman"/>
                <w:b/>
                <w:bCs/>
                <w:sz w:val="16"/>
                <w:lang w:val="es-CO"/>
              </w:rPr>
            </w:pPr>
            <w:r w:rsidRPr="00606E51">
              <w:rPr>
                <w:rFonts w:cs="Times New Roman"/>
                <w:b/>
                <w:bCs/>
                <w:sz w:val="16"/>
                <w:lang w:val="es-CO"/>
              </w:rPr>
              <w:t>Defunciones</w:t>
            </w:r>
          </w:p>
        </w:tc>
        <w:tc>
          <w:tcPr>
            <w:tcW w:w="940" w:type="dxa"/>
            <w:tcBorders>
              <w:top w:val="nil"/>
              <w:left w:val="nil"/>
              <w:bottom w:val="nil"/>
              <w:right w:val="nil"/>
            </w:tcBorders>
            <w:shd w:val="clear" w:color="auto" w:fill="auto"/>
            <w:noWrap/>
            <w:vAlign w:val="center"/>
            <w:hideMark/>
          </w:tcPr>
          <w:p w14:paraId="5D2CCD1D" w14:textId="77777777" w:rsidR="00201729" w:rsidRPr="00606E51" w:rsidRDefault="00201729" w:rsidP="00070782">
            <w:pPr>
              <w:jc w:val="center"/>
              <w:rPr>
                <w:rFonts w:cs="Times New Roman"/>
                <w:sz w:val="16"/>
                <w:lang w:val="es-CO"/>
              </w:rPr>
            </w:pPr>
            <w:r w:rsidRPr="00606E51">
              <w:rPr>
                <w:rFonts w:cs="Times New Roman"/>
                <w:sz w:val="16"/>
                <w:lang w:val="es-CO"/>
              </w:rPr>
              <w:t>2</w:t>
            </w:r>
          </w:p>
        </w:tc>
        <w:tc>
          <w:tcPr>
            <w:tcW w:w="0" w:type="auto"/>
            <w:tcBorders>
              <w:top w:val="nil"/>
              <w:left w:val="nil"/>
              <w:bottom w:val="nil"/>
              <w:right w:val="nil"/>
            </w:tcBorders>
            <w:shd w:val="clear" w:color="auto" w:fill="auto"/>
            <w:noWrap/>
            <w:vAlign w:val="center"/>
            <w:hideMark/>
          </w:tcPr>
          <w:p w14:paraId="1AC5BBB6" w14:textId="77777777" w:rsidR="00201729" w:rsidRPr="00606E51" w:rsidRDefault="00201729" w:rsidP="00070782">
            <w:pPr>
              <w:jc w:val="center"/>
              <w:rPr>
                <w:rFonts w:cs="Times New Roman"/>
                <w:sz w:val="16"/>
                <w:lang w:val="es-CO"/>
              </w:rPr>
            </w:pPr>
            <w:r w:rsidRPr="00606E51">
              <w:rPr>
                <w:rFonts w:cs="Times New Roman"/>
                <w:sz w:val="16"/>
                <w:lang w:val="es-CO"/>
              </w:rPr>
              <w:t>1,5</w:t>
            </w:r>
          </w:p>
        </w:tc>
      </w:tr>
      <w:tr w:rsidR="00D721F8" w:rsidRPr="00606E51" w14:paraId="5290D639" w14:textId="77777777" w:rsidTr="00D721F8">
        <w:trPr>
          <w:trHeight w:val="195"/>
          <w:jc w:val="center"/>
        </w:trPr>
        <w:tc>
          <w:tcPr>
            <w:tcW w:w="3399" w:type="dxa"/>
            <w:tcBorders>
              <w:top w:val="nil"/>
              <w:left w:val="nil"/>
              <w:bottom w:val="nil"/>
              <w:right w:val="nil"/>
            </w:tcBorders>
            <w:shd w:val="clear" w:color="auto" w:fill="auto"/>
            <w:noWrap/>
            <w:vAlign w:val="center"/>
            <w:hideMark/>
          </w:tcPr>
          <w:p w14:paraId="6F242769" w14:textId="77777777" w:rsidR="00201729" w:rsidRPr="00606E51" w:rsidRDefault="00201729" w:rsidP="00201729">
            <w:pPr>
              <w:jc w:val="both"/>
              <w:rPr>
                <w:rFonts w:cs="Times New Roman"/>
                <w:b/>
                <w:bCs/>
                <w:sz w:val="16"/>
                <w:lang w:val="es-CO"/>
              </w:rPr>
            </w:pPr>
            <w:r w:rsidRPr="00606E51">
              <w:rPr>
                <w:rFonts w:cs="Times New Roman"/>
                <w:b/>
                <w:bCs/>
                <w:sz w:val="16"/>
                <w:lang w:val="es-CO"/>
              </w:rPr>
              <w:t>Costos intrahospitalarios</w:t>
            </w:r>
          </w:p>
        </w:tc>
        <w:tc>
          <w:tcPr>
            <w:tcW w:w="940" w:type="dxa"/>
            <w:tcBorders>
              <w:top w:val="nil"/>
              <w:left w:val="nil"/>
              <w:bottom w:val="nil"/>
              <w:right w:val="nil"/>
            </w:tcBorders>
            <w:shd w:val="clear" w:color="auto" w:fill="auto"/>
            <w:noWrap/>
            <w:vAlign w:val="center"/>
            <w:hideMark/>
          </w:tcPr>
          <w:p w14:paraId="5908E0AD" w14:textId="77777777" w:rsidR="00201729" w:rsidRPr="00606E51" w:rsidRDefault="00201729" w:rsidP="00070782">
            <w:pPr>
              <w:jc w:val="center"/>
              <w:rPr>
                <w:rFonts w:cs="Times New Roman"/>
                <w:sz w:val="16"/>
                <w:lang w:val="es-CO"/>
              </w:rPr>
            </w:pPr>
            <w:r w:rsidRPr="00606E51">
              <w:rPr>
                <w:rFonts w:cs="Times New Roman"/>
                <w:sz w:val="16"/>
                <w:lang w:val="es-CO"/>
              </w:rPr>
              <w:t>$53.462.276</w:t>
            </w:r>
          </w:p>
        </w:tc>
        <w:tc>
          <w:tcPr>
            <w:tcW w:w="0" w:type="auto"/>
            <w:tcBorders>
              <w:top w:val="nil"/>
              <w:left w:val="nil"/>
              <w:bottom w:val="nil"/>
              <w:right w:val="nil"/>
            </w:tcBorders>
            <w:shd w:val="clear" w:color="auto" w:fill="auto"/>
            <w:noWrap/>
            <w:vAlign w:val="center"/>
            <w:hideMark/>
          </w:tcPr>
          <w:p w14:paraId="44A03EAA" w14:textId="77777777" w:rsidR="00201729" w:rsidRPr="00606E51" w:rsidRDefault="00201729" w:rsidP="00070782">
            <w:pPr>
              <w:jc w:val="center"/>
              <w:rPr>
                <w:rFonts w:cs="Times New Roman"/>
                <w:sz w:val="16"/>
                <w:lang w:val="es-CO"/>
              </w:rPr>
            </w:pPr>
            <w:r w:rsidRPr="00606E51">
              <w:rPr>
                <w:rFonts w:cs="Times New Roman"/>
                <w:sz w:val="16"/>
                <w:lang w:val="es-CO"/>
              </w:rPr>
              <w:t>$7.210.334</w:t>
            </w:r>
          </w:p>
        </w:tc>
      </w:tr>
      <w:tr w:rsidR="00D721F8" w:rsidRPr="00606E51" w14:paraId="7D7CA800" w14:textId="77777777" w:rsidTr="00D721F8">
        <w:trPr>
          <w:trHeight w:val="126"/>
          <w:jc w:val="center"/>
        </w:trPr>
        <w:tc>
          <w:tcPr>
            <w:tcW w:w="3399" w:type="dxa"/>
            <w:tcBorders>
              <w:top w:val="nil"/>
              <w:left w:val="nil"/>
              <w:bottom w:val="single" w:sz="4" w:space="0" w:color="auto"/>
              <w:right w:val="nil"/>
            </w:tcBorders>
            <w:shd w:val="clear" w:color="auto" w:fill="auto"/>
            <w:noWrap/>
            <w:vAlign w:val="center"/>
            <w:hideMark/>
          </w:tcPr>
          <w:p w14:paraId="19773A14" w14:textId="77777777" w:rsidR="00201729" w:rsidRPr="00606E51" w:rsidRDefault="00201729" w:rsidP="00201729">
            <w:pPr>
              <w:jc w:val="both"/>
              <w:rPr>
                <w:rFonts w:cs="Times New Roman"/>
                <w:b/>
                <w:bCs/>
                <w:sz w:val="16"/>
                <w:lang w:val="es-CO"/>
              </w:rPr>
            </w:pPr>
            <w:r w:rsidRPr="00606E51">
              <w:rPr>
                <w:rFonts w:cs="Times New Roman"/>
                <w:b/>
                <w:bCs/>
                <w:sz w:val="16"/>
                <w:lang w:val="es-CO"/>
              </w:rPr>
              <w:t>Costo total</w:t>
            </w:r>
          </w:p>
        </w:tc>
        <w:tc>
          <w:tcPr>
            <w:tcW w:w="940" w:type="dxa"/>
            <w:tcBorders>
              <w:top w:val="nil"/>
              <w:left w:val="nil"/>
              <w:bottom w:val="single" w:sz="4" w:space="0" w:color="auto"/>
              <w:right w:val="nil"/>
            </w:tcBorders>
            <w:shd w:val="clear" w:color="auto" w:fill="auto"/>
            <w:noWrap/>
            <w:vAlign w:val="center"/>
            <w:hideMark/>
          </w:tcPr>
          <w:p w14:paraId="0DFBBDED" w14:textId="77777777" w:rsidR="00201729" w:rsidRPr="00606E51" w:rsidRDefault="00201729" w:rsidP="00070782">
            <w:pPr>
              <w:jc w:val="center"/>
              <w:rPr>
                <w:rFonts w:cs="Times New Roman"/>
                <w:sz w:val="16"/>
                <w:lang w:val="es-CO"/>
              </w:rPr>
            </w:pPr>
            <w:r w:rsidRPr="00606E51">
              <w:rPr>
                <w:rFonts w:cs="Times New Roman"/>
                <w:sz w:val="16"/>
                <w:lang w:val="es-CO"/>
              </w:rPr>
              <w:t>$53.462.276</w:t>
            </w:r>
          </w:p>
        </w:tc>
        <w:tc>
          <w:tcPr>
            <w:tcW w:w="0" w:type="auto"/>
            <w:tcBorders>
              <w:top w:val="nil"/>
              <w:left w:val="nil"/>
              <w:bottom w:val="single" w:sz="4" w:space="0" w:color="auto"/>
              <w:right w:val="nil"/>
            </w:tcBorders>
            <w:shd w:val="clear" w:color="auto" w:fill="auto"/>
            <w:noWrap/>
            <w:vAlign w:val="center"/>
            <w:hideMark/>
          </w:tcPr>
          <w:p w14:paraId="0DB1EA78" w14:textId="77777777" w:rsidR="00201729" w:rsidRPr="00606E51" w:rsidRDefault="00201729" w:rsidP="00070782">
            <w:pPr>
              <w:jc w:val="center"/>
              <w:rPr>
                <w:rFonts w:cs="Times New Roman"/>
                <w:sz w:val="16"/>
                <w:lang w:val="es-CO"/>
              </w:rPr>
            </w:pPr>
            <w:r w:rsidRPr="00606E51">
              <w:rPr>
                <w:rFonts w:cs="Times New Roman"/>
                <w:sz w:val="16"/>
                <w:lang w:val="es-CO"/>
              </w:rPr>
              <w:t>$7.210.334</w:t>
            </w:r>
          </w:p>
        </w:tc>
      </w:tr>
    </w:tbl>
    <w:p w14:paraId="324600DC" w14:textId="77777777" w:rsidR="00201729" w:rsidRPr="00606E51" w:rsidRDefault="00201729" w:rsidP="00070782">
      <w:pPr>
        <w:jc w:val="center"/>
        <w:rPr>
          <w:rFonts w:cs="Times New Roman"/>
          <w:bCs/>
          <w:sz w:val="21"/>
          <w:lang w:val="es-CO"/>
        </w:rPr>
      </w:pPr>
      <w:r w:rsidRPr="00606E51">
        <w:rPr>
          <w:rFonts w:cs="Times New Roman"/>
          <w:bCs/>
          <w:sz w:val="18"/>
          <w:lang w:val="es-CO"/>
        </w:rPr>
        <w:t>Fuente: Elaboración propia con información del cuadro 8.1 y figura 8.1</w:t>
      </w:r>
    </w:p>
    <w:p w14:paraId="429BD150" w14:textId="77777777" w:rsidR="006E01A5" w:rsidRPr="00606E51" w:rsidRDefault="006E01A5" w:rsidP="00201729">
      <w:pPr>
        <w:jc w:val="both"/>
        <w:rPr>
          <w:rFonts w:cs="Times New Roman"/>
          <w:bCs/>
          <w:lang w:val="es-CO"/>
        </w:rPr>
      </w:pPr>
    </w:p>
    <w:p w14:paraId="6EB9B849" w14:textId="77777777" w:rsidR="00201729" w:rsidRPr="00606E51" w:rsidRDefault="00201729" w:rsidP="00201729">
      <w:pPr>
        <w:jc w:val="both"/>
        <w:rPr>
          <w:rFonts w:cs="Times New Roman"/>
          <w:bCs/>
          <w:lang w:val="es-CO"/>
        </w:rPr>
      </w:pPr>
      <w:r w:rsidRPr="00606E51">
        <w:rPr>
          <w:rFonts w:cs="Times New Roman"/>
          <w:bCs/>
          <w:lang w:val="es-CO"/>
        </w:rPr>
        <w:t xml:space="preserve">A partir de los resultados del </w:t>
      </w:r>
      <w:r w:rsidRPr="00606E51">
        <w:rPr>
          <w:rFonts w:cs="Times New Roman"/>
          <w:bCs/>
          <w:lang w:val="es-CO"/>
        </w:rPr>
        <w:fldChar w:fldCharType="begin"/>
      </w:r>
      <w:r w:rsidRPr="00606E51">
        <w:rPr>
          <w:rFonts w:cs="Times New Roman"/>
          <w:bCs/>
          <w:lang w:val="es-CO"/>
        </w:rPr>
        <w:instrText xml:space="preserve"> REF  _Ref478148437 \* Lower \h  \* MERGEFORMAT </w:instrText>
      </w:r>
      <w:r w:rsidRPr="00606E51">
        <w:rPr>
          <w:rFonts w:cs="Times New Roman"/>
          <w:bCs/>
          <w:lang w:val="es-CO"/>
        </w:rPr>
      </w:r>
      <w:r w:rsidRPr="00606E51">
        <w:rPr>
          <w:rFonts w:cs="Times New Roman"/>
          <w:bCs/>
          <w:lang w:val="es-CO"/>
        </w:rPr>
        <w:fldChar w:fldCharType="separate"/>
      </w:r>
      <w:r w:rsidRPr="00606E51">
        <w:rPr>
          <w:rFonts w:cs="Times New Roman"/>
          <w:bCs/>
          <w:lang w:val="es-CO"/>
        </w:rPr>
        <w:t>cuadro 5.2</w:t>
      </w:r>
      <w:r w:rsidRPr="00606E51">
        <w:rPr>
          <w:rFonts w:cs="Times New Roman"/>
          <w:lang w:val="es-CO"/>
        </w:rPr>
        <w:fldChar w:fldCharType="end"/>
      </w:r>
      <w:r w:rsidRPr="00606E51">
        <w:rPr>
          <w:rFonts w:cs="Times New Roman"/>
          <w:bCs/>
          <w:lang w:val="es-CO"/>
        </w:rPr>
        <w:t>, en el es</w:t>
      </w:r>
      <w:r w:rsidR="009E7E6B" w:rsidRPr="00606E51">
        <w:rPr>
          <w:rFonts w:cs="Times New Roman"/>
          <w:bCs/>
          <w:lang w:val="es-CO"/>
        </w:rPr>
        <w:t>cenario sin implementación del L</w:t>
      </w:r>
      <w:r w:rsidRPr="00606E51">
        <w:rPr>
          <w:rFonts w:cs="Times New Roman"/>
          <w:bCs/>
          <w:lang w:val="es-CO"/>
        </w:rPr>
        <w:t>ineamiento se estima que, de los 116 niños identificados con desnutrición aguda, 37 se remiten a atención intrahospitalaria y que se presentan 2 defunciones. Esto generaría un costo total de $53.462.276 pesos.</w:t>
      </w:r>
    </w:p>
    <w:p w14:paraId="65DFBAA2" w14:textId="77777777" w:rsidR="00027E1B" w:rsidRPr="00606E51" w:rsidRDefault="00027E1B" w:rsidP="00201729">
      <w:pPr>
        <w:jc w:val="both"/>
        <w:rPr>
          <w:rFonts w:cs="Times New Roman"/>
          <w:bCs/>
          <w:lang w:val="es-CO"/>
        </w:rPr>
      </w:pPr>
    </w:p>
    <w:p w14:paraId="5307CB44" w14:textId="77777777" w:rsidR="00201729" w:rsidRPr="00606E51" w:rsidRDefault="00201729" w:rsidP="00070782">
      <w:pPr>
        <w:jc w:val="center"/>
        <w:rPr>
          <w:rFonts w:cs="Times New Roman"/>
          <w:bCs/>
          <w:lang w:val="es-CO"/>
        </w:rPr>
      </w:pPr>
      <w:bookmarkStart w:id="103" w:name="_Ref478148654"/>
      <w:bookmarkStart w:id="104" w:name="_Toc490045714"/>
      <w:r w:rsidRPr="00606E51">
        <w:rPr>
          <w:rFonts w:cs="Times New Roman"/>
          <w:b/>
          <w:bCs/>
          <w:lang w:val="es-CO"/>
        </w:rPr>
        <w:t xml:space="preserve">Cuadro </w:t>
      </w:r>
      <w:r w:rsidR="00F1370E" w:rsidRPr="00606E51">
        <w:rPr>
          <w:rFonts w:cs="Times New Roman"/>
          <w:b/>
          <w:bCs/>
          <w:lang w:val="es-CO"/>
        </w:rPr>
        <w:fldChar w:fldCharType="begin"/>
      </w:r>
      <w:r w:rsidR="00F1370E" w:rsidRPr="00606E51">
        <w:rPr>
          <w:rFonts w:cs="Times New Roman"/>
          <w:b/>
          <w:bCs/>
          <w:lang w:val="es-CO"/>
        </w:rPr>
        <w:instrText xml:space="preserve"> STYLEREF 1 \s </w:instrText>
      </w:r>
      <w:r w:rsidR="00F1370E" w:rsidRPr="00606E51">
        <w:rPr>
          <w:rFonts w:cs="Times New Roman"/>
          <w:b/>
          <w:bCs/>
          <w:lang w:val="es-CO"/>
        </w:rPr>
        <w:fldChar w:fldCharType="separate"/>
      </w:r>
      <w:r w:rsidR="00F1370E" w:rsidRPr="00606E51">
        <w:rPr>
          <w:rFonts w:cs="Times New Roman"/>
          <w:b/>
          <w:bCs/>
          <w:lang w:val="es-CO"/>
        </w:rPr>
        <w:t>5</w:t>
      </w:r>
      <w:r w:rsidR="00F1370E" w:rsidRPr="00606E51">
        <w:rPr>
          <w:rFonts w:cs="Times New Roman"/>
          <w:b/>
          <w:bCs/>
          <w:lang w:val="es-CO"/>
        </w:rPr>
        <w:fldChar w:fldCharType="end"/>
      </w:r>
      <w:r w:rsidR="00F1370E" w:rsidRPr="00606E51">
        <w:rPr>
          <w:rFonts w:cs="Times New Roman"/>
          <w:b/>
          <w:bCs/>
          <w:lang w:val="es-CO"/>
        </w:rPr>
        <w:noBreakHyphen/>
      </w:r>
      <w:r w:rsidR="00F1370E" w:rsidRPr="00606E51">
        <w:rPr>
          <w:rFonts w:cs="Times New Roman"/>
          <w:b/>
          <w:bCs/>
          <w:lang w:val="es-CO"/>
        </w:rPr>
        <w:fldChar w:fldCharType="begin"/>
      </w:r>
      <w:r w:rsidR="00F1370E" w:rsidRPr="00606E51">
        <w:rPr>
          <w:rFonts w:cs="Times New Roman"/>
          <w:b/>
          <w:bCs/>
          <w:lang w:val="es-CO"/>
        </w:rPr>
        <w:instrText xml:space="preserve"> SEQ Cuadro \* ROMAN \s 1 </w:instrText>
      </w:r>
      <w:r w:rsidR="00F1370E" w:rsidRPr="00606E51">
        <w:rPr>
          <w:rFonts w:cs="Times New Roman"/>
          <w:b/>
          <w:bCs/>
          <w:lang w:val="es-CO"/>
        </w:rPr>
        <w:fldChar w:fldCharType="separate"/>
      </w:r>
      <w:r w:rsidR="00F1370E" w:rsidRPr="00606E51">
        <w:rPr>
          <w:rFonts w:cs="Times New Roman"/>
          <w:b/>
          <w:bCs/>
          <w:lang w:val="es-CO"/>
        </w:rPr>
        <w:t>III</w:t>
      </w:r>
      <w:r w:rsidR="00F1370E" w:rsidRPr="00606E51">
        <w:rPr>
          <w:rFonts w:cs="Times New Roman"/>
          <w:b/>
          <w:bCs/>
          <w:lang w:val="es-CO"/>
        </w:rPr>
        <w:fldChar w:fldCharType="end"/>
      </w:r>
      <w:bookmarkEnd w:id="103"/>
      <w:r w:rsidRPr="00606E51">
        <w:rPr>
          <w:rFonts w:cs="Times New Roman"/>
          <w:b/>
          <w:bCs/>
          <w:lang w:val="es-CO"/>
        </w:rPr>
        <w:t>. Resultados en el escen</w:t>
      </w:r>
      <w:r w:rsidR="009E7E6B" w:rsidRPr="00606E51">
        <w:rPr>
          <w:rFonts w:cs="Times New Roman"/>
          <w:b/>
          <w:bCs/>
          <w:lang w:val="es-CO"/>
        </w:rPr>
        <w:t>ario con la implementación del L</w:t>
      </w:r>
      <w:r w:rsidRPr="00606E51">
        <w:rPr>
          <w:rFonts w:cs="Times New Roman"/>
          <w:b/>
          <w:bCs/>
          <w:lang w:val="es-CO"/>
        </w:rPr>
        <w:t>ineamiento</w:t>
      </w:r>
      <w:bookmarkEnd w:id="104"/>
    </w:p>
    <w:tbl>
      <w:tblPr>
        <w:tblW w:w="5580" w:type="dxa"/>
        <w:jc w:val="center"/>
        <w:tblCellMar>
          <w:left w:w="70" w:type="dxa"/>
          <w:right w:w="70" w:type="dxa"/>
        </w:tblCellMar>
        <w:tblLook w:val="04A0" w:firstRow="1" w:lastRow="0" w:firstColumn="1" w:lastColumn="0" w:noHBand="0" w:noVBand="1"/>
      </w:tblPr>
      <w:tblGrid>
        <w:gridCol w:w="3403"/>
        <w:gridCol w:w="1208"/>
        <w:gridCol w:w="969"/>
      </w:tblGrid>
      <w:tr w:rsidR="00D721F8" w:rsidRPr="00606E51" w14:paraId="4739391A" w14:textId="77777777" w:rsidTr="00D721F8">
        <w:trPr>
          <w:trHeight w:val="241"/>
          <w:jc w:val="center"/>
        </w:trPr>
        <w:tc>
          <w:tcPr>
            <w:tcW w:w="3403" w:type="dxa"/>
            <w:tcBorders>
              <w:top w:val="nil"/>
              <w:left w:val="nil"/>
              <w:bottom w:val="single" w:sz="4" w:space="0" w:color="auto"/>
              <w:right w:val="nil"/>
            </w:tcBorders>
            <w:shd w:val="clear" w:color="auto" w:fill="auto"/>
            <w:noWrap/>
            <w:vAlign w:val="bottom"/>
            <w:hideMark/>
          </w:tcPr>
          <w:p w14:paraId="6D0DD78D" w14:textId="77777777" w:rsidR="00201729" w:rsidRPr="00606E51" w:rsidRDefault="00201729" w:rsidP="00201729">
            <w:pPr>
              <w:jc w:val="both"/>
              <w:rPr>
                <w:rFonts w:cs="Times New Roman"/>
                <w:sz w:val="16"/>
                <w:lang w:val="es-CO"/>
              </w:rPr>
            </w:pPr>
            <w:r w:rsidRPr="00606E51">
              <w:rPr>
                <w:rFonts w:cs="Times New Roman"/>
                <w:sz w:val="16"/>
                <w:lang w:val="es-CO"/>
              </w:rPr>
              <w:t> </w:t>
            </w:r>
          </w:p>
        </w:tc>
        <w:tc>
          <w:tcPr>
            <w:tcW w:w="1208" w:type="dxa"/>
            <w:tcBorders>
              <w:top w:val="single" w:sz="4" w:space="0" w:color="auto"/>
              <w:left w:val="nil"/>
              <w:bottom w:val="single" w:sz="4" w:space="0" w:color="auto"/>
              <w:right w:val="nil"/>
            </w:tcBorders>
            <w:shd w:val="clear" w:color="auto" w:fill="auto"/>
            <w:noWrap/>
            <w:vAlign w:val="center"/>
            <w:hideMark/>
          </w:tcPr>
          <w:p w14:paraId="471332FC" w14:textId="77777777" w:rsidR="00201729" w:rsidRPr="00606E51" w:rsidRDefault="00201729" w:rsidP="00201729">
            <w:pPr>
              <w:jc w:val="both"/>
              <w:rPr>
                <w:rFonts w:cs="Times New Roman"/>
                <w:b/>
                <w:bCs/>
                <w:sz w:val="16"/>
                <w:lang w:val="es-CO"/>
              </w:rPr>
            </w:pPr>
            <w:r w:rsidRPr="00606E51">
              <w:rPr>
                <w:rFonts w:cs="Times New Roman"/>
                <w:b/>
                <w:bCs/>
                <w:sz w:val="16"/>
                <w:lang w:val="es-CO"/>
              </w:rPr>
              <w:t>Promedio</w:t>
            </w:r>
          </w:p>
        </w:tc>
        <w:tc>
          <w:tcPr>
            <w:tcW w:w="0" w:type="auto"/>
            <w:tcBorders>
              <w:top w:val="single" w:sz="4" w:space="0" w:color="auto"/>
              <w:left w:val="nil"/>
              <w:bottom w:val="single" w:sz="4" w:space="0" w:color="auto"/>
              <w:right w:val="nil"/>
            </w:tcBorders>
            <w:shd w:val="clear" w:color="auto" w:fill="auto"/>
            <w:noWrap/>
            <w:vAlign w:val="center"/>
            <w:hideMark/>
          </w:tcPr>
          <w:p w14:paraId="4697C3A4" w14:textId="77777777" w:rsidR="00201729" w:rsidRPr="00606E51" w:rsidRDefault="00201729" w:rsidP="00201729">
            <w:pPr>
              <w:jc w:val="both"/>
              <w:rPr>
                <w:rFonts w:cs="Times New Roman"/>
                <w:b/>
                <w:bCs/>
                <w:sz w:val="16"/>
                <w:lang w:val="es-CO"/>
              </w:rPr>
            </w:pPr>
            <w:r w:rsidRPr="00606E51">
              <w:rPr>
                <w:rFonts w:cs="Times New Roman"/>
                <w:b/>
                <w:bCs/>
                <w:sz w:val="16"/>
                <w:lang w:val="es-CO"/>
              </w:rPr>
              <w:t>Desv. Estd.</w:t>
            </w:r>
          </w:p>
        </w:tc>
      </w:tr>
      <w:tr w:rsidR="00D721F8" w:rsidRPr="00606E51" w14:paraId="32A2EE14"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79508211" w14:textId="77777777" w:rsidR="00201729" w:rsidRPr="00606E51" w:rsidRDefault="00201729" w:rsidP="00201729">
            <w:pPr>
              <w:jc w:val="both"/>
              <w:rPr>
                <w:rFonts w:cs="Times New Roman"/>
                <w:b/>
                <w:bCs/>
                <w:sz w:val="16"/>
                <w:lang w:val="es-CO"/>
              </w:rPr>
            </w:pPr>
            <w:r w:rsidRPr="00606E51">
              <w:rPr>
                <w:rFonts w:cs="Times New Roman"/>
                <w:b/>
                <w:bCs/>
                <w:sz w:val="16"/>
                <w:lang w:val="es-CO"/>
              </w:rPr>
              <w:t>Entrantes</w:t>
            </w:r>
          </w:p>
        </w:tc>
        <w:tc>
          <w:tcPr>
            <w:tcW w:w="1208" w:type="dxa"/>
            <w:tcBorders>
              <w:top w:val="nil"/>
              <w:left w:val="nil"/>
              <w:bottom w:val="nil"/>
              <w:right w:val="nil"/>
            </w:tcBorders>
            <w:shd w:val="clear" w:color="auto" w:fill="auto"/>
            <w:noWrap/>
            <w:vAlign w:val="center"/>
            <w:hideMark/>
          </w:tcPr>
          <w:p w14:paraId="209ACE66" w14:textId="77777777" w:rsidR="00201729" w:rsidRPr="00606E51" w:rsidRDefault="00201729" w:rsidP="00070782">
            <w:pPr>
              <w:jc w:val="center"/>
              <w:rPr>
                <w:rFonts w:cs="Times New Roman"/>
                <w:sz w:val="16"/>
                <w:lang w:val="es-CO"/>
              </w:rPr>
            </w:pPr>
            <w:r w:rsidRPr="00606E51">
              <w:rPr>
                <w:rFonts w:cs="Times New Roman"/>
                <w:sz w:val="16"/>
                <w:lang w:val="es-CO"/>
              </w:rPr>
              <w:t>116</w:t>
            </w:r>
          </w:p>
        </w:tc>
        <w:tc>
          <w:tcPr>
            <w:tcW w:w="0" w:type="auto"/>
            <w:tcBorders>
              <w:top w:val="nil"/>
              <w:left w:val="nil"/>
              <w:bottom w:val="nil"/>
              <w:right w:val="nil"/>
            </w:tcBorders>
            <w:shd w:val="clear" w:color="auto" w:fill="auto"/>
            <w:noWrap/>
            <w:vAlign w:val="center"/>
            <w:hideMark/>
          </w:tcPr>
          <w:p w14:paraId="6DECDB38" w14:textId="77777777" w:rsidR="00201729" w:rsidRPr="00606E51" w:rsidRDefault="00201729" w:rsidP="00070782">
            <w:pPr>
              <w:jc w:val="center"/>
              <w:rPr>
                <w:rFonts w:cs="Times New Roman"/>
                <w:sz w:val="16"/>
                <w:lang w:val="es-CO"/>
              </w:rPr>
            </w:pPr>
            <w:r w:rsidRPr="00606E51">
              <w:rPr>
                <w:rFonts w:cs="Times New Roman"/>
                <w:sz w:val="16"/>
                <w:lang w:val="es-CO"/>
              </w:rPr>
              <w:t>-</w:t>
            </w:r>
          </w:p>
        </w:tc>
      </w:tr>
      <w:tr w:rsidR="00D721F8" w:rsidRPr="00606E51" w14:paraId="0195AE78" w14:textId="77777777" w:rsidTr="00D721F8">
        <w:trPr>
          <w:trHeight w:val="223"/>
          <w:jc w:val="center"/>
        </w:trPr>
        <w:tc>
          <w:tcPr>
            <w:tcW w:w="3403" w:type="dxa"/>
            <w:tcBorders>
              <w:top w:val="nil"/>
              <w:left w:val="nil"/>
              <w:bottom w:val="nil"/>
              <w:right w:val="nil"/>
            </w:tcBorders>
            <w:shd w:val="clear" w:color="auto" w:fill="auto"/>
            <w:noWrap/>
            <w:vAlign w:val="center"/>
            <w:hideMark/>
          </w:tcPr>
          <w:p w14:paraId="2F943D20" w14:textId="77777777" w:rsidR="00201729" w:rsidRPr="00606E51" w:rsidRDefault="00201729" w:rsidP="00201729">
            <w:pPr>
              <w:jc w:val="both"/>
              <w:rPr>
                <w:rFonts w:cs="Times New Roman"/>
                <w:b/>
                <w:bCs/>
                <w:sz w:val="16"/>
                <w:lang w:val="es-CO"/>
              </w:rPr>
            </w:pPr>
            <w:r w:rsidRPr="00606E51">
              <w:rPr>
                <w:rFonts w:cs="Times New Roman"/>
                <w:b/>
                <w:bCs/>
                <w:sz w:val="16"/>
                <w:lang w:val="es-CO"/>
              </w:rPr>
              <w:t>Remisión II nivel/Manejo intrahospitalario</w:t>
            </w:r>
          </w:p>
        </w:tc>
        <w:tc>
          <w:tcPr>
            <w:tcW w:w="1208" w:type="dxa"/>
            <w:tcBorders>
              <w:top w:val="nil"/>
              <w:left w:val="nil"/>
              <w:bottom w:val="nil"/>
              <w:right w:val="nil"/>
            </w:tcBorders>
            <w:shd w:val="clear" w:color="auto" w:fill="auto"/>
            <w:noWrap/>
            <w:vAlign w:val="center"/>
            <w:hideMark/>
          </w:tcPr>
          <w:p w14:paraId="64F9AF84" w14:textId="77777777" w:rsidR="00201729" w:rsidRPr="00606E51" w:rsidRDefault="00201729" w:rsidP="00070782">
            <w:pPr>
              <w:jc w:val="center"/>
              <w:rPr>
                <w:rFonts w:cs="Times New Roman"/>
                <w:sz w:val="16"/>
                <w:lang w:val="es-CO"/>
              </w:rPr>
            </w:pPr>
            <w:r w:rsidRPr="00606E51">
              <w:rPr>
                <w:rFonts w:cs="Times New Roman"/>
                <w:sz w:val="16"/>
                <w:lang w:val="es-CO"/>
              </w:rPr>
              <w:t>16</w:t>
            </w:r>
          </w:p>
        </w:tc>
        <w:tc>
          <w:tcPr>
            <w:tcW w:w="0" w:type="auto"/>
            <w:tcBorders>
              <w:top w:val="nil"/>
              <w:left w:val="nil"/>
              <w:bottom w:val="nil"/>
              <w:right w:val="nil"/>
            </w:tcBorders>
            <w:shd w:val="clear" w:color="auto" w:fill="auto"/>
            <w:noWrap/>
            <w:vAlign w:val="center"/>
            <w:hideMark/>
          </w:tcPr>
          <w:p w14:paraId="59CF5250" w14:textId="77777777" w:rsidR="00201729" w:rsidRPr="00606E51" w:rsidRDefault="00201729" w:rsidP="00070782">
            <w:pPr>
              <w:jc w:val="center"/>
              <w:rPr>
                <w:rFonts w:cs="Times New Roman"/>
                <w:sz w:val="16"/>
                <w:lang w:val="es-CO"/>
              </w:rPr>
            </w:pPr>
            <w:r w:rsidRPr="00606E51">
              <w:rPr>
                <w:rFonts w:cs="Times New Roman"/>
                <w:sz w:val="16"/>
                <w:lang w:val="es-CO"/>
              </w:rPr>
              <w:t>3,7</w:t>
            </w:r>
          </w:p>
        </w:tc>
      </w:tr>
      <w:tr w:rsidR="00D721F8" w:rsidRPr="00606E51" w14:paraId="0909AE4B"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6652D82E" w14:textId="77777777" w:rsidR="00201729" w:rsidRPr="00606E51" w:rsidRDefault="00201729" w:rsidP="00201729">
            <w:pPr>
              <w:jc w:val="both"/>
              <w:rPr>
                <w:rFonts w:cs="Times New Roman"/>
                <w:b/>
                <w:bCs/>
                <w:sz w:val="16"/>
                <w:lang w:val="es-CO"/>
              </w:rPr>
            </w:pPr>
            <w:r w:rsidRPr="00606E51">
              <w:rPr>
                <w:rFonts w:cs="Times New Roman"/>
                <w:b/>
                <w:bCs/>
                <w:sz w:val="16"/>
                <w:lang w:val="es-CO"/>
              </w:rPr>
              <w:t>Defunciones</w:t>
            </w:r>
          </w:p>
        </w:tc>
        <w:tc>
          <w:tcPr>
            <w:tcW w:w="1208" w:type="dxa"/>
            <w:tcBorders>
              <w:top w:val="nil"/>
              <w:left w:val="nil"/>
              <w:bottom w:val="nil"/>
              <w:right w:val="nil"/>
            </w:tcBorders>
            <w:shd w:val="clear" w:color="auto" w:fill="auto"/>
            <w:noWrap/>
            <w:vAlign w:val="center"/>
            <w:hideMark/>
          </w:tcPr>
          <w:p w14:paraId="133C4B76" w14:textId="77777777" w:rsidR="00201729" w:rsidRPr="00606E51" w:rsidRDefault="00201729" w:rsidP="00070782">
            <w:pPr>
              <w:jc w:val="center"/>
              <w:rPr>
                <w:rFonts w:cs="Times New Roman"/>
                <w:sz w:val="16"/>
                <w:lang w:val="es-CO"/>
              </w:rPr>
            </w:pPr>
            <w:r w:rsidRPr="00606E51">
              <w:rPr>
                <w:rFonts w:cs="Times New Roman"/>
                <w:sz w:val="16"/>
                <w:lang w:val="es-CO"/>
              </w:rPr>
              <w:t>0</w:t>
            </w:r>
          </w:p>
        </w:tc>
        <w:tc>
          <w:tcPr>
            <w:tcW w:w="0" w:type="auto"/>
            <w:tcBorders>
              <w:top w:val="nil"/>
              <w:left w:val="nil"/>
              <w:bottom w:val="nil"/>
              <w:right w:val="nil"/>
            </w:tcBorders>
            <w:shd w:val="clear" w:color="auto" w:fill="auto"/>
            <w:noWrap/>
            <w:vAlign w:val="center"/>
            <w:hideMark/>
          </w:tcPr>
          <w:p w14:paraId="0B279848" w14:textId="77777777" w:rsidR="00201729" w:rsidRPr="00606E51" w:rsidRDefault="00201729" w:rsidP="00070782">
            <w:pPr>
              <w:jc w:val="center"/>
              <w:rPr>
                <w:rFonts w:cs="Times New Roman"/>
                <w:sz w:val="16"/>
                <w:lang w:val="es-CO"/>
              </w:rPr>
            </w:pPr>
            <w:r w:rsidRPr="00606E51">
              <w:rPr>
                <w:rFonts w:cs="Times New Roman"/>
                <w:sz w:val="16"/>
                <w:lang w:val="es-CO"/>
              </w:rPr>
              <w:t>0,7</w:t>
            </w:r>
          </w:p>
        </w:tc>
      </w:tr>
      <w:tr w:rsidR="00D721F8" w:rsidRPr="00606E51" w14:paraId="150353CC"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53702632" w14:textId="77777777" w:rsidR="00201729" w:rsidRPr="00606E51" w:rsidRDefault="00201729" w:rsidP="00201729">
            <w:pPr>
              <w:jc w:val="both"/>
              <w:rPr>
                <w:rFonts w:cs="Times New Roman"/>
                <w:b/>
                <w:bCs/>
                <w:sz w:val="16"/>
                <w:lang w:val="es-CO"/>
              </w:rPr>
            </w:pPr>
            <w:r w:rsidRPr="00606E51">
              <w:rPr>
                <w:rFonts w:cs="Times New Roman"/>
                <w:b/>
                <w:bCs/>
                <w:sz w:val="16"/>
                <w:lang w:val="es-CO"/>
              </w:rPr>
              <w:t>Atención ambulatoria de manejo en el hogar</w:t>
            </w:r>
          </w:p>
        </w:tc>
        <w:tc>
          <w:tcPr>
            <w:tcW w:w="1208" w:type="dxa"/>
            <w:tcBorders>
              <w:top w:val="nil"/>
              <w:left w:val="nil"/>
              <w:bottom w:val="nil"/>
              <w:right w:val="nil"/>
            </w:tcBorders>
            <w:shd w:val="clear" w:color="auto" w:fill="auto"/>
            <w:noWrap/>
            <w:vAlign w:val="center"/>
            <w:hideMark/>
          </w:tcPr>
          <w:p w14:paraId="107639CA" w14:textId="77777777" w:rsidR="00201729" w:rsidRPr="00606E51" w:rsidRDefault="00201729" w:rsidP="00070782">
            <w:pPr>
              <w:jc w:val="center"/>
              <w:rPr>
                <w:rFonts w:cs="Times New Roman"/>
                <w:sz w:val="16"/>
                <w:lang w:val="es-CO"/>
              </w:rPr>
            </w:pPr>
            <w:r w:rsidRPr="00606E51">
              <w:rPr>
                <w:rFonts w:cs="Times New Roman"/>
                <w:sz w:val="16"/>
                <w:lang w:val="es-CO"/>
              </w:rPr>
              <w:t>116</w:t>
            </w:r>
          </w:p>
        </w:tc>
        <w:tc>
          <w:tcPr>
            <w:tcW w:w="0" w:type="auto"/>
            <w:tcBorders>
              <w:top w:val="nil"/>
              <w:left w:val="nil"/>
              <w:bottom w:val="nil"/>
              <w:right w:val="nil"/>
            </w:tcBorders>
            <w:shd w:val="clear" w:color="auto" w:fill="auto"/>
            <w:noWrap/>
            <w:vAlign w:val="center"/>
            <w:hideMark/>
          </w:tcPr>
          <w:p w14:paraId="2293A3E5" w14:textId="77777777" w:rsidR="00201729" w:rsidRPr="00606E51" w:rsidRDefault="00201729" w:rsidP="00070782">
            <w:pPr>
              <w:jc w:val="center"/>
              <w:rPr>
                <w:rFonts w:cs="Times New Roman"/>
                <w:sz w:val="16"/>
                <w:lang w:val="es-CO"/>
              </w:rPr>
            </w:pPr>
            <w:r w:rsidRPr="00606E51">
              <w:rPr>
                <w:rFonts w:cs="Times New Roman"/>
                <w:sz w:val="16"/>
                <w:lang w:val="es-CO"/>
              </w:rPr>
              <w:t>0,7</w:t>
            </w:r>
          </w:p>
        </w:tc>
      </w:tr>
      <w:tr w:rsidR="00D721F8" w:rsidRPr="00606E51" w14:paraId="3E28B71F"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3BB27727" w14:textId="77777777" w:rsidR="00201729" w:rsidRPr="00606E51" w:rsidRDefault="00201729" w:rsidP="00201729">
            <w:pPr>
              <w:jc w:val="both"/>
              <w:rPr>
                <w:rFonts w:cs="Times New Roman"/>
                <w:b/>
                <w:bCs/>
                <w:sz w:val="16"/>
                <w:lang w:val="es-CO"/>
              </w:rPr>
            </w:pPr>
            <w:r w:rsidRPr="00606E51">
              <w:rPr>
                <w:rFonts w:cs="Times New Roman"/>
                <w:b/>
                <w:bCs/>
                <w:sz w:val="16"/>
                <w:lang w:val="es-CO"/>
              </w:rPr>
              <w:t>Recuperados</w:t>
            </w:r>
          </w:p>
        </w:tc>
        <w:tc>
          <w:tcPr>
            <w:tcW w:w="1208" w:type="dxa"/>
            <w:tcBorders>
              <w:top w:val="nil"/>
              <w:left w:val="nil"/>
              <w:bottom w:val="nil"/>
              <w:right w:val="nil"/>
            </w:tcBorders>
            <w:shd w:val="clear" w:color="auto" w:fill="auto"/>
            <w:noWrap/>
            <w:vAlign w:val="center"/>
            <w:hideMark/>
          </w:tcPr>
          <w:p w14:paraId="4891D5EE" w14:textId="77777777" w:rsidR="00201729" w:rsidRPr="00606E51" w:rsidRDefault="00201729" w:rsidP="00070782">
            <w:pPr>
              <w:jc w:val="center"/>
              <w:rPr>
                <w:rFonts w:cs="Times New Roman"/>
                <w:sz w:val="16"/>
                <w:lang w:val="es-CO"/>
              </w:rPr>
            </w:pPr>
            <w:r w:rsidRPr="00606E51">
              <w:rPr>
                <w:rFonts w:cs="Times New Roman"/>
                <w:sz w:val="16"/>
                <w:lang w:val="es-CO"/>
              </w:rPr>
              <w:t>66</w:t>
            </w:r>
          </w:p>
        </w:tc>
        <w:tc>
          <w:tcPr>
            <w:tcW w:w="0" w:type="auto"/>
            <w:tcBorders>
              <w:top w:val="nil"/>
              <w:left w:val="nil"/>
              <w:bottom w:val="nil"/>
              <w:right w:val="nil"/>
            </w:tcBorders>
            <w:shd w:val="clear" w:color="auto" w:fill="auto"/>
            <w:noWrap/>
            <w:vAlign w:val="center"/>
            <w:hideMark/>
          </w:tcPr>
          <w:p w14:paraId="1DC8DF3C" w14:textId="77777777" w:rsidR="00201729" w:rsidRPr="00606E51" w:rsidRDefault="00201729" w:rsidP="00070782">
            <w:pPr>
              <w:jc w:val="center"/>
              <w:rPr>
                <w:rFonts w:cs="Times New Roman"/>
                <w:sz w:val="16"/>
                <w:lang w:val="es-CO"/>
              </w:rPr>
            </w:pPr>
            <w:r w:rsidRPr="00606E51">
              <w:rPr>
                <w:rFonts w:cs="Times New Roman"/>
                <w:sz w:val="16"/>
                <w:lang w:val="es-CO"/>
              </w:rPr>
              <w:t>5,3</w:t>
            </w:r>
          </w:p>
        </w:tc>
      </w:tr>
      <w:tr w:rsidR="00D721F8" w:rsidRPr="00606E51" w14:paraId="77B79E04"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3B05EE30" w14:textId="77777777" w:rsidR="00201729" w:rsidRPr="00606E51" w:rsidRDefault="00201729" w:rsidP="00201729">
            <w:pPr>
              <w:jc w:val="both"/>
              <w:rPr>
                <w:rFonts w:cs="Times New Roman"/>
                <w:b/>
                <w:bCs/>
                <w:sz w:val="16"/>
                <w:lang w:val="es-CO"/>
              </w:rPr>
            </w:pPr>
            <w:r w:rsidRPr="00606E51">
              <w:rPr>
                <w:rFonts w:cs="Times New Roman"/>
                <w:b/>
                <w:bCs/>
                <w:sz w:val="16"/>
                <w:lang w:val="es-CO"/>
              </w:rPr>
              <w:lastRenderedPageBreak/>
              <w:t>Mejoraron</w:t>
            </w:r>
          </w:p>
        </w:tc>
        <w:tc>
          <w:tcPr>
            <w:tcW w:w="1208" w:type="dxa"/>
            <w:tcBorders>
              <w:top w:val="nil"/>
              <w:left w:val="nil"/>
              <w:bottom w:val="nil"/>
              <w:right w:val="nil"/>
            </w:tcBorders>
            <w:shd w:val="clear" w:color="auto" w:fill="auto"/>
            <w:noWrap/>
            <w:vAlign w:val="center"/>
            <w:hideMark/>
          </w:tcPr>
          <w:p w14:paraId="6D8F7DAD" w14:textId="77777777" w:rsidR="00201729" w:rsidRPr="00606E51" w:rsidRDefault="00201729" w:rsidP="00070782">
            <w:pPr>
              <w:jc w:val="center"/>
              <w:rPr>
                <w:rFonts w:cs="Times New Roman"/>
                <w:sz w:val="16"/>
                <w:lang w:val="es-CO"/>
              </w:rPr>
            </w:pPr>
            <w:r w:rsidRPr="00606E51">
              <w:rPr>
                <w:rFonts w:cs="Times New Roman"/>
                <w:sz w:val="16"/>
                <w:lang w:val="es-CO"/>
              </w:rPr>
              <w:t>85</w:t>
            </w:r>
          </w:p>
        </w:tc>
        <w:tc>
          <w:tcPr>
            <w:tcW w:w="0" w:type="auto"/>
            <w:tcBorders>
              <w:top w:val="nil"/>
              <w:left w:val="nil"/>
              <w:bottom w:val="nil"/>
              <w:right w:val="nil"/>
            </w:tcBorders>
            <w:shd w:val="clear" w:color="auto" w:fill="auto"/>
            <w:noWrap/>
            <w:vAlign w:val="center"/>
            <w:hideMark/>
          </w:tcPr>
          <w:p w14:paraId="34D558AC" w14:textId="77777777" w:rsidR="00201729" w:rsidRPr="00606E51" w:rsidRDefault="00201729" w:rsidP="00070782">
            <w:pPr>
              <w:jc w:val="center"/>
              <w:rPr>
                <w:rFonts w:cs="Times New Roman"/>
                <w:sz w:val="16"/>
                <w:lang w:val="es-CO"/>
              </w:rPr>
            </w:pPr>
            <w:r w:rsidRPr="00606E51">
              <w:rPr>
                <w:rFonts w:cs="Times New Roman"/>
                <w:sz w:val="16"/>
                <w:lang w:val="es-CO"/>
              </w:rPr>
              <w:t>4,7</w:t>
            </w:r>
          </w:p>
        </w:tc>
      </w:tr>
      <w:tr w:rsidR="00D721F8" w:rsidRPr="00606E51" w14:paraId="0BADD34A"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5A35EFFF" w14:textId="77777777" w:rsidR="00201729" w:rsidRPr="00606E51" w:rsidRDefault="00201729" w:rsidP="00201729">
            <w:pPr>
              <w:jc w:val="both"/>
              <w:rPr>
                <w:rFonts w:cs="Times New Roman"/>
                <w:b/>
                <w:bCs/>
                <w:sz w:val="16"/>
                <w:lang w:val="es-CO"/>
              </w:rPr>
            </w:pPr>
            <w:r w:rsidRPr="00606E51">
              <w:rPr>
                <w:rFonts w:cs="Times New Roman"/>
                <w:b/>
                <w:bCs/>
                <w:sz w:val="16"/>
                <w:lang w:val="es-CO"/>
              </w:rPr>
              <w:t>Costos intrahospitalarios</w:t>
            </w:r>
          </w:p>
        </w:tc>
        <w:tc>
          <w:tcPr>
            <w:tcW w:w="1208" w:type="dxa"/>
            <w:tcBorders>
              <w:top w:val="nil"/>
              <w:left w:val="nil"/>
              <w:bottom w:val="nil"/>
              <w:right w:val="nil"/>
            </w:tcBorders>
            <w:shd w:val="clear" w:color="auto" w:fill="auto"/>
            <w:noWrap/>
            <w:vAlign w:val="center"/>
            <w:hideMark/>
          </w:tcPr>
          <w:p w14:paraId="6244DCE1" w14:textId="77777777" w:rsidR="00201729" w:rsidRPr="00606E51" w:rsidRDefault="00201729" w:rsidP="00070782">
            <w:pPr>
              <w:jc w:val="center"/>
              <w:rPr>
                <w:rFonts w:cs="Times New Roman"/>
                <w:sz w:val="16"/>
                <w:lang w:val="es-CO"/>
              </w:rPr>
            </w:pPr>
            <w:r w:rsidRPr="00606E51">
              <w:rPr>
                <w:rFonts w:cs="Times New Roman"/>
                <w:sz w:val="16"/>
                <w:lang w:val="es-CO"/>
              </w:rPr>
              <w:t>$23.539.065</w:t>
            </w:r>
          </w:p>
        </w:tc>
        <w:tc>
          <w:tcPr>
            <w:tcW w:w="0" w:type="auto"/>
            <w:tcBorders>
              <w:top w:val="nil"/>
              <w:left w:val="nil"/>
              <w:bottom w:val="nil"/>
              <w:right w:val="nil"/>
            </w:tcBorders>
            <w:shd w:val="clear" w:color="auto" w:fill="auto"/>
            <w:noWrap/>
            <w:vAlign w:val="center"/>
            <w:hideMark/>
          </w:tcPr>
          <w:p w14:paraId="06DA9C60" w14:textId="77777777" w:rsidR="00201729" w:rsidRPr="00606E51" w:rsidRDefault="00201729" w:rsidP="00070782">
            <w:pPr>
              <w:jc w:val="center"/>
              <w:rPr>
                <w:rFonts w:cs="Times New Roman"/>
                <w:sz w:val="16"/>
                <w:lang w:val="es-CO"/>
              </w:rPr>
            </w:pPr>
            <w:r w:rsidRPr="00606E51">
              <w:rPr>
                <w:rFonts w:cs="Times New Roman"/>
                <w:sz w:val="16"/>
                <w:lang w:val="es-CO"/>
              </w:rPr>
              <w:t>$5.443.696</w:t>
            </w:r>
          </w:p>
        </w:tc>
      </w:tr>
      <w:tr w:rsidR="00D721F8" w:rsidRPr="00606E51" w14:paraId="54A05191" w14:textId="77777777" w:rsidTr="00D721F8">
        <w:trPr>
          <w:trHeight w:val="209"/>
          <w:jc w:val="center"/>
        </w:trPr>
        <w:tc>
          <w:tcPr>
            <w:tcW w:w="3403" w:type="dxa"/>
            <w:tcBorders>
              <w:top w:val="nil"/>
              <w:left w:val="nil"/>
              <w:bottom w:val="nil"/>
              <w:right w:val="nil"/>
            </w:tcBorders>
            <w:shd w:val="clear" w:color="auto" w:fill="auto"/>
            <w:noWrap/>
            <w:vAlign w:val="center"/>
            <w:hideMark/>
          </w:tcPr>
          <w:p w14:paraId="268F6B24" w14:textId="77777777" w:rsidR="00201729" w:rsidRPr="00606E51" w:rsidRDefault="00201729" w:rsidP="00201729">
            <w:pPr>
              <w:jc w:val="both"/>
              <w:rPr>
                <w:rFonts w:cs="Times New Roman"/>
                <w:b/>
                <w:bCs/>
                <w:sz w:val="16"/>
                <w:lang w:val="es-CO"/>
              </w:rPr>
            </w:pPr>
            <w:r w:rsidRPr="00606E51">
              <w:rPr>
                <w:rFonts w:cs="Times New Roman"/>
                <w:b/>
                <w:bCs/>
                <w:sz w:val="16"/>
                <w:lang w:val="es-CO"/>
              </w:rPr>
              <w:t>Costos atención ambulatoria de manejo en el hogar</w:t>
            </w:r>
          </w:p>
        </w:tc>
        <w:tc>
          <w:tcPr>
            <w:tcW w:w="1208" w:type="dxa"/>
            <w:tcBorders>
              <w:top w:val="nil"/>
              <w:left w:val="nil"/>
              <w:bottom w:val="nil"/>
              <w:right w:val="nil"/>
            </w:tcBorders>
            <w:shd w:val="clear" w:color="auto" w:fill="auto"/>
            <w:noWrap/>
            <w:vAlign w:val="center"/>
            <w:hideMark/>
          </w:tcPr>
          <w:p w14:paraId="670E12D3" w14:textId="77777777" w:rsidR="00201729" w:rsidRPr="00606E51" w:rsidRDefault="00201729" w:rsidP="00070782">
            <w:pPr>
              <w:jc w:val="center"/>
              <w:rPr>
                <w:rFonts w:cs="Times New Roman"/>
                <w:sz w:val="16"/>
                <w:lang w:val="es-CO"/>
              </w:rPr>
            </w:pPr>
            <w:r w:rsidRPr="00606E51">
              <w:rPr>
                <w:rFonts w:cs="Times New Roman"/>
                <w:sz w:val="16"/>
                <w:lang w:val="es-CO"/>
              </w:rPr>
              <w:t>$14.978.868</w:t>
            </w:r>
          </w:p>
        </w:tc>
        <w:tc>
          <w:tcPr>
            <w:tcW w:w="0" w:type="auto"/>
            <w:tcBorders>
              <w:top w:val="nil"/>
              <w:left w:val="nil"/>
              <w:bottom w:val="nil"/>
              <w:right w:val="nil"/>
            </w:tcBorders>
            <w:shd w:val="clear" w:color="auto" w:fill="auto"/>
            <w:noWrap/>
            <w:vAlign w:val="center"/>
            <w:hideMark/>
          </w:tcPr>
          <w:p w14:paraId="21F5252F" w14:textId="77777777" w:rsidR="00201729" w:rsidRPr="00606E51" w:rsidRDefault="00201729" w:rsidP="00070782">
            <w:pPr>
              <w:jc w:val="center"/>
              <w:rPr>
                <w:rFonts w:cs="Times New Roman"/>
                <w:sz w:val="16"/>
                <w:lang w:val="es-CO"/>
              </w:rPr>
            </w:pPr>
            <w:r w:rsidRPr="00606E51">
              <w:rPr>
                <w:rFonts w:cs="Times New Roman"/>
                <w:sz w:val="16"/>
                <w:lang w:val="es-CO"/>
              </w:rPr>
              <w:t>$85.683</w:t>
            </w:r>
          </w:p>
        </w:tc>
      </w:tr>
      <w:tr w:rsidR="00D721F8" w:rsidRPr="00606E51" w14:paraId="5B9ACD55" w14:textId="77777777" w:rsidTr="00D721F8">
        <w:trPr>
          <w:trHeight w:val="74"/>
          <w:jc w:val="center"/>
        </w:trPr>
        <w:tc>
          <w:tcPr>
            <w:tcW w:w="3403" w:type="dxa"/>
            <w:tcBorders>
              <w:top w:val="nil"/>
              <w:left w:val="nil"/>
              <w:bottom w:val="single" w:sz="4" w:space="0" w:color="auto"/>
              <w:right w:val="nil"/>
            </w:tcBorders>
            <w:shd w:val="clear" w:color="auto" w:fill="auto"/>
            <w:noWrap/>
            <w:vAlign w:val="center"/>
            <w:hideMark/>
          </w:tcPr>
          <w:p w14:paraId="25660B2F" w14:textId="77777777" w:rsidR="00201729" w:rsidRPr="00606E51" w:rsidRDefault="00201729" w:rsidP="00201729">
            <w:pPr>
              <w:jc w:val="both"/>
              <w:rPr>
                <w:rFonts w:cs="Times New Roman"/>
                <w:b/>
                <w:bCs/>
                <w:sz w:val="16"/>
                <w:lang w:val="es-CO"/>
              </w:rPr>
            </w:pPr>
            <w:r w:rsidRPr="00606E51">
              <w:rPr>
                <w:rFonts w:cs="Times New Roman"/>
                <w:b/>
                <w:bCs/>
                <w:sz w:val="16"/>
                <w:lang w:val="es-CO"/>
              </w:rPr>
              <w:t>Costo total</w:t>
            </w:r>
          </w:p>
        </w:tc>
        <w:tc>
          <w:tcPr>
            <w:tcW w:w="1208" w:type="dxa"/>
            <w:tcBorders>
              <w:top w:val="nil"/>
              <w:left w:val="nil"/>
              <w:bottom w:val="single" w:sz="4" w:space="0" w:color="auto"/>
              <w:right w:val="nil"/>
            </w:tcBorders>
            <w:shd w:val="clear" w:color="auto" w:fill="auto"/>
            <w:noWrap/>
            <w:vAlign w:val="center"/>
            <w:hideMark/>
          </w:tcPr>
          <w:p w14:paraId="56C7C5F1" w14:textId="77777777" w:rsidR="00201729" w:rsidRPr="00606E51" w:rsidRDefault="00201729" w:rsidP="00070782">
            <w:pPr>
              <w:jc w:val="center"/>
              <w:rPr>
                <w:rFonts w:cs="Times New Roman"/>
                <w:sz w:val="16"/>
                <w:lang w:val="es-CO"/>
              </w:rPr>
            </w:pPr>
            <w:r w:rsidRPr="00606E51">
              <w:rPr>
                <w:rFonts w:cs="Times New Roman"/>
                <w:sz w:val="16"/>
                <w:lang w:val="es-CO"/>
              </w:rPr>
              <w:t>$38.517.933</w:t>
            </w:r>
          </w:p>
        </w:tc>
        <w:tc>
          <w:tcPr>
            <w:tcW w:w="0" w:type="auto"/>
            <w:tcBorders>
              <w:top w:val="nil"/>
              <w:left w:val="nil"/>
              <w:bottom w:val="single" w:sz="4" w:space="0" w:color="auto"/>
              <w:right w:val="nil"/>
            </w:tcBorders>
            <w:shd w:val="clear" w:color="auto" w:fill="auto"/>
            <w:noWrap/>
            <w:vAlign w:val="center"/>
            <w:hideMark/>
          </w:tcPr>
          <w:p w14:paraId="49018D69" w14:textId="77777777" w:rsidR="00201729" w:rsidRPr="00606E51" w:rsidRDefault="00201729" w:rsidP="00070782">
            <w:pPr>
              <w:jc w:val="center"/>
              <w:rPr>
                <w:rFonts w:cs="Times New Roman"/>
                <w:sz w:val="16"/>
                <w:lang w:val="es-CO"/>
              </w:rPr>
            </w:pPr>
            <w:r w:rsidRPr="00606E51">
              <w:rPr>
                <w:rFonts w:cs="Times New Roman"/>
                <w:sz w:val="16"/>
                <w:lang w:val="es-CO"/>
              </w:rPr>
              <w:t>$5.432.773</w:t>
            </w:r>
          </w:p>
        </w:tc>
      </w:tr>
    </w:tbl>
    <w:p w14:paraId="5CC42E10" w14:textId="77777777" w:rsidR="00D721F8" w:rsidRPr="00606E51" w:rsidRDefault="00201729" w:rsidP="00D721F8">
      <w:pPr>
        <w:jc w:val="center"/>
        <w:rPr>
          <w:rFonts w:cs="Times New Roman"/>
          <w:bCs/>
          <w:lang w:val="es-CO"/>
        </w:rPr>
      </w:pPr>
      <w:r w:rsidRPr="00606E51">
        <w:rPr>
          <w:rFonts w:cs="Times New Roman"/>
          <w:bCs/>
          <w:sz w:val="18"/>
          <w:lang w:val="es-CO"/>
        </w:rPr>
        <w:t>Fuente: Elaboración propia</w:t>
      </w:r>
    </w:p>
    <w:p w14:paraId="6D280323" w14:textId="77777777" w:rsidR="00027E1B" w:rsidRPr="00606E51" w:rsidRDefault="00027E1B" w:rsidP="00D721F8">
      <w:pPr>
        <w:jc w:val="both"/>
        <w:rPr>
          <w:rFonts w:cs="Times New Roman"/>
          <w:bCs/>
          <w:lang w:val="es-CO"/>
        </w:rPr>
      </w:pPr>
    </w:p>
    <w:p w14:paraId="330D4210" w14:textId="77777777" w:rsidR="007155CA" w:rsidRDefault="00201729" w:rsidP="00D721F8">
      <w:pPr>
        <w:jc w:val="both"/>
        <w:rPr>
          <w:rFonts w:cs="Times New Roman"/>
          <w:bCs/>
          <w:lang w:val="es-CO"/>
        </w:rPr>
      </w:pPr>
      <w:r w:rsidRPr="00606E51">
        <w:rPr>
          <w:rFonts w:cs="Times New Roman"/>
          <w:bCs/>
          <w:lang w:val="es-CO"/>
        </w:rPr>
        <w:t xml:space="preserve">Los resultados del escenario con lineamiento se presentan en el </w:t>
      </w:r>
      <w:r w:rsidRPr="00606E51">
        <w:rPr>
          <w:rFonts w:cs="Times New Roman"/>
          <w:bCs/>
          <w:lang w:val="es-CO"/>
        </w:rPr>
        <w:fldChar w:fldCharType="begin"/>
      </w:r>
      <w:r w:rsidRPr="00606E51">
        <w:rPr>
          <w:rFonts w:cs="Times New Roman"/>
          <w:bCs/>
          <w:lang w:val="es-CO"/>
        </w:rPr>
        <w:instrText xml:space="preserve"> REF  _Ref478148654 \* Lower \h  \* MERGEFORMAT </w:instrText>
      </w:r>
      <w:r w:rsidRPr="00606E51">
        <w:rPr>
          <w:rFonts w:cs="Times New Roman"/>
          <w:bCs/>
          <w:lang w:val="es-CO"/>
        </w:rPr>
      </w:r>
      <w:r w:rsidRPr="00606E51">
        <w:rPr>
          <w:rFonts w:cs="Times New Roman"/>
          <w:bCs/>
          <w:lang w:val="es-CO"/>
        </w:rPr>
        <w:fldChar w:fldCharType="separate"/>
      </w:r>
      <w:r w:rsidR="001D6B4C" w:rsidRPr="00606E51">
        <w:rPr>
          <w:rFonts w:cs="Times New Roman"/>
          <w:bCs/>
          <w:lang w:val="es-CO"/>
        </w:rPr>
        <w:t>cuadro 5-3</w:t>
      </w:r>
      <w:r w:rsidRPr="00606E51">
        <w:rPr>
          <w:rFonts w:cs="Times New Roman"/>
          <w:lang w:val="es-CO"/>
        </w:rPr>
        <w:fldChar w:fldCharType="end"/>
      </w:r>
      <w:r w:rsidRPr="00606E51">
        <w:rPr>
          <w:rFonts w:cs="Times New Roman"/>
          <w:bCs/>
          <w:lang w:val="es-CO"/>
        </w:rPr>
        <w:t xml:space="preserve">, en este se estimó que, de los 116 niños identificados con desnutrición aguda, 16 se remiten a atención intrahospitalaria y que se presenta 0 defunciones. Esto generaría un costo total de $38.517.933 pesos. </w:t>
      </w:r>
    </w:p>
    <w:p w14:paraId="1EAC2C77" w14:textId="77777777" w:rsidR="007155CA" w:rsidRDefault="007155CA" w:rsidP="00D721F8">
      <w:pPr>
        <w:jc w:val="both"/>
        <w:rPr>
          <w:rFonts w:cs="Times New Roman"/>
          <w:bCs/>
          <w:lang w:val="es-CO"/>
        </w:rPr>
      </w:pPr>
    </w:p>
    <w:p w14:paraId="4E32A41A" w14:textId="77777777" w:rsidR="00201729" w:rsidRPr="00606E51" w:rsidRDefault="00201729" w:rsidP="00D721F8">
      <w:pPr>
        <w:jc w:val="both"/>
        <w:rPr>
          <w:rFonts w:cs="Times New Roman"/>
          <w:bCs/>
          <w:lang w:val="es-CO"/>
        </w:rPr>
      </w:pPr>
      <w:r w:rsidRPr="00606E51">
        <w:rPr>
          <w:rFonts w:cs="Times New Roman"/>
          <w:bCs/>
          <w:lang w:val="es-CO"/>
        </w:rPr>
        <w:t>Es relevante mencio</w:t>
      </w:r>
      <w:r w:rsidR="009E7E6B" w:rsidRPr="00606E51">
        <w:rPr>
          <w:rFonts w:cs="Times New Roman"/>
          <w:bCs/>
          <w:lang w:val="es-CO"/>
        </w:rPr>
        <w:t xml:space="preserve">nar que, la implementación del </w:t>
      </w:r>
      <w:r w:rsidR="009E7E6B" w:rsidRPr="00EF36E9">
        <w:rPr>
          <w:rFonts w:cs="Times New Roman"/>
          <w:bCs/>
          <w:lang w:val="es-CO"/>
        </w:rPr>
        <w:t>L</w:t>
      </w:r>
      <w:r w:rsidRPr="00EF36E9">
        <w:rPr>
          <w:rFonts w:cs="Times New Roman"/>
          <w:bCs/>
          <w:lang w:val="es-CO"/>
        </w:rPr>
        <w:t>ineamiento generaría una reducción en el número de niños que son remitidos a manejo intrahospitalario y reduciría el número de defun</w:t>
      </w:r>
      <w:r w:rsidRPr="00606E51">
        <w:rPr>
          <w:rFonts w:cs="Times New Roman"/>
          <w:bCs/>
          <w:lang w:val="es-CO"/>
        </w:rPr>
        <w:t>ciones.</w:t>
      </w:r>
    </w:p>
    <w:p w14:paraId="07CE4F3E" w14:textId="77777777" w:rsidR="004246F0" w:rsidRPr="00606E51" w:rsidRDefault="004246F0" w:rsidP="00201729">
      <w:pPr>
        <w:jc w:val="both"/>
        <w:rPr>
          <w:rFonts w:cs="Times New Roman"/>
          <w:bCs/>
          <w:lang w:val="es-CO"/>
        </w:rPr>
      </w:pPr>
    </w:p>
    <w:p w14:paraId="10C2B02E" w14:textId="77777777" w:rsidR="00201729" w:rsidRPr="00606E51" w:rsidRDefault="00201729" w:rsidP="00070782">
      <w:pPr>
        <w:jc w:val="center"/>
        <w:rPr>
          <w:rFonts w:cs="Times New Roman"/>
          <w:bCs/>
          <w:lang w:val="es-CO"/>
        </w:rPr>
      </w:pPr>
      <w:bookmarkStart w:id="105" w:name="_Ref478148661"/>
      <w:bookmarkStart w:id="106" w:name="_Toc490045715"/>
      <w:r w:rsidRPr="00606E51">
        <w:rPr>
          <w:rFonts w:cs="Times New Roman"/>
          <w:b/>
          <w:bCs/>
          <w:lang w:val="es-CO"/>
        </w:rPr>
        <w:t xml:space="preserve">Cuadro </w:t>
      </w:r>
      <w:r w:rsidR="00F1370E" w:rsidRPr="00606E51">
        <w:rPr>
          <w:rFonts w:cs="Times New Roman"/>
          <w:b/>
          <w:bCs/>
          <w:lang w:val="es-CO"/>
        </w:rPr>
        <w:fldChar w:fldCharType="begin"/>
      </w:r>
      <w:r w:rsidR="00F1370E" w:rsidRPr="00606E51">
        <w:rPr>
          <w:rFonts w:cs="Times New Roman"/>
          <w:b/>
          <w:bCs/>
          <w:lang w:val="es-CO"/>
        </w:rPr>
        <w:instrText xml:space="preserve"> STYLEREF 1 \s </w:instrText>
      </w:r>
      <w:r w:rsidR="00F1370E" w:rsidRPr="00606E51">
        <w:rPr>
          <w:rFonts w:cs="Times New Roman"/>
          <w:b/>
          <w:bCs/>
          <w:lang w:val="es-CO"/>
        </w:rPr>
        <w:fldChar w:fldCharType="separate"/>
      </w:r>
      <w:r w:rsidR="00F1370E" w:rsidRPr="00606E51">
        <w:rPr>
          <w:rFonts w:cs="Times New Roman"/>
          <w:b/>
          <w:bCs/>
          <w:lang w:val="es-CO"/>
        </w:rPr>
        <w:t>5</w:t>
      </w:r>
      <w:r w:rsidR="00F1370E" w:rsidRPr="00606E51">
        <w:rPr>
          <w:rFonts w:cs="Times New Roman"/>
          <w:b/>
          <w:bCs/>
          <w:lang w:val="es-CO"/>
        </w:rPr>
        <w:fldChar w:fldCharType="end"/>
      </w:r>
      <w:r w:rsidR="00F1370E" w:rsidRPr="00606E51">
        <w:rPr>
          <w:rFonts w:cs="Times New Roman"/>
          <w:b/>
          <w:bCs/>
          <w:lang w:val="es-CO"/>
        </w:rPr>
        <w:noBreakHyphen/>
      </w:r>
      <w:r w:rsidR="00F1370E" w:rsidRPr="00606E51">
        <w:rPr>
          <w:rFonts w:cs="Times New Roman"/>
          <w:b/>
          <w:bCs/>
          <w:lang w:val="es-CO"/>
        </w:rPr>
        <w:fldChar w:fldCharType="begin"/>
      </w:r>
      <w:r w:rsidR="00F1370E" w:rsidRPr="00606E51">
        <w:rPr>
          <w:rFonts w:cs="Times New Roman"/>
          <w:b/>
          <w:bCs/>
          <w:lang w:val="es-CO"/>
        </w:rPr>
        <w:instrText xml:space="preserve"> SEQ Cuadro \* ROMAN \s 1 </w:instrText>
      </w:r>
      <w:r w:rsidR="00F1370E" w:rsidRPr="00606E51">
        <w:rPr>
          <w:rFonts w:cs="Times New Roman"/>
          <w:b/>
          <w:bCs/>
          <w:lang w:val="es-CO"/>
        </w:rPr>
        <w:fldChar w:fldCharType="separate"/>
      </w:r>
      <w:r w:rsidR="00F1370E" w:rsidRPr="00606E51">
        <w:rPr>
          <w:rFonts w:cs="Times New Roman"/>
          <w:b/>
          <w:bCs/>
          <w:lang w:val="es-CO"/>
        </w:rPr>
        <w:t>IV</w:t>
      </w:r>
      <w:r w:rsidR="00F1370E" w:rsidRPr="00606E51">
        <w:rPr>
          <w:rFonts w:cs="Times New Roman"/>
          <w:b/>
          <w:bCs/>
          <w:lang w:val="es-CO"/>
        </w:rPr>
        <w:fldChar w:fldCharType="end"/>
      </w:r>
      <w:bookmarkEnd w:id="105"/>
      <w:r w:rsidRPr="00606E51">
        <w:rPr>
          <w:rFonts w:cs="Times New Roman"/>
          <w:b/>
          <w:bCs/>
          <w:lang w:val="es-CO"/>
        </w:rPr>
        <w:t>. Resultados incrementales</w:t>
      </w:r>
      <w:bookmarkEnd w:id="106"/>
    </w:p>
    <w:tbl>
      <w:tblPr>
        <w:tblW w:w="4067" w:type="dxa"/>
        <w:jc w:val="center"/>
        <w:tblCellMar>
          <w:left w:w="70" w:type="dxa"/>
          <w:right w:w="70" w:type="dxa"/>
        </w:tblCellMar>
        <w:tblLook w:val="04A0" w:firstRow="1" w:lastRow="0" w:firstColumn="1" w:lastColumn="0" w:noHBand="0" w:noVBand="1"/>
      </w:tblPr>
      <w:tblGrid>
        <w:gridCol w:w="1925"/>
        <w:gridCol w:w="1124"/>
        <w:gridCol w:w="1018"/>
      </w:tblGrid>
      <w:tr w:rsidR="00201729" w:rsidRPr="00606E51" w14:paraId="7B948EA3" w14:textId="77777777" w:rsidTr="006E01A5">
        <w:trPr>
          <w:trHeight w:val="269"/>
          <w:jc w:val="center"/>
        </w:trPr>
        <w:tc>
          <w:tcPr>
            <w:tcW w:w="0" w:type="auto"/>
            <w:tcBorders>
              <w:top w:val="nil"/>
              <w:left w:val="nil"/>
              <w:bottom w:val="single" w:sz="4" w:space="0" w:color="auto"/>
              <w:right w:val="nil"/>
            </w:tcBorders>
            <w:shd w:val="clear" w:color="auto" w:fill="auto"/>
            <w:noWrap/>
            <w:vAlign w:val="bottom"/>
            <w:hideMark/>
          </w:tcPr>
          <w:p w14:paraId="17ED8019" w14:textId="77777777" w:rsidR="00201729" w:rsidRPr="00606E51" w:rsidRDefault="00201729" w:rsidP="00201729">
            <w:pPr>
              <w:jc w:val="both"/>
              <w:rPr>
                <w:rFonts w:cs="Times New Roman"/>
                <w:sz w:val="18"/>
                <w:lang w:val="es-CO"/>
              </w:rPr>
            </w:pPr>
            <w:r w:rsidRPr="00606E51">
              <w:rPr>
                <w:rFonts w:cs="Times New Roman"/>
                <w:sz w:val="18"/>
                <w:lang w:val="es-CO"/>
              </w:rPr>
              <w:t> </w:t>
            </w:r>
          </w:p>
        </w:tc>
        <w:tc>
          <w:tcPr>
            <w:tcW w:w="0" w:type="auto"/>
            <w:tcBorders>
              <w:top w:val="single" w:sz="4" w:space="0" w:color="auto"/>
              <w:left w:val="nil"/>
              <w:bottom w:val="single" w:sz="4" w:space="0" w:color="auto"/>
              <w:right w:val="nil"/>
            </w:tcBorders>
            <w:shd w:val="clear" w:color="auto" w:fill="auto"/>
            <w:noWrap/>
            <w:vAlign w:val="center"/>
            <w:hideMark/>
          </w:tcPr>
          <w:p w14:paraId="0D57F914" w14:textId="77777777" w:rsidR="00201729" w:rsidRPr="00606E51" w:rsidRDefault="00201729" w:rsidP="00201729">
            <w:pPr>
              <w:jc w:val="both"/>
              <w:rPr>
                <w:rFonts w:cs="Times New Roman"/>
                <w:b/>
                <w:bCs/>
                <w:sz w:val="18"/>
                <w:lang w:val="es-CO"/>
              </w:rPr>
            </w:pPr>
            <w:r w:rsidRPr="00606E51">
              <w:rPr>
                <w:rFonts w:cs="Times New Roman"/>
                <w:b/>
                <w:bCs/>
                <w:sz w:val="18"/>
                <w:lang w:val="es-CO"/>
              </w:rPr>
              <w:t>Promedio</w:t>
            </w:r>
          </w:p>
        </w:tc>
        <w:tc>
          <w:tcPr>
            <w:tcW w:w="0" w:type="auto"/>
            <w:tcBorders>
              <w:top w:val="single" w:sz="4" w:space="0" w:color="auto"/>
              <w:left w:val="nil"/>
              <w:bottom w:val="single" w:sz="4" w:space="0" w:color="auto"/>
              <w:right w:val="nil"/>
            </w:tcBorders>
            <w:shd w:val="clear" w:color="auto" w:fill="auto"/>
            <w:noWrap/>
            <w:vAlign w:val="center"/>
            <w:hideMark/>
          </w:tcPr>
          <w:p w14:paraId="02FB3E60" w14:textId="77777777" w:rsidR="00201729" w:rsidRPr="00606E51" w:rsidRDefault="00201729" w:rsidP="00201729">
            <w:pPr>
              <w:jc w:val="both"/>
              <w:rPr>
                <w:rFonts w:cs="Times New Roman"/>
                <w:b/>
                <w:bCs/>
                <w:sz w:val="18"/>
                <w:lang w:val="es-CO"/>
              </w:rPr>
            </w:pPr>
            <w:r w:rsidRPr="00606E51">
              <w:rPr>
                <w:rFonts w:cs="Times New Roman"/>
                <w:b/>
                <w:bCs/>
                <w:sz w:val="18"/>
                <w:lang w:val="es-CO"/>
              </w:rPr>
              <w:t>Desv. Estd.</w:t>
            </w:r>
          </w:p>
        </w:tc>
      </w:tr>
      <w:tr w:rsidR="00201729" w:rsidRPr="00606E51" w14:paraId="79473214" w14:textId="77777777" w:rsidTr="006E01A5">
        <w:trPr>
          <w:trHeight w:val="185"/>
          <w:jc w:val="center"/>
        </w:trPr>
        <w:tc>
          <w:tcPr>
            <w:tcW w:w="0" w:type="auto"/>
            <w:tcBorders>
              <w:top w:val="nil"/>
              <w:left w:val="nil"/>
              <w:bottom w:val="nil"/>
              <w:right w:val="nil"/>
            </w:tcBorders>
            <w:shd w:val="clear" w:color="auto" w:fill="auto"/>
            <w:noWrap/>
            <w:vAlign w:val="center"/>
            <w:hideMark/>
          </w:tcPr>
          <w:p w14:paraId="0D30F20A" w14:textId="77777777" w:rsidR="00201729" w:rsidRPr="00606E51" w:rsidRDefault="00201729" w:rsidP="00201729">
            <w:pPr>
              <w:jc w:val="both"/>
              <w:rPr>
                <w:rFonts w:cs="Times New Roman"/>
                <w:b/>
                <w:bCs/>
                <w:sz w:val="18"/>
                <w:lang w:val="es-CO"/>
              </w:rPr>
            </w:pPr>
            <w:r w:rsidRPr="00606E51">
              <w:rPr>
                <w:rFonts w:cs="Times New Roman"/>
                <w:b/>
                <w:bCs/>
                <w:sz w:val="18"/>
                <w:lang w:val="es-CO"/>
              </w:rPr>
              <w:t>Recuperados</w:t>
            </w:r>
          </w:p>
        </w:tc>
        <w:tc>
          <w:tcPr>
            <w:tcW w:w="0" w:type="auto"/>
            <w:tcBorders>
              <w:top w:val="nil"/>
              <w:left w:val="nil"/>
              <w:bottom w:val="nil"/>
              <w:right w:val="nil"/>
            </w:tcBorders>
            <w:shd w:val="clear" w:color="auto" w:fill="auto"/>
            <w:noWrap/>
            <w:vAlign w:val="bottom"/>
            <w:hideMark/>
          </w:tcPr>
          <w:p w14:paraId="29C2268D" w14:textId="77777777" w:rsidR="00201729" w:rsidRPr="00606E51" w:rsidRDefault="00201729" w:rsidP="00070782">
            <w:pPr>
              <w:jc w:val="center"/>
              <w:rPr>
                <w:rFonts w:cs="Times New Roman"/>
                <w:sz w:val="18"/>
                <w:lang w:val="es-CO"/>
              </w:rPr>
            </w:pPr>
            <w:r w:rsidRPr="00606E51">
              <w:rPr>
                <w:rFonts w:cs="Times New Roman"/>
                <w:sz w:val="18"/>
                <w:lang w:val="es-CO"/>
              </w:rPr>
              <w:t>66</w:t>
            </w:r>
          </w:p>
        </w:tc>
        <w:tc>
          <w:tcPr>
            <w:tcW w:w="0" w:type="auto"/>
            <w:tcBorders>
              <w:top w:val="nil"/>
              <w:left w:val="nil"/>
              <w:bottom w:val="nil"/>
              <w:right w:val="nil"/>
            </w:tcBorders>
            <w:shd w:val="clear" w:color="auto" w:fill="auto"/>
            <w:noWrap/>
            <w:vAlign w:val="bottom"/>
            <w:hideMark/>
          </w:tcPr>
          <w:p w14:paraId="184DBC8D" w14:textId="77777777" w:rsidR="00201729" w:rsidRPr="00606E51" w:rsidRDefault="00201729" w:rsidP="00070782">
            <w:pPr>
              <w:jc w:val="center"/>
              <w:rPr>
                <w:rFonts w:cs="Times New Roman"/>
                <w:sz w:val="18"/>
                <w:lang w:val="es-CO"/>
              </w:rPr>
            </w:pPr>
            <w:r w:rsidRPr="00606E51">
              <w:rPr>
                <w:rFonts w:cs="Times New Roman"/>
                <w:sz w:val="18"/>
                <w:lang w:val="es-CO"/>
              </w:rPr>
              <w:t>5,3</w:t>
            </w:r>
          </w:p>
        </w:tc>
      </w:tr>
      <w:tr w:rsidR="00201729" w:rsidRPr="00606E51" w14:paraId="57BE0739" w14:textId="77777777" w:rsidTr="006E01A5">
        <w:trPr>
          <w:trHeight w:val="140"/>
          <w:jc w:val="center"/>
        </w:trPr>
        <w:tc>
          <w:tcPr>
            <w:tcW w:w="0" w:type="auto"/>
            <w:tcBorders>
              <w:top w:val="nil"/>
              <w:left w:val="nil"/>
              <w:bottom w:val="nil"/>
              <w:right w:val="nil"/>
            </w:tcBorders>
            <w:shd w:val="clear" w:color="auto" w:fill="auto"/>
            <w:noWrap/>
            <w:vAlign w:val="center"/>
            <w:hideMark/>
          </w:tcPr>
          <w:p w14:paraId="3B5926B2" w14:textId="77777777" w:rsidR="00201729" w:rsidRPr="00606E51" w:rsidRDefault="00201729" w:rsidP="00201729">
            <w:pPr>
              <w:jc w:val="both"/>
              <w:rPr>
                <w:rFonts w:cs="Times New Roman"/>
                <w:b/>
                <w:bCs/>
                <w:sz w:val="18"/>
                <w:lang w:val="es-CO"/>
              </w:rPr>
            </w:pPr>
            <w:r w:rsidRPr="00606E51">
              <w:rPr>
                <w:rFonts w:cs="Times New Roman"/>
                <w:b/>
                <w:bCs/>
                <w:sz w:val="18"/>
                <w:lang w:val="es-CO"/>
              </w:rPr>
              <w:t>Mejoraron</w:t>
            </w:r>
          </w:p>
        </w:tc>
        <w:tc>
          <w:tcPr>
            <w:tcW w:w="0" w:type="auto"/>
            <w:tcBorders>
              <w:top w:val="nil"/>
              <w:left w:val="nil"/>
              <w:bottom w:val="nil"/>
              <w:right w:val="nil"/>
            </w:tcBorders>
            <w:shd w:val="clear" w:color="auto" w:fill="auto"/>
            <w:noWrap/>
            <w:vAlign w:val="bottom"/>
            <w:hideMark/>
          </w:tcPr>
          <w:p w14:paraId="662E5733" w14:textId="77777777" w:rsidR="00201729" w:rsidRPr="00606E51" w:rsidRDefault="00201729" w:rsidP="00070782">
            <w:pPr>
              <w:jc w:val="center"/>
              <w:rPr>
                <w:rFonts w:cs="Times New Roman"/>
                <w:sz w:val="18"/>
                <w:lang w:val="es-CO"/>
              </w:rPr>
            </w:pPr>
            <w:r w:rsidRPr="00606E51">
              <w:rPr>
                <w:rFonts w:cs="Times New Roman"/>
                <w:sz w:val="18"/>
                <w:lang w:val="es-CO"/>
              </w:rPr>
              <w:t>85</w:t>
            </w:r>
          </w:p>
        </w:tc>
        <w:tc>
          <w:tcPr>
            <w:tcW w:w="0" w:type="auto"/>
            <w:tcBorders>
              <w:top w:val="nil"/>
              <w:left w:val="nil"/>
              <w:bottom w:val="nil"/>
              <w:right w:val="nil"/>
            </w:tcBorders>
            <w:shd w:val="clear" w:color="auto" w:fill="auto"/>
            <w:noWrap/>
            <w:vAlign w:val="bottom"/>
            <w:hideMark/>
          </w:tcPr>
          <w:p w14:paraId="1AD425E2" w14:textId="77777777" w:rsidR="00201729" w:rsidRPr="00606E51" w:rsidRDefault="00201729" w:rsidP="00070782">
            <w:pPr>
              <w:jc w:val="center"/>
              <w:rPr>
                <w:rFonts w:cs="Times New Roman"/>
                <w:sz w:val="18"/>
                <w:lang w:val="es-CO"/>
              </w:rPr>
            </w:pPr>
            <w:r w:rsidRPr="00606E51">
              <w:rPr>
                <w:rFonts w:cs="Times New Roman"/>
                <w:sz w:val="18"/>
                <w:lang w:val="es-CO"/>
              </w:rPr>
              <w:t>4,7</w:t>
            </w:r>
          </w:p>
        </w:tc>
      </w:tr>
      <w:tr w:rsidR="00201729" w:rsidRPr="00606E51" w14:paraId="4CF21E67" w14:textId="77777777" w:rsidTr="006E01A5">
        <w:trPr>
          <w:trHeight w:val="111"/>
          <w:jc w:val="center"/>
        </w:trPr>
        <w:tc>
          <w:tcPr>
            <w:tcW w:w="0" w:type="auto"/>
            <w:tcBorders>
              <w:top w:val="nil"/>
              <w:left w:val="nil"/>
              <w:bottom w:val="nil"/>
              <w:right w:val="nil"/>
            </w:tcBorders>
            <w:shd w:val="clear" w:color="auto" w:fill="auto"/>
            <w:noWrap/>
            <w:vAlign w:val="center"/>
            <w:hideMark/>
          </w:tcPr>
          <w:p w14:paraId="3027F16C" w14:textId="77777777" w:rsidR="00201729" w:rsidRPr="00606E51" w:rsidRDefault="00201729" w:rsidP="00201729">
            <w:pPr>
              <w:jc w:val="both"/>
              <w:rPr>
                <w:rFonts w:cs="Times New Roman"/>
                <w:b/>
                <w:bCs/>
                <w:sz w:val="18"/>
                <w:lang w:val="es-CO"/>
              </w:rPr>
            </w:pPr>
            <w:r w:rsidRPr="00606E51">
              <w:rPr>
                <w:rFonts w:cs="Times New Roman"/>
                <w:b/>
                <w:bCs/>
                <w:sz w:val="18"/>
                <w:lang w:val="es-CO"/>
              </w:rPr>
              <w:t>AVAD ganados</w:t>
            </w:r>
          </w:p>
        </w:tc>
        <w:tc>
          <w:tcPr>
            <w:tcW w:w="0" w:type="auto"/>
            <w:tcBorders>
              <w:top w:val="nil"/>
              <w:left w:val="nil"/>
              <w:bottom w:val="nil"/>
              <w:right w:val="nil"/>
            </w:tcBorders>
            <w:shd w:val="clear" w:color="auto" w:fill="auto"/>
            <w:noWrap/>
            <w:vAlign w:val="bottom"/>
            <w:hideMark/>
          </w:tcPr>
          <w:p w14:paraId="07657C4D" w14:textId="77777777" w:rsidR="00201729" w:rsidRPr="00606E51" w:rsidRDefault="00201729" w:rsidP="00070782">
            <w:pPr>
              <w:jc w:val="center"/>
              <w:rPr>
                <w:rFonts w:cs="Times New Roman"/>
                <w:sz w:val="18"/>
                <w:lang w:val="es-CO"/>
              </w:rPr>
            </w:pPr>
            <w:r w:rsidRPr="00606E51">
              <w:rPr>
                <w:rFonts w:cs="Times New Roman"/>
                <w:sz w:val="18"/>
                <w:lang w:val="es-CO"/>
              </w:rPr>
              <w:t>147</w:t>
            </w:r>
          </w:p>
        </w:tc>
        <w:tc>
          <w:tcPr>
            <w:tcW w:w="0" w:type="auto"/>
            <w:tcBorders>
              <w:top w:val="nil"/>
              <w:left w:val="nil"/>
              <w:bottom w:val="nil"/>
              <w:right w:val="nil"/>
            </w:tcBorders>
            <w:shd w:val="clear" w:color="auto" w:fill="auto"/>
            <w:noWrap/>
            <w:vAlign w:val="bottom"/>
            <w:hideMark/>
          </w:tcPr>
          <w:p w14:paraId="5B5E5510" w14:textId="77777777" w:rsidR="00201729" w:rsidRPr="00606E51" w:rsidRDefault="00201729" w:rsidP="00070782">
            <w:pPr>
              <w:jc w:val="center"/>
              <w:rPr>
                <w:rFonts w:cs="Times New Roman"/>
                <w:sz w:val="18"/>
                <w:lang w:val="es-CO"/>
              </w:rPr>
            </w:pPr>
            <w:r w:rsidRPr="00606E51">
              <w:rPr>
                <w:rFonts w:cs="Times New Roman"/>
                <w:sz w:val="18"/>
                <w:lang w:val="es-CO"/>
              </w:rPr>
              <w:t>123,2</w:t>
            </w:r>
          </w:p>
        </w:tc>
      </w:tr>
      <w:tr w:rsidR="00201729" w:rsidRPr="00606E51" w14:paraId="26ADCAD7" w14:textId="77777777" w:rsidTr="006E01A5">
        <w:trPr>
          <w:trHeight w:val="153"/>
          <w:jc w:val="center"/>
        </w:trPr>
        <w:tc>
          <w:tcPr>
            <w:tcW w:w="0" w:type="auto"/>
            <w:tcBorders>
              <w:top w:val="nil"/>
              <w:left w:val="nil"/>
              <w:bottom w:val="nil"/>
              <w:right w:val="nil"/>
            </w:tcBorders>
            <w:shd w:val="clear" w:color="auto" w:fill="auto"/>
            <w:noWrap/>
            <w:vAlign w:val="center"/>
            <w:hideMark/>
          </w:tcPr>
          <w:p w14:paraId="7F853C37" w14:textId="77777777" w:rsidR="00201729" w:rsidRPr="00606E51" w:rsidRDefault="00201729" w:rsidP="00201729">
            <w:pPr>
              <w:jc w:val="both"/>
              <w:rPr>
                <w:rFonts w:cs="Times New Roman"/>
                <w:b/>
                <w:bCs/>
                <w:sz w:val="18"/>
                <w:lang w:val="es-CO"/>
              </w:rPr>
            </w:pPr>
            <w:r w:rsidRPr="00606E51">
              <w:rPr>
                <w:rFonts w:cs="Times New Roman"/>
                <w:b/>
                <w:bCs/>
                <w:sz w:val="18"/>
                <w:lang w:val="es-CO"/>
              </w:rPr>
              <w:t>Variación de los costos</w:t>
            </w:r>
          </w:p>
        </w:tc>
        <w:tc>
          <w:tcPr>
            <w:tcW w:w="0" w:type="auto"/>
            <w:tcBorders>
              <w:top w:val="nil"/>
              <w:left w:val="nil"/>
              <w:bottom w:val="nil"/>
              <w:right w:val="nil"/>
            </w:tcBorders>
            <w:shd w:val="clear" w:color="auto" w:fill="auto"/>
            <w:noWrap/>
            <w:vAlign w:val="bottom"/>
            <w:hideMark/>
          </w:tcPr>
          <w:p w14:paraId="35641247" w14:textId="77777777" w:rsidR="00201729" w:rsidRPr="00606E51" w:rsidRDefault="00201729" w:rsidP="00070782">
            <w:pPr>
              <w:jc w:val="center"/>
              <w:rPr>
                <w:rFonts w:cs="Times New Roman"/>
                <w:sz w:val="18"/>
                <w:lang w:val="es-CO"/>
              </w:rPr>
            </w:pPr>
            <w:r w:rsidRPr="00606E51">
              <w:rPr>
                <w:rFonts w:cs="Times New Roman"/>
                <w:sz w:val="18"/>
                <w:lang w:val="es-CO"/>
              </w:rPr>
              <w:t>-$14.944.343</w:t>
            </w:r>
          </w:p>
        </w:tc>
        <w:tc>
          <w:tcPr>
            <w:tcW w:w="0" w:type="auto"/>
            <w:tcBorders>
              <w:top w:val="nil"/>
              <w:left w:val="nil"/>
              <w:bottom w:val="nil"/>
              <w:right w:val="nil"/>
            </w:tcBorders>
            <w:shd w:val="clear" w:color="auto" w:fill="auto"/>
            <w:noWrap/>
            <w:vAlign w:val="bottom"/>
            <w:hideMark/>
          </w:tcPr>
          <w:p w14:paraId="5B1DF0DA" w14:textId="77777777" w:rsidR="00201729" w:rsidRPr="00606E51" w:rsidRDefault="00201729" w:rsidP="00070782">
            <w:pPr>
              <w:jc w:val="center"/>
              <w:rPr>
                <w:rFonts w:cs="Times New Roman"/>
                <w:sz w:val="18"/>
                <w:lang w:val="es-CO"/>
              </w:rPr>
            </w:pPr>
            <w:r w:rsidRPr="00606E51">
              <w:rPr>
                <w:rFonts w:cs="Times New Roman"/>
                <w:sz w:val="18"/>
                <w:lang w:val="es-CO"/>
              </w:rPr>
              <w:t>$8.987.062</w:t>
            </w:r>
          </w:p>
        </w:tc>
      </w:tr>
      <w:tr w:rsidR="00201729" w:rsidRPr="00606E51" w14:paraId="1E708A6D" w14:textId="77777777" w:rsidTr="006E01A5">
        <w:trPr>
          <w:trHeight w:val="112"/>
          <w:jc w:val="center"/>
        </w:trPr>
        <w:tc>
          <w:tcPr>
            <w:tcW w:w="0" w:type="auto"/>
            <w:tcBorders>
              <w:top w:val="nil"/>
              <w:left w:val="nil"/>
              <w:bottom w:val="nil"/>
              <w:right w:val="nil"/>
            </w:tcBorders>
            <w:shd w:val="clear" w:color="auto" w:fill="auto"/>
            <w:noWrap/>
            <w:vAlign w:val="center"/>
            <w:hideMark/>
          </w:tcPr>
          <w:p w14:paraId="744B664E" w14:textId="77777777" w:rsidR="00201729" w:rsidRPr="00606E51" w:rsidRDefault="00201729" w:rsidP="00201729">
            <w:pPr>
              <w:jc w:val="both"/>
              <w:rPr>
                <w:rFonts w:cs="Times New Roman"/>
                <w:b/>
                <w:bCs/>
                <w:sz w:val="18"/>
                <w:lang w:val="es-CO"/>
              </w:rPr>
            </w:pPr>
            <w:r w:rsidRPr="00606E51">
              <w:rPr>
                <w:rFonts w:cs="Times New Roman"/>
                <w:b/>
                <w:bCs/>
                <w:sz w:val="18"/>
                <w:lang w:val="es-CO"/>
              </w:rPr>
              <w:t>RCEI (recuperados)</w:t>
            </w:r>
          </w:p>
        </w:tc>
        <w:tc>
          <w:tcPr>
            <w:tcW w:w="0" w:type="auto"/>
            <w:tcBorders>
              <w:top w:val="nil"/>
              <w:left w:val="nil"/>
              <w:bottom w:val="nil"/>
              <w:right w:val="nil"/>
            </w:tcBorders>
            <w:shd w:val="clear" w:color="auto" w:fill="auto"/>
            <w:noWrap/>
            <w:vAlign w:val="bottom"/>
            <w:hideMark/>
          </w:tcPr>
          <w:p w14:paraId="0BA0B420" w14:textId="77777777" w:rsidR="00201729" w:rsidRPr="00606E51" w:rsidRDefault="00201729" w:rsidP="00070782">
            <w:pPr>
              <w:jc w:val="center"/>
              <w:rPr>
                <w:rFonts w:cs="Times New Roman"/>
                <w:sz w:val="18"/>
                <w:lang w:val="es-CO"/>
              </w:rPr>
            </w:pPr>
            <w:r w:rsidRPr="00606E51">
              <w:rPr>
                <w:rFonts w:cs="Times New Roman"/>
                <w:sz w:val="18"/>
                <w:lang w:val="es-CO"/>
              </w:rPr>
              <w:t>-$228.362</w:t>
            </w:r>
          </w:p>
        </w:tc>
        <w:tc>
          <w:tcPr>
            <w:tcW w:w="0" w:type="auto"/>
            <w:tcBorders>
              <w:top w:val="nil"/>
              <w:left w:val="nil"/>
              <w:bottom w:val="nil"/>
              <w:right w:val="nil"/>
            </w:tcBorders>
            <w:shd w:val="clear" w:color="auto" w:fill="auto"/>
            <w:noWrap/>
            <w:vAlign w:val="bottom"/>
            <w:hideMark/>
          </w:tcPr>
          <w:p w14:paraId="2F2AF7C8" w14:textId="77777777" w:rsidR="00201729" w:rsidRPr="00606E51" w:rsidRDefault="00201729" w:rsidP="00070782">
            <w:pPr>
              <w:jc w:val="center"/>
              <w:rPr>
                <w:rFonts w:cs="Times New Roman"/>
                <w:sz w:val="18"/>
                <w:lang w:val="es-CO"/>
              </w:rPr>
            </w:pPr>
            <w:r w:rsidRPr="00606E51">
              <w:rPr>
                <w:rFonts w:cs="Times New Roman"/>
                <w:sz w:val="18"/>
                <w:lang w:val="es-CO"/>
              </w:rPr>
              <w:t>$138.426</w:t>
            </w:r>
          </w:p>
        </w:tc>
      </w:tr>
      <w:tr w:rsidR="00201729" w:rsidRPr="00606E51" w14:paraId="0AC36E42" w14:textId="77777777" w:rsidTr="006E01A5">
        <w:trPr>
          <w:trHeight w:val="267"/>
          <w:jc w:val="center"/>
        </w:trPr>
        <w:tc>
          <w:tcPr>
            <w:tcW w:w="0" w:type="auto"/>
            <w:tcBorders>
              <w:top w:val="nil"/>
              <w:left w:val="nil"/>
              <w:bottom w:val="nil"/>
              <w:right w:val="nil"/>
            </w:tcBorders>
            <w:shd w:val="clear" w:color="auto" w:fill="auto"/>
            <w:noWrap/>
            <w:vAlign w:val="center"/>
            <w:hideMark/>
          </w:tcPr>
          <w:p w14:paraId="5E7B381C" w14:textId="77777777" w:rsidR="00201729" w:rsidRPr="00606E51" w:rsidRDefault="00201729" w:rsidP="00201729">
            <w:pPr>
              <w:jc w:val="both"/>
              <w:rPr>
                <w:rFonts w:cs="Times New Roman"/>
                <w:b/>
                <w:bCs/>
                <w:sz w:val="18"/>
                <w:lang w:val="es-CO"/>
              </w:rPr>
            </w:pPr>
            <w:r w:rsidRPr="00606E51">
              <w:rPr>
                <w:rFonts w:cs="Times New Roman"/>
                <w:b/>
                <w:bCs/>
                <w:sz w:val="18"/>
                <w:lang w:val="es-CO"/>
              </w:rPr>
              <w:t>RCEI (mejoraron)</w:t>
            </w:r>
          </w:p>
        </w:tc>
        <w:tc>
          <w:tcPr>
            <w:tcW w:w="0" w:type="auto"/>
            <w:tcBorders>
              <w:top w:val="nil"/>
              <w:left w:val="nil"/>
              <w:bottom w:val="nil"/>
              <w:right w:val="nil"/>
            </w:tcBorders>
            <w:shd w:val="clear" w:color="auto" w:fill="auto"/>
            <w:noWrap/>
            <w:vAlign w:val="bottom"/>
            <w:hideMark/>
          </w:tcPr>
          <w:p w14:paraId="38247313" w14:textId="77777777" w:rsidR="00201729" w:rsidRPr="00606E51" w:rsidRDefault="00201729" w:rsidP="00070782">
            <w:pPr>
              <w:jc w:val="center"/>
              <w:rPr>
                <w:rFonts w:cs="Times New Roman"/>
                <w:sz w:val="18"/>
                <w:lang w:val="es-CO"/>
              </w:rPr>
            </w:pPr>
            <w:r w:rsidRPr="00606E51">
              <w:rPr>
                <w:rFonts w:cs="Times New Roman"/>
                <w:sz w:val="18"/>
                <w:lang w:val="es-CO"/>
              </w:rPr>
              <w:t>-$177.077</w:t>
            </w:r>
          </w:p>
        </w:tc>
        <w:tc>
          <w:tcPr>
            <w:tcW w:w="0" w:type="auto"/>
            <w:tcBorders>
              <w:top w:val="nil"/>
              <w:left w:val="nil"/>
              <w:bottom w:val="nil"/>
              <w:right w:val="nil"/>
            </w:tcBorders>
            <w:shd w:val="clear" w:color="auto" w:fill="auto"/>
            <w:noWrap/>
            <w:vAlign w:val="bottom"/>
            <w:hideMark/>
          </w:tcPr>
          <w:p w14:paraId="695F5EC4" w14:textId="77777777" w:rsidR="00201729" w:rsidRPr="00606E51" w:rsidRDefault="00201729" w:rsidP="00070782">
            <w:pPr>
              <w:jc w:val="center"/>
              <w:rPr>
                <w:rFonts w:cs="Times New Roman"/>
                <w:sz w:val="18"/>
                <w:lang w:val="es-CO"/>
              </w:rPr>
            </w:pPr>
            <w:r w:rsidRPr="00606E51">
              <w:rPr>
                <w:rFonts w:cs="Times New Roman"/>
                <w:sz w:val="18"/>
                <w:lang w:val="es-CO"/>
              </w:rPr>
              <w:t>$107.317</w:t>
            </w:r>
          </w:p>
        </w:tc>
      </w:tr>
      <w:tr w:rsidR="00201729" w:rsidRPr="00606E51" w14:paraId="357D1B96" w14:textId="77777777" w:rsidTr="006E01A5">
        <w:trPr>
          <w:trHeight w:val="195"/>
          <w:jc w:val="center"/>
        </w:trPr>
        <w:tc>
          <w:tcPr>
            <w:tcW w:w="0" w:type="auto"/>
            <w:tcBorders>
              <w:top w:val="nil"/>
              <w:left w:val="nil"/>
              <w:bottom w:val="single" w:sz="4" w:space="0" w:color="auto"/>
              <w:right w:val="nil"/>
            </w:tcBorders>
            <w:shd w:val="clear" w:color="auto" w:fill="auto"/>
            <w:noWrap/>
            <w:vAlign w:val="center"/>
            <w:hideMark/>
          </w:tcPr>
          <w:p w14:paraId="0669806B" w14:textId="77777777" w:rsidR="00201729" w:rsidRPr="00606E51" w:rsidRDefault="00201729" w:rsidP="00201729">
            <w:pPr>
              <w:jc w:val="both"/>
              <w:rPr>
                <w:rFonts w:cs="Times New Roman"/>
                <w:b/>
                <w:bCs/>
                <w:sz w:val="18"/>
                <w:lang w:val="es-CO"/>
              </w:rPr>
            </w:pPr>
            <w:r w:rsidRPr="00606E51">
              <w:rPr>
                <w:rFonts w:cs="Times New Roman"/>
                <w:b/>
                <w:bCs/>
                <w:sz w:val="18"/>
                <w:lang w:val="es-CO"/>
              </w:rPr>
              <w:t>RCEI (AVAD)</w:t>
            </w:r>
          </w:p>
        </w:tc>
        <w:tc>
          <w:tcPr>
            <w:tcW w:w="0" w:type="auto"/>
            <w:tcBorders>
              <w:top w:val="nil"/>
              <w:left w:val="nil"/>
              <w:bottom w:val="single" w:sz="4" w:space="0" w:color="auto"/>
              <w:right w:val="nil"/>
            </w:tcBorders>
            <w:shd w:val="clear" w:color="auto" w:fill="auto"/>
            <w:noWrap/>
            <w:vAlign w:val="bottom"/>
            <w:hideMark/>
          </w:tcPr>
          <w:p w14:paraId="18704351" w14:textId="77777777" w:rsidR="00201729" w:rsidRPr="00606E51" w:rsidRDefault="00201729" w:rsidP="00070782">
            <w:pPr>
              <w:jc w:val="center"/>
              <w:rPr>
                <w:rFonts w:cs="Times New Roman"/>
                <w:sz w:val="18"/>
                <w:lang w:val="es-CO"/>
              </w:rPr>
            </w:pPr>
            <w:r w:rsidRPr="00606E51">
              <w:rPr>
                <w:rFonts w:cs="Times New Roman"/>
                <w:sz w:val="18"/>
                <w:lang w:val="es-CO"/>
              </w:rPr>
              <w:t>-$94.384</w:t>
            </w:r>
          </w:p>
        </w:tc>
        <w:tc>
          <w:tcPr>
            <w:tcW w:w="0" w:type="auto"/>
            <w:tcBorders>
              <w:top w:val="nil"/>
              <w:left w:val="nil"/>
              <w:bottom w:val="single" w:sz="4" w:space="0" w:color="auto"/>
              <w:right w:val="nil"/>
            </w:tcBorders>
            <w:shd w:val="clear" w:color="auto" w:fill="auto"/>
            <w:noWrap/>
            <w:vAlign w:val="bottom"/>
            <w:hideMark/>
          </w:tcPr>
          <w:p w14:paraId="25D347FA" w14:textId="77777777" w:rsidR="00201729" w:rsidRPr="00606E51" w:rsidRDefault="00201729" w:rsidP="00070782">
            <w:pPr>
              <w:jc w:val="center"/>
              <w:rPr>
                <w:rFonts w:cs="Times New Roman"/>
                <w:sz w:val="18"/>
                <w:lang w:val="es-CO"/>
              </w:rPr>
            </w:pPr>
            <w:r w:rsidRPr="00606E51">
              <w:rPr>
                <w:rFonts w:cs="Times New Roman"/>
                <w:sz w:val="18"/>
                <w:lang w:val="es-CO"/>
              </w:rPr>
              <w:t>$106.619</w:t>
            </w:r>
          </w:p>
        </w:tc>
      </w:tr>
    </w:tbl>
    <w:p w14:paraId="1B981433" w14:textId="77777777" w:rsidR="00201729" w:rsidRPr="00606E51" w:rsidRDefault="00201729" w:rsidP="00070782">
      <w:pPr>
        <w:jc w:val="center"/>
        <w:rPr>
          <w:rFonts w:cs="Times New Roman"/>
          <w:bCs/>
          <w:lang w:val="es-CO"/>
        </w:rPr>
      </w:pPr>
      <w:r w:rsidRPr="00606E51">
        <w:rPr>
          <w:rFonts w:cs="Times New Roman"/>
          <w:bCs/>
          <w:sz w:val="18"/>
          <w:lang w:val="es-CO"/>
        </w:rPr>
        <w:t>Fuente: Elaboración propia</w:t>
      </w:r>
    </w:p>
    <w:p w14:paraId="344B9FAD" w14:textId="77777777" w:rsidR="00D721F8" w:rsidRPr="00606E51" w:rsidRDefault="00D721F8" w:rsidP="00201729">
      <w:pPr>
        <w:jc w:val="both"/>
        <w:rPr>
          <w:rFonts w:cs="Times New Roman"/>
          <w:bCs/>
          <w:lang w:val="es-CO"/>
        </w:rPr>
      </w:pPr>
    </w:p>
    <w:p w14:paraId="54397DB2" w14:textId="77777777" w:rsidR="00201729" w:rsidRPr="00606E51" w:rsidRDefault="00201729" w:rsidP="00201729">
      <w:pPr>
        <w:jc w:val="both"/>
        <w:rPr>
          <w:rFonts w:cs="Times New Roman"/>
          <w:lang w:val="es-CO"/>
        </w:rPr>
      </w:pPr>
      <w:r w:rsidRPr="00606E51">
        <w:rPr>
          <w:rFonts w:cs="Times New Roman"/>
          <w:bCs/>
          <w:lang w:val="es-CO"/>
        </w:rPr>
        <w:t xml:space="preserve">Por último, el </w:t>
      </w:r>
      <w:r w:rsidRPr="00606E51">
        <w:rPr>
          <w:rFonts w:cs="Times New Roman"/>
          <w:bCs/>
          <w:lang w:val="es-CO"/>
        </w:rPr>
        <w:fldChar w:fldCharType="begin"/>
      </w:r>
      <w:r w:rsidRPr="00606E51">
        <w:rPr>
          <w:rFonts w:cs="Times New Roman"/>
          <w:bCs/>
          <w:lang w:val="es-CO"/>
        </w:rPr>
        <w:instrText xml:space="preserve"> REF  _Ref478148661 \* Lower \h  \* MERGEFORMAT </w:instrText>
      </w:r>
      <w:r w:rsidRPr="00606E51">
        <w:rPr>
          <w:rFonts w:cs="Times New Roman"/>
          <w:bCs/>
          <w:lang w:val="es-CO"/>
        </w:rPr>
      </w:r>
      <w:r w:rsidRPr="00606E51">
        <w:rPr>
          <w:rFonts w:cs="Times New Roman"/>
          <w:bCs/>
          <w:lang w:val="es-CO"/>
        </w:rPr>
        <w:fldChar w:fldCharType="separate"/>
      </w:r>
      <w:r w:rsidR="001D6B4C" w:rsidRPr="00606E51">
        <w:rPr>
          <w:rFonts w:cs="Times New Roman"/>
          <w:bCs/>
          <w:lang w:val="es-CO"/>
        </w:rPr>
        <w:t>cuadro 5-4</w:t>
      </w:r>
      <w:r w:rsidRPr="00606E51">
        <w:rPr>
          <w:rFonts w:cs="Times New Roman"/>
          <w:lang w:val="es-CO"/>
        </w:rPr>
        <w:fldChar w:fldCharType="end"/>
      </w:r>
      <w:r w:rsidRPr="00606E51">
        <w:rPr>
          <w:rFonts w:cs="Times New Roman"/>
          <w:bCs/>
          <w:lang w:val="es-CO"/>
        </w:rPr>
        <w:t xml:space="preserve"> muestra los resultados incrementales; es decir</w:t>
      </w:r>
      <w:r w:rsidRPr="00EF36E9">
        <w:rPr>
          <w:rFonts w:cs="Times New Roman"/>
          <w:bCs/>
          <w:lang w:val="es-CO"/>
        </w:rPr>
        <w:t>, la variación en el costo total, el número de niños recuperados y mejorados</w:t>
      </w:r>
      <w:r w:rsidRPr="00EF36E9">
        <w:rPr>
          <w:rFonts w:cs="Times New Roman"/>
          <w:bCs/>
          <w:vertAlign w:val="superscript"/>
          <w:lang w:val="es-CO"/>
        </w:rPr>
        <w:footnoteReference w:id="65"/>
      </w:r>
      <w:r w:rsidRPr="00EF36E9">
        <w:rPr>
          <w:rFonts w:cs="Times New Roman"/>
          <w:bCs/>
          <w:lang w:val="es-CO"/>
        </w:rPr>
        <w:t xml:space="preserve"> y el número de AVAD ganados</w:t>
      </w:r>
      <w:r w:rsidRPr="00EF36E9">
        <w:rPr>
          <w:rFonts w:cs="Times New Roman"/>
          <w:bCs/>
          <w:vertAlign w:val="superscript"/>
          <w:lang w:val="es-CO"/>
        </w:rPr>
        <w:footnoteReference w:id="66"/>
      </w:r>
      <w:r w:rsidRPr="00EF36E9">
        <w:rPr>
          <w:rFonts w:cs="Times New Roman"/>
          <w:bCs/>
          <w:lang w:val="es-CO"/>
        </w:rPr>
        <w:t>. De esta manera, se es</w:t>
      </w:r>
      <w:r w:rsidR="009E7E6B" w:rsidRPr="00EF36E9">
        <w:rPr>
          <w:rFonts w:cs="Times New Roman"/>
          <w:bCs/>
          <w:lang w:val="es-CO"/>
        </w:rPr>
        <w:t>tima que la implementación del L</w:t>
      </w:r>
      <w:r w:rsidRPr="00EF36E9">
        <w:rPr>
          <w:rFonts w:cs="Times New Roman"/>
          <w:bCs/>
          <w:lang w:val="es-CO"/>
        </w:rPr>
        <w:t>ineamiento recuperaría a 66 niños y evitaría la pérdida de 147 AVAD. Adicionalmente, se encuentra que generaría un ahorro respecto al escenario sin lineamiento. Por su parte la razón costo efectividad incremental (RCEI) para cada uno de los indicadores</w:t>
      </w:r>
      <w:r w:rsidRPr="00606E51">
        <w:rPr>
          <w:rFonts w:cs="Times New Roman"/>
          <w:bCs/>
          <w:lang w:val="es-CO"/>
        </w:rPr>
        <w:t xml:space="preserve"> de efectividad muestran el ahorro que se generar por cada niño recuperado, mejorado y AVAD ganado respectivamente.</w:t>
      </w:r>
    </w:p>
    <w:p w14:paraId="3C980B4D" w14:textId="77777777" w:rsidR="009C4900" w:rsidRPr="00606E51" w:rsidRDefault="009C4900" w:rsidP="000B1FB0">
      <w:pPr>
        <w:jc w:val="both"/>
        <w:rPr>
          <w:rFonts w:cs="Times New Roman"/>
          <w:lang w:val="es-CO"/>
        </w:rPr>
      </w:pPr>
    </w:p>
    <w:p w14:paraId="2FF6698E" w14:textId="77777777" w:rsidR="005B69AE" w:rsidRPr="00606E51" w:rsidRDefault="00935E69" w:rsidP="008A61FD">
      <w:pPr>
        <w:pStyle w:val="Heading2"/>
        <w:rPr>
          <w:lang w:val="es-CO"/>
        </w:rPr>
      </w:pPr>
      <w:bookmarkStart w:id="107" w:name="_Toc481101241"/>
      <w:bookmarkStart w:id="108" w:name="_Toc505090955"/>
      <w:r w:rsidRPr="00606E51">
        <w:rPr>
          <w:lang w:val="es-CO"/>
        </w:rPr>
        <w:t>Conclusiones</w:t>
      </w:r>
      <w:bookmarkEnd w:id="107"/>
      <w:bookmarkEnd w:id="108"/>
    </w:p>
    <w:p w14:paraId="1B3C4B99" w14:textId="77777777" w:rsidR="009C4900" w:rsidRPr="00606E51" w:rsidRDefault="009C4900" w:rsidP="009C4900">
      <w:pPr>
        <w:rPr>
          <w:lang w:val="es-CO"/>
        </w:rPr>
      </w:pPr>
    </w:p>
    <w:p w14:paraId="732CEC58" w14:textId="77777777" w:rsidR="009C4900" w:rsidRPr="00606E51" w:rsidRDefault="009C4900" w:rsidP="009C4900">
      <w:pPr>
        <w:rPr>
          <w:lang w:val="es-CO"/>
        </w:rPr>
      </w:pPr>
      <w:r w:rsidRPr="00606E51">
        <w:rPr>
          <w:lang w:val="es-CO"/>
        </w:rPr>
        <w:t>Los hallazgos permiten llegar a las siguientes conclusiones:</w:t>
      </w:r>
    </w:p>
    <w:p w14:paraId="1D73DBEA" w14:textId="77777777" w:rsidR="005307BF" w:rsidRPr="00606E51" w:rsidRDefault="005307BF" w:rsidP="00070782">
      <w:pPr>
        <w:shd w:val="clear" w:color="auto" w:fill="FFFFFF"/>
        <w:jc w:val="both"/>
        <w:rPr>
          <w:rFonts w:eastAsia="Times New Roman" w:cs="Times New Roman"/>
          <w:color w:val="0E57C4" w:themeColor="background2" w:themeShade="80"/>
          <w:sz w:val="20"/>
          <w:szCs w:val="20"/>
          <w:lang w:val="es-CO"/>
        </w:rPr>
      </w:pPr>
    </w:p>
    <w:p w14:paraId="00C861E0" w14:textId="77777777" w:rsidR="00070782" w:rsidRPr="00606E51" w:rsidRDefault="009E7E6B" w:rsidP="00BB1D7B">
      <w:pPr>
        <w:pStyle w:val="ListParagraph"/>
        <w:numPr>
          <w:ilvl w:val="0"/>
          <w:numId w:val="22"/>
        </w:numPr>
        <w:jc w:val="both"/>
        <w:rPr>
          <w:rFonts w:eastAsia="Times New Roman"/>
          <w:b/>
          <w:lang w:val="es-CO"/>
        </w:rPr>
      </w:pPr>
      <w:r w:rsidRPr="00606E51">
        <w:rPr>
          <w:rFonts w:eastAsia="Times New Roman"/>
          <w:b/>
          <w:lang w:val="es-CO"/>
        </w:rPr>
        <w:t>La implementación del L</w:t>
      </w:r>
      <w:r w:rsidR="00070782" w:rsidRPr="00606E51">
        <w:rPr>
          <w:rFonts w:eastAsia="Times New Roman"/>
          <w:b/>
          <w:lang w:val="es-CO"/>
        </w:rPr>
        <w:t xml:space="preserve">ineamiento en los municipios de Maicao, Manaure, Riohacha y </w:t>
      </w:r>
      <w:r w:rsidR="00A550CC" w:rsidRPr="00606E51">
        <w:rPr>
          <w:rFonts w:eastAsia="Times New Roman"/>
          <w:b/>
          <w:lang w:val="es-CO"/>
        </w:rPr>
        <w:t>Uribía</w:t>
      </w:r>
      <w:r w:rsidR="00070782" w:rsidRPr="00606E51">
        <w:rPr>
          <w:rFonts w:eastAsia="Times New Roman"/>
          <w:b/>
          <w:lang w:val="es-CO"/>
        </w:rPr>
        <w:t xml:space="preserve"> resulta ser una intervención costo-efectiva en cada uno de los tres indicadores de efectividad utilizados.</w:t>
      </w:r>
    </w:p>
    <w:p w14:paraId="225F74E4" w14:textId="77777777" w:rsidR="00D70F3B" w:rsidRPr="00606E51" w:rsidRDefault="00D70F3B" w:rsidP="00D70F3B">
      <w:pPr>
        <w:rPr>
          <w:rFonts w:eastAsia="Times New Roman"/>
          <w:b/>
          <w:lang w:val="es-CO"/>
        </w:rPr>
      </w:pPr>
    </w:p>
    <w:p w14:paraId="4314103E" w14:textId="77777777" w:rsidR="00D70F3B" w:rsidRPr="00EF36E9" w:rsidRDefault="00D70F3B" w:rsidP="00D70F3B">
      <w:pPr>
        <w:jc w:val="both"/>
        <w:rPr>
          <w:rFonts w:eastAsia="Times New Roman"/>
          <w:lang w:val="es-CO"/>
        </w:rPr>
      </w:pPr>
      <w:r w:rsidRPr="00606E51">
        <w:rPr>
          <w:rFonts w:eastAsia="Times New Roman"/>
          <w:lang w:val="es-CO"/>
        </w:rPr>
        <w:t>Como se observa en</w:t>
      </w:r>
      <w:r w:rsidR="00342614" w:rsidRPr="00606E51">
        <w:rPr>
          <w:rFonts w:eastAsia="Times New Roman"/>
          <w:lang w:val="es-CO"/>
        </w:rPr>
        <w:t xml:space="preserve"> el </w:t>
      </w:r>
      <w:r w:rsidR="00342614" w:rsidRPr="00606E51">
        <w:rPr>
          <w:rFonts w:eastAsia="Times New Roman"/>
          <w:lang w:val="es-CO"/>
        </w:rPr>
        <w:fldChar w:fldCharType="begin"/>
      </w:r>
      <w:r w:rsidR="00342614" w:rsidRPr="00606E51">
        <w:rPr>
          <w:rFonts w:eastAsia="Times New Roman"/>
          <w:lang w:val="es-CO"/>
        </w:rPr>
        <w:instrText xml:space="preserve"> REF _Ref479076938 \h  \* MERGEFORMAT </w:instrText>
      </w:r>
      <w:r w:rsidR="00342614" w:rsidRPr="00606E51">
        <w:rPr>
          <w:rFonts w:eastAsia="Times New Roman"/>
          <w:lang w:val="es-CO"/>
        </w:rPr>
      </w:r>
      <w:r w:rsidR="00342614" w:rsidRPr="00606E51">
        <w:rPr>
          <w:rFonts w:eastAsia="Times New Roman"/>
          <w:lang w:val="es-CO"/>
        </w:rPr>
        <w:fldChar w:fldCharType="separate"/>
      </w:r>
      <w:r w:rsidR="00342614" w:rsidRPr="00606E51">
        <w:rPr>
          <w:rFonts w:eastAsia="Times New Roman"/>
          <w:bCs/>
          <w:lang w:val="es-CO"/>
        </w:rPr>
        <w:t>Gráfico 5.1</w:t>
      </w:r>
      <w:r w:rsidR="00342614" w:rsidRPr="00606E51">
        <w:rPr>
          <w:rFonts w:eastAsia="Times New Roman"/>
          <w:lang w:val="es-CO"/>
        </w:rPr>
        <w:fldChar w:fldCharType="end"/>
      </w:r>
      <w:r w:rsidRPr="00606E51">
        <w:rPr>
          <w:rFonts w:eastAsia="Times New Roman"/>
          <w:lang w:val="es-CO"/>
        </w:rPr>
        <w:t xml:space="preserve">, </w:t>
      </w:r>
      <w:r w:rsidRPr="00EF36E9">
        <w:rPr>
          <w:rFonts w:eastAsia="Times New Roman"/>
          <w:lang w:val="es-CO"/>
        </w:rPr>
        <w:t>en promedio la RCEI indica que la intervención genera un ahorro por cada niño recuperado; sin embargo, dado que el valor cero (0) hace parte de los intervalos de confianza, la interpretación más adecuada es que la intervención</w:t>
      </w:r>
      <w:r w:rsidR="00BB26FB" w:rsidRPr="00EF36E9">
        <w:rPr>
          <w:rFonts w:eastAsia="Times New Roman"/>
          <w:lang w:val="es-CO"/>
        </w:rPr>
        <w:t>|</w:t>
      </w:r>
      <w:r w:rsidRPr="00EF36E9">
        <w:rPr>
          <w:rFonts w:eastAsia="Times New Roman"/>
          <w:lang w:val="es-CO"/>
        </w:rPr>
        <w:t xml:space="preserve"> es costo-efectiva.</w:t>
      </w:r>
    </w:p>
    <w:p w14:paraId="73BFEF74" w14:textId="77777777" w:rsidR="0077143A" w:rsidRPr="00EF36E9" w:rsidRDefault="0077143A" w:rsidP="00D70F3B">
      <w:pPr>
        <w:jc w:val="both"/>
        <w:rPr>
          <w:rFonts w:eastAsia="Times New Roman"/>
          <w:lang w:val="es-CO"/>
        </w:rPr>
      </w:pPr>
    </w:p>
    <w:p w14:paraId="25521DE4" w14:textId="77777777" w:rsidR="0077143A" w:rsidRPr="00606E51" w:rsidRDefault="0077143A" w:rsidP="0077143A">
      <w:pPr>
        <w:jc w:val="both"/>
        <w:rPr>
          <w:rFonts w:eastAsia="Times New Roman"/>
          <w:lang w:val="es-CO"/>
        </w:rPr>
      </w:pPr>
      <w:r w:rsidRPr="00EF36E9">
        <w:rPr>
          <w:rFonts w:eastAsia="Times New Roman"/>
          <w:lang w:val="es-CO"/>
        </w:rPr>
        <w:t>Adicionalmente, desde el punto de vista de costos se encuentra que, si bien el manejo en el hogar genera un crecimiento en los costos de atención, la reducción en los costos de atención intrahospitalarios es tal que la variación total de los costos es negativa</w:t>
      </w:r>
      <w:r w:rsidRPr="00606E51">
        <w:rPr>
          <w:rFonts w:eastAsia="Times New Roman"/>
          <w:lang w:val="es-CO"/>
        </w:rPr>
        <w:t xml:space="preserve">; es decir los costos disminuyen. Lo anterior se presenta como resultado de la disminución esperada de casos que deben </w:t>
      </w:r>
      <w:r w:rsidRPr="00606E51">
        <w:rPr>
          <w:rFonts w:eastAsia="Times New Roman"/>
          <w:lang w:val="es-CO"/>
        </w:rPr>
        <w:lastRenderedPageBreak/>
        <w:t>ser remitidos a atención en mediana/alta complejidad y que en su lugar reciben manejo en el hogar por parte de un equipo extramural de una IPS de baja complejidad.</w:t>
      </w:r>
    </w:p>
    <w:p w14:paraId="5A518B45" w14:textId="77777777" w:rsidR="0077143A" w:rsidRPr="00606E51" w:rsidRDefault="0077143A" w:rsidP="0077143A">
      <w:pPr>
        <w:jc w:val="both"/>
        <w:rPr>
          <w:rFonts w:eastAsia="Times New Roman"/>
          <w:lang w:val="es-CO"/>
        </w:rPr>
      </w:pPr>
    </w:p>
    <w:p w14:paraId="0558AEEF" w14:textId="77777777" w:rsidR="0077143A" w:rsidRPr="00606E51" w:rsidRDefault="0077143A" w:rsidP="0077143A">
      <w:pPr>
        <w:jc w:val="both"/>
        <w:rPr>
          <w:rFonts w:eastAsia="Times New Roman"/>
          <w:lang w:val="es-CO"/>
        </w:rPr>
      </w:pPr>
      <w:r w:rsidRPr="00606E51">
        <w:rPr>
          <w:rFonts w:eastAsia="Times New Roman"/>
          <w:lang w:val="es-CO"/>
        </w:rPr>
        <w:t xml:space="preserve">De esta manera, la implementación de lineamiento no solo tiene efectos positivos desde el punto de vista de la efectividad sino también desde el punto de vista de costos (Ver </w:t>
      </w:r>
      <w:r w:rsidRPr="00606E51">
        <w:rPr>
          <w:rFonts w:eastAsia="Times New Roman"/>
          <w:lang w:val="es-CO"/>
        </w:rPr>
        <w:fldChar w:fldCharType="begin"/>
      </w:r>
      <w:r w:rsidRPr="00606E51">
        <w:rPr>
          <w:rFonts w:eastAsia="Times New Roman"/>
          <w:lang w:val="es-CO"/>
        </w:rPr>
        <w:instrText xml:space="preserve"> REF _Ref485190959 \h  \* MERGEFORMAT </w:instrText>
      </w:r>
      <w:r w:rsidRPr="00606E51">
        <w:rPr>
          <w:rFonts w:eastAsia="Times New Roman"/>
          <w:lang w:val="es-CO"/>
        </w:rPr>
      </w:r>
      <w:r w:rsidRPr="00606E51">
        <w:rPr>
          <w:rFonts w:eastAsia="Times New Roman"/>
          <w:lang w:val="es-CO"/>
        </w:rPr>
        <w:fldChar w:fldCharType="separate"/>
      </w:r>
      <w:r w:rsidRPr="00606E51">
        <w:rPr>
          <w:rFonts w:eastAsia="Times New Roman"/>
          <w:bCs/>
          <w:lang w:val="es-CO"/>
        </w:rPr>
        <w:t>Gráfico 5.2</w:t>
      </w:r>
      <w:r w:rsidRPr="00606E51">
        <w:rPr>
          <w:rFonts w:eastAsia="Times New Roman"/>
          <w:lang w:val="es-CO"/>
        </w:rPr>
        <w:fldChar w:fldCharType="end"/>
      </w:r>
      <w:r w:rsidRPr="00606E51">
        <w:rPr>
          <w:rFonts w:eastAsia="Times New Roman"/>
          <w:lang w:val="es-CO"/>
        </w:rPr>
        <w:t>.).</w:t>
      </w:r>
    </w:p>
    <w:p w14:paraId="363BCAA3" w14:textId="77777777" w:rsidR="00D70F3B" w:rsidRPr="00606E51" w:rsidRDefault="00D70F3B" w:rsidP="00D70F3B">
      <w:pPr>
        <w:rPr>
          <w:rFonts w:eastAsia="Times New Roman"/>
          <w:lang w:val="es-CO"/>
        </w:rPr>
      </w:pPr>
    </w:p>
    <w:p w14:paraId="2ED99174" w14:textId="77777777" w:rsidR="00D70F3B" w:rsidRPr="00606E51" w:rsidRDefault="00D70F3B" w:rsidP="00D70F3B">
      <w:pPr>
        <w:jc w:val="center"/>
        <w:rPr>
          <w:rFonts w:eastAsia="Times New Roman"/>
          <w:b/>
          <w:bCs/>
          <w:lang w:val="es-CO"/>
        </w:rPr>
      </w:pPr>
      <w:bookmarkStart w:id="109" w:name="_Ref479076938"/>
      <w:bookmarkStart w:id="110" w:name="_Toc486454331"/>
      <w:r w:rsidRPr="00606E51">
        <w:rPr>
          <w:rFonts w:eastAsia="Times New Roman"/>
          <w:b/>
          <w:bCs/>
          <w:lang w:val="es-CO"/>
        </w:rPr>
        <w:t xml:space="preserve">Gráfico </w:t>
      </w:r>
      <w:r w:rsidRPr="00606E51">
        <w:rPr>
          <w:rFonts w:eastAsia="Times New Roman"/>
          <w:b/>
          <w:bCs/>
          <w:lang w:val="es-CO"/>
        </w:rPr>
        <w:fldChar w:fldCharType="begin"/>
      </w:r>
      <w:r w:rsidRPr="00606E51">
        <w:rPr>
          <w:rFonts w:eastAsia="Times New Roman"/>
          <w:b/>
          <w:bCs/>
          <w:lang w:val="es-CO"/>
        </w:rPr>
        <w:instrText xml:space="preserve"> STYLEREF 1 \s </w:instrText>
      </w:r>
      <w:r w:rsidRPr="00606E51">
        <w:rPr>
          <w:rFonts w:eastAsia="Times New Roman"/>
          <w:b/>
          <w:bCs/>
          <w:lang w:val="es-CO"/>
        </w:rPr>
        <w:fldChar w:fldCharType="separate"/>
      </w:r>
      <w:r w:rsidRPr="00606E51">
        <w:rPr>
          <w:rFonts w:eastAsia="Times New Roman"/>
          <w:b/>
          <w:bCs/>
          <w:lang w:val="es-CO"/>
        </w:rPr>
        <w:t>5</w:t>
      </w:r>
      <w:r w:rsidRPr="00606E51">
        <w:rPr>
          <w:rFonts w:eastAsia="Times New Roman"/>
          <w:lang w:val="es-CO"/>
        </w:rPr>
        <w:fldChar w:fldCharType="end"/>
      </w:r>
      <w:r w:rsidRPr="00606E51">
        <w:rPr>
          <w:rFonts w:eastAsia="Times New Roman"/>
          <w:b/>
          <w:bCs/>
          <w:lang w:val="es-CO"/>
        </w:rPr>
        <w:t>.</w:t>
      </w:r>
      <w:r w:rsidRPr="00606E51">
        <w:rPr>
          <w:rFonts w:eastAsia="Times New Roman"/>
          <w:b/>
          <w:bCs/>
          <w:lang w:val="es-CO"/>
        </w:rPr>
        <w:fldChar w:fldCharType="begin"/>
      </w:r>
      <w:r w:rsidRPr="00606E51">
        <w:rPr>
          <w:rFonts w:eastAsia="Times New Roman"/>
          <w:b/>
          <w:bCs/>
          <w:lang w:val="es-CO"/>
        </w:rPr>
        <w:instrText xml:space="preserve"> SEQ Gráfico \* ARABIC \s 1 </w:instrText>
      </w:r>
      <w:r w:rsidRPr="00606E51">
        <w:rPr>
          <w:rFonts w:eastAsia="Times New Roman"/>
          <w:b/>
          <w:bCs/>
          <w:lang w:val="es-CO"/>
        </w:rPr>
        <w:fldChar w:fldCharType="separate"/>
      </w:r>
      <w:r w:rsidRPr="00606E51">
        <w:rPr>
          <w:rFonts w:eastAsia="Times New Roman"/>
          <w:b/>
          <w:bCs/>
          <w:lang w:val="es-CO"/>
        </w:rPr>
        <w:t>1</w:t>
      </w:r>
      <w:r w:rsidRPr="00606E51">
        <w:rPr>
          <w:rFonts w:eastAsia="Times New Roman"/>
          <w:lang w:val="es-CO"/>
        </w:rPr>
        <w:fldChar w:fldCharType="end"/>
      </w:r>
      <w:bookmarkEnd w:id="109"/>
      <w:r w:rsidRPr="00606E51">
        <w:rPr>
          <w:rFonts w:eastAsia="Times New Roman"/>
          <w:b/>
          <w:bCs/>
          <w:lang w:val="es-CO"/>
        </w:rPr>
        <w:t>. Comparación RCEI e intervalos de confianza según medida de efectividad</w:t>
      </w:r>
      <w:bookmarkEnd w:id="110"/>
    </w:p>
    <w:p w14:paraId="6BADD87E" w14:textId="77777777" w:rsidR="00D70F3B" w:rsidRPr="00606E51" w:rsidRDefault="00D70F3B" w:rsidP="00D70F3B">
      <w:pPr>
        <w:rPr>
          <w:rFonts w:eastAsia="Times New Roman"/>
          <w:lang w:val="es-CO"/>
        </w:rPr>
      </w:pPr>
      <w:r w:rsidRPr="00606E51">
        <w:rPr>
          <w:rFonts w:eastAsia="Times New Roman"/>
          <w:b/>
          <w:noProof/>
          <w:lang w:val="en-US"/>
        </w:rPr>
        <w:drawing>
          <wp:inline distT="0" distB="0" distL="0" distR="0" wp14:anchorId="5B8A7FE4" wp14:editId="6B59476F">
            <wp:extent cx="5612130" cy="2830945"/>
            <wp:effectExtent l="0" t="0" r="127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sultados_RCEI.png"/>
                    <pic:cNvPicPr/>
                  </pic:nvPicPr>
                  <pic:blipFill rotWithShape="1">
                    <a:blip r:embed="rId18" cstate="print">
                      <a:extLst>
                        <a:ext uri="{28A0092B-C50C-407E-A947-70E740481C1C}">
                          <a14:useLocalDpi xmlns:a14="http://schemas.microsoft.com/office/drawing/2010/main" val="0"/>
                        </a:ext>
                      </a:extLst>
                    </a:blip>
                    <a:srcRect t="14914" b="11003"/>
                    <a:stretch/>
                  </pic:blipFill>
                  <pic:spPr bwMode="auto">
                    <a:xfrm>
                      <a:off x="0" y="0"/>
                      <a:ext cx="5618549" cy="2834183"/>
                    </a:xfrm>
                    <a:prstGeom prst="rect">
                      <a:avLst/>
                    </a:prstGeom>
                    <a:ln>
                      <a:noFill/>
                    </a:ln>
                    <a:extLst>
                      <a:ext uri="{53640926-AAD7-44D8-BBD7-CCE9431645EC}">
                        <a14:shadowObscured xmlns:a14="http://schemas.microsoft.com/office/drawing/2010/main"/>
                      </a:ext>
                    </a:extLst>
                  </pic:spPr>
                </pic:pic>
              </a:graphicData>
            </a:graphic>
          </wp:inline>
        </w:drawing>
      </w:r>
    </w:p>
    <w:p w14:paraId="07575350" w14:textId="77777777" w:rsidR="00342614" w:rsidRPr="00606E51" w:rsidRDefault="00D70F3B" w:rsidP="0077143A">
      <w:pPr>
        <w:jc w:val="center"/>
        <w:rPr>
          <w:rFonts w:eastAsia="Times New Roman"/>
          <w:bCs/>
          <w:lang w:val="es-CO"/>
        </w:rPr>
      </w:pPr>
      <w:r w:rsidRPr="00606E51">
        <w:rPr>
          <w:rFonts w:eastAsia="Times New Roman"/>
          <w:bCs/>
          <w:sz w:val="20"/>
          <w:lang w:val="es-CO"/>
        </w:rPr>
        <w:t xml:space="preserve">Fuente: Elaboración </w:t>
      </w:r>
      <w:r w:rsidR="00C85184" w:rsidRPr="00606E51">
        <w:rPr>
          <w:rFonts w:eastAsia="Times New Roman"/>
          <w:bCs/>
          <w:sz w:val="20"/>
          <w:lang w:val="es-CO"/>
        </w:rPr>
        <w:t>autores</w:t>
      </w:r>
    </w:p>
    <w:p w14:paraId="3C23C927" w14:textId="77777777" w:rsidR="006B403C" w:rsidRPr="00606E51" w:rsidRDefault="006B403C" w:rsidP="009C4900">
      <w:pPr>
        <w:jc w:val="both"/>
        <w:rPr>
          <w:rFonts w:eastAsia="Times New Roman"/>
          <w:lang w:val="es-CO"/>
        </w:rPr>
      </w:pPr>
    </w:p>
    <w:p w14:paraId="43E8B3A3" w14:textId="77777777" w:rsidR="00D70F3B" w:rsidRPr="00606E51" w:rsidRDefault="00D70F3B" w:rsidP="00D70F3B">
      <w:pPr>
        <w:jc w:val="center"/>
        <w:rPr>
          <w:rFonts w:eastAsia="Times New Roman"/>
          <w:b/>
          <w:bCs/>
          <w:lang w:val="es-CO"/>
        </w:rPr>
      </w:pPr>
      <w:bookmarkStart w:id="111" w:name="_Ref485190959"/>
      <w:bookmarkStart w:id="112" w:name="_Toc486454332"/>
      <w:r w:rsidRPr="00606E51">
        <w:rPr>
          <w:rFonts w:eastAsia="Times New Roman"/>
          <w:b/>
          <w:bCs/>
          <w:lang w:val="es-CO"/>
        </w:rPr>
        <w:t xml:space="preserve">Gráfico </w:t>
      </w:r>
      <w:r w:rsidRPr="00606E51">
        <w:rPr>
          <w:rFonts w:eastAsia="Times New Roman"/>
          <w:b/>
          <w:bCs/>
          <w:lang w:val="es-CO"/>
        </w:rPr>
        <w:fldChar w:fldCharType="begin"/>
      </w:r>
      <w:r w:rsidRPr="00606E51">
        <w:rPr>
          <w:rFonts w:eastAsia="Times New Roman"/>
          <w:b/>
          <w:bCs/>
          <w:lang w:val="es-CO"/>
        </w:rPr>
        <w:instrText xml:space="preserve"> STYLEREF 1 \s </w:instrText>
      </w:r>
      <w:r w:rsidRPr="00606E51">
        <w:rPr>
          <w:rFonts w:eastAsia="Times New Roman"/>
          <w:b/>
          <w:bCs/>
          <w:lang w:val="es-CO"/>
        </w:rPr>
        <w:fldChar w:fldCharType="separate"/>
      </w:r>
      <w:r w:rsidRPr="00606E51">
        <w:rPr>
          <w:rFonts w:eastAsia="Times New Roman"/>
          <w:b/>
          <w:bCs/>
          <w:lang w:val="es-CO"/>
        </w:rPr>
        <w:t>5</w:t>
      </w:r>
      <w:r w:rsidRPr="00606E51">
        <w:rPr>
          <w:rFonts w:eastAsia="Times New Roman"/>
          <w:lang w:val="es-CO"/>
        </w:rPr>
        <w:fldChar w:fldCharType="end"/>
      </w:r>
      <w:r w:rsidRPr="00606E51">
        <w:rPr>
          <w:rFonts w:eastAsia="Times New Roman"/>
          <w:b/>
          <w:bCs/>
          <w:lang w:val="es-CO"/>
        </w:rPr>
        <w:t>.</w:t>
      </w:r>
      <w:r w:rsidRPr="00606E51">
        <w:rPr>
          <w:rFonts w:eastAsia="Times New Roman"/>
          <w:b/>
          <w:bCs/>
          <w:lang w:val="es-CO"/>
        </w:rPr>
        <w:fldChar w:fldCharType="begin"/>
      </w:r>
      <w:r w:rsidRPr="00606E51">
        <w:rPr>
          <w:rFonts w:eastAsia="Times New Roman"/>
          <w:b/>
          <w:bCs/>
          <w:lang w:val="es-CO"/>
        </w:rPr>
        <w:instrText xml:space="preserve"> SEQ Gráfico \* ARABIC \s 1 </w:instrText>
      </w:r>
      <w:r w:rsidRPr="00606E51">
        <w:rPr>
          <w:rFonts w:eastAsia="Times New Roman"/>
          <w:b/>
          <w:bCs/>
          <w:lang w:val="es-CO"/>
        </w:rPr>
        <w:fldChar w:fldCharType="separate"/>
      </w:r>
      <w:r w:rsidRPr="00606E51">
        <w:rPr>
          <w:rFonts w:eastAsia="Times New Roman"/>
          <w:b/>
          <w:bCs/>
          <w:lang w:val="es-CO"/>
        </w:rPr>
        <w:t>2</w:t>
      </w:r>
      <w:r w:rsidRPr="00606E51">
        <w:rPr>
          <w:rFonts w:eastAsia="Times New Roman"/>
          <w:lang w:val="es-CO"/>
        </w:rPr>
        <w:fldChar w:fldCharType="end"/>
      </w:r>
      <w:bookmarkEnd w:id="111"/>
      <w:r w:rsidRPr="00606E51">
        <w:rPr>
          <w:rFonts w:eastAsia="Times New Roman"/>
          <w:b/>
          <w:bCs/>
          <w:lang w:val="es-CO"/>
        </w:rPr>
        <w:t>. Variación total de los costos, según atención extramural e intra</w:t>
      </w:r>
      <w:r w:rsidR="001248CC" w:rsidRPr="00606E51">
        <w:rPr>
          <w:rFonts w:eastAsia="Times New Roman"/>
          <w:b/>
          <w:bCs/>
          <w:lang w:val="es-CO"/>
        </w:rPr>
        <w:t>-</w:t>
      </w:r>
      <w:r w:rsidRPr="00606E51">
        <w:rPr>
          <w:rFonts w:eastAsia="Times New Roman"/>
          <w:b/>
          <w:bCs/>
          <w:lang w:val="es-CO"/>
        </w:rPr>
        <w:t>mural</w:t>
      </w:r>
      <w:bookmarkEnd w:id="112"/>
    </w:p>
    <w:p w14:paraId="51403F38" w14:textId="77777777" w:rsidR="00D70F3B" w:rsidRPr="00606E51" w:rsidRDefault="00D70F3B" w:rsidP="00D70F3B">
      <w:pPr>
        <w:rPr>
          <w:rFonts w:eastAsia="Times New Roman"/>
          <w:lang w:val="es-CO"/>
        </w:rPr>
      </w:pPr>
      <w:r w:rsidRPr="00606E51">
        <w:rPr>
          <w:rFonts w:eastAsia="Times New Roman"/>
          <w:noProof/>
          <w:lang w:val="en-US"/>
        </w:rPr>
        <w:drawing>
          <wp:inline distT="0" distB="0" distL="0" distR="0" wp14:anchorId="5B1665F5" wp14:editId="055252EE">
            <wp:extent cx="4746929" cy="2154555"/>
            <wp:effectExtent l="0" t="0" r="0" b="0"/>
            <wp:docPr id="4" name="Gráfico 4">
              <a:extLst xmlns:a="http://schemas.openxmlformats.org/drawingml/2006/main">
                <a:ext uri="{FF2B5EF4-FFF2-40B4-BE49-F238E27FC236}">
                  <a16:creationId xmlns:a16="http://schemas.microsoft.com/office/drawing/2014/main" id="{0E6BF042-37EF-46A2-A2C6-42E1F8A2D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8C61A5E" w14:textId="77777777" w:rsidR="00562D43" w:rsidRPr="00606E51" w:rsidRDefault="00C85184" w:rsidP="0052724F">
      <w:pPr>
        <w:jc w:val="center"/>
        <w:rPr>
          <w:rFonts w:eastAsia="Times New Roman"/>
          <w:bCs/>
          <w:sz w:val="20"/>
          <w:lang w:val="es-CO"/>
        </w:rPr>
      </w:pPr>
      <w:r w:rsidRPr="00606E51">
        <w:rPr>
          <w:rFonts w:eastAsia="Times New Roman"/>
          <w:bCs/>
          <w:sz w:val="20"/>
          <w:lang w:val="es-CO"/>
        </w:rPr>
        <w:t>Fuente: Elaboración autores</w:t>
      </w:r>
    </w:p>
    <w:p w14:paraId="52EE4584" w14:textId="77777777" w:rsidR="0052724F" w:rsidRPr="00606E51" w:rsidRDefault="0052724F" w:rsidP="0052724F">
      <w:pPr>
        <w:jc w:val="center"/>
        <w:rPr>
          <w:rFonts w:eastAsia="Times New Roman"/>
          <w:bCs/>
          <w:sz w:val="20"/>
          <w:lang w:val="es-CO"/>
        </w:rPr>
      </w:pPr>
    </w:p>
    <w:p w14:paraId="19EDA9BA" w14:textId="77777777" w:rsidR="00211A43" w:rsidRPr="00EF36E9" w:rsidRDefault="00A276AD" w:rsidP="00BB1D7B">
      <w:pPr>
        <w:pStyle w:val="ListParagraph"/>
        <w:numPr>
          <w:ilvl w:val="0"/>
          <w:numId w:val="22"/>
        </w:numPr>
        <w:jc w:val="both"/>
        <w:rPr>
          <w:rFonts w:eastAsia="Times New Roman"/>
          <w:b/>
          <w:lang w:val="es-CO"/>
        </w:rPr>
      </w:pPr>
      <w:r w:rsidRPr="00606E51">
        <w:rPr>
          <w:rFonts w:eastAsia="Times New Roman"/>
          <w:b/>
          <w:lang w:val="es-CO"/>
        </w:rPr>
        <w:t>Los datos de efectividad reportados por los equipos extramurales contratados por el MSPS para implementar el Programa, la observación de campo y los resultados de las entrevistas y los grupos de discusió</w:t>
      </w:r>
      <w:r w:rsidR="0059059B" w:rsidRPr="00606E51">
        <w:rPr>
          <w:rFonts w:eastAsia="Times New Roman"/>
          <w:b/>
          <w:lang w:val="es-CO"/>
        </w:rPr>
        <w:t xml:space="preserve">n dirigida </w:t>
      </w:r>
      <w:r w:rsidR="0059059B" w:rsidRPr="00EF36E9">
        <w:rPr>
          <w:rFonts w:eastAsia="Times New Roman"/>
          <w:b/>
          <w:lang w:val="es-CO"/>
        </w:rPr>
        <w:t>muestran que</w:t>
      </w:r>
      <w:r w:rsidRPr="00EF36E9">
        <w:rPr>
          <w:rFonts w:eastAsia="Times New Roman"/>
          <w:b/>
          <w:lang w:val="es-CO"/>
        </w:rPr>
        <w:t xml:space="preserve"> e</w:t>
      </w:r>
      <w:r w:rsidR="00A074B8" w:rsidRPr="00EF36E9">
        <w:rPr>
          <w:rFonts w:eastAsia="Times New Roman"/>
          <w:b/>
          <w:lang w:val="es-CO"/>
        </w:rPr>
        <w:t xml:space="preserve">l Lineamiento </w:t>
      </w:r>
      <w:r w:rsidR="00B30180" w:rsidRPr="00EF36E9">
        <w:rPr>
          <w:rFonts w:eastAsia="Times New Roman"/>
          <w:b/>
          <w:lang w:val="es-CO"/>
        </w:rPr>
        <w:t>est</w:t>
      </w:r>
      <w:r w:rsidR="000C376E" w:rsidRPr="00EF36E9">
        <w:rPr>
          <w:rFonts w:eastAsia="Times New Roman"/>
          <w:b/>
          <w:lang w:val="es-CO"/>
        </w:rPr>
        <w:t>á</w:t>
      </w:r>
      <w:r w:rsidR="00B30180" w:rsidRPr="00EF36E9">
        <w:rPr>
          <w:rFonts w:eastAsia="Times New Roman"/>
          <w:b/>
          <w:lang w:val="es-CO"/>
        </w:rPr>
        <w:t xml:space="preserve"> correctamente adherido</w:t>
      </w:r>
      <w:r w:rsidR="00062739" w:rsidRPr="00EF36E9">
        <w:rPr>
          <w:rFonts w:eastAsia="Times New Roman"/>
          <w:b/>
          <w:lang w:val="es-CO"/>
        </w:rPr>
        <w:t xml:space="preserve"> para el tratamiento ambulatorio</w:t>
      </w:r>
      <w:r w:rsidR="00B30180" w:rsidRPr="00EF36E9">
        <w:rPr>
          <w:rFonts w:eastAsia="Times New Roman"/>
          <w:b/>
          <w:lang w:val="es-CO"/>
        </w:rPr>
        <w:t xml:space="preserve"> en la zona rural dispersa</w:t>
      </w:r>
      <w:r w:rsidR="00E3570A" w:rsidRPr="00EF36E9">
        <w:rPr>
          <w:rFonts w:eastAsia="Times New Roman"/>
          <w:b/>
          <w:lang w:val="es-CO"/>
        </w:rPr>
        <w:t xml:space="preserve"> donde se implementó el Programa del MSPS.</w:t>
      </w:r>
    </w:p>
    <w:p w14:paraId="4D951711" w14:textId="77777777" w:rsidR="0059059B" w:rsidRPr="00606E51" w:rsidRDefault="0059059B" w:rsidP="0059059B">
      <w:pPr>
        <w:pStyle w:val="ListParagraph"/>
        <w:jc w:val="both"/>
        <w:rPr>
          <w:rFonts w:eastAsia="Times New Roman"/>
          <w:b/>
          <w:lang w:val="es-CO"/>
        </w:rPr>
      </w:pPr>
    </w:p>
    <w:p w14:paraId="6BA2C07D" w14:textId="77777777" w:rsidR="008A5F77" w:rsidRPr="00606E51" w:rsidRDefault="00D7567B" w:rsidP="00211A43">
      <w:pPr>
        <w:jc w:val="both"/>
        <w:rPr>
          <w:rFonts w:eastAsia="Times New Roman"/>
          <w:lang w:val="es-CO"/>
        </w:rPr>
      </w:pPr>
      <w:r w:rsidRPr="00606E51">
        <w:rPr>
          <w:rFonts w:eastAsia="Times New Roman"/>
          <w:lang w:val="es-CO"/>
        </w:rPr>
        <w:t xml:space="preserve">Los </w:t>
      </w:r>
      <w:r w:rsidR="00BE7B5B" w:rsidRPr="00606E51">
        <w:rPr>
          <w:rFonts w:eastAsia="Times New Roman"/>
          <w:lang w:val="es-CO"/>
        </w:rPr>
        <w:t xml:space="preserve">datos de efectividad </w:t>
      </w:r>
      <w:r w:rsidR="00F34565" w:rsidRPr="00606E51">
        <w:rPr>
          <w:rFonts w:eastAsia="Times New Roman"/>
          <w:lang w:val="es-CO"/>
        </w:rPr>
        <w:t xml:space="preserve">del tratamiento ambulatorio, que se enuncian en la </w:t>
      </w:r>
      <w:r w:rsidR="00BE7B5B" w:rsidRPr="00606E51">
        <w:rPr>
          <w:rFonts w:eastAsia="Times New Roman"/>
          <w:lang w:val="es-CO"/>
        </w:rPr>
        <w:t>conclusión anterior</w:t>
      </w:r>
      <w:r w:rsidR="00F34565" w:rsidRPr="00606E51">
        <w:rPr>
          <w:rFonts w:eastAsia="Times New Roman"/>
          <w:lang w:val="es-CO"/>
        </w:rPr>
        <w:t>, junto con las conclusiones de la información cualitativa recolectada en la salida de campo</w:t>
      </w:r>
      <w:r w:rsidR="008A5F77" w:rsidRPr="00606E51">
        <w:rPr>
          <w:rFonts w:eastAsia="Times New Roman"/>
          <w:lang w:val="es-CO"/>
        </w:rPr>
        <w:t>,</w:t>
      </w:r>
      <w:r w:rsidR="00F34565" w:rsidRPr="00606E51">
        <w:rPr>
          <w:rFonts w:eastAsia="Times New Roman"/>
          <w:lang w:val="es-CO"/>
        </w:rPr>
        <w:t xml:space="preserve"> indican que el </w:t>
      </w:r>
      <w:r w:rsidR="00F34565" w:rsidRPr="00606E51">
        <w:rPr>
          <w:rFonts w:eastAsia="Times New Roman"/>
          <w:lang w:val="es-CO"/>
        </w:rPr>
        <w:lastRenderedPageBreak/>
        <w:t>protocolo fue impl</w:t>
      </w:r>
      <w:r w:rsidR="000B2C95" w:rsidRPr="00606E51">
        <w:rPr>
          <w:rFonts w:eastAsia="Times New Roman"/>
          <w:lang w:val="es-CO"/>
        </w:rPr>
        <w:t>ementado adecuadamente por los</w:t>
      </w:r>
      <w:r w:rsidR="00F34565" w:rsidRPr="00606E51">
        <w:rPr>
          <w:rFonts w:eastAsia="Times New Roman"/>
          <w:lang w:val="es-CO"/>
        </w:rPr>
        <w:t xml:space="preserve"> equipos</w:t>
      </w:r>
      <w:r w:rsidR="000B2C95" w:rsidRPr="00606E51">
        <w:rPr>
          <w:rFonts w:eastAsia="Times New Roman"/>
          <w:lang w:val="es-CO"/>
        </w:rPr>
        <w:t xml:space="preserve"> contratados por el MSPS</w:t>
      </w:r>
      <w:r w:rsidR="00F34565" w:rsidRPr="00606E51">
        <w:rPr>
          <w:rFonts w:eastAsia="Times New Roman"/>
          <w:lang w:val="es-CO"/>
        </w:rPr>
        <w:t xml:space="preserve"> y logró que tanto los líderes de las comunidades de la zona rural dispersa</w:t>
      </w:r>
      <w:r w:rsidR="008A5F77" w:rsidRPr="00606E51">
        <w:rPr>
          <w:rFonts w:eastAsia="Times New Roman"/>
          <w:lang w:val="es-CO"/>
        </w:rPr>
        <w:t xml:space="preserve"> donde operaron</w:t>
      </w:r>
      <w:r w:rsidR="000B2C95" w:rsidRPr="00606E51">
        <w:rPr>
          <w:rFonts w:eastAsia="Times New Roman"/>
          <w:lang w:val="es-CO"/>
        </w:rPr>
        <w:t xml:space="preserve"> estos grupos</w:t>
      </w:r>
      <w:r w:rsidR="00F34565" w:rsidRPr="00606E51">
        <w:rPr>
          <w:rFonts w:eastAsia="Times New Roman"/>
          <w:lang w:val="es-CO"/>
        </w:rPr>
        <w:t xml:space="preserve"> como los cuidadores de los niños que se diagnosticaron con la enfermedad siguieran las instrucciones </w:t>
      </w:r>
      <w:r w:rsidR="005A37E5" w:rsidRPr="00606E51">
        <w:rPr>
          <w:rFonts w:eastAsia="Times New Roman"/>
          <w:lang w:val="es-CO"/>
        </w:rPr>
        <w:t xml:space="preserve">adecuadamente </w:t>
      </w:r>
      <w:r w:rsidR="00F34565" w:rsidRPr="00606E51">
        <w:rPr>
          <w:rFonts w:eastAsia="Times New Roman"/>
          <w:lang w:val="es-CO"/>
        </w:rPr>
        <w:t>para el tratamiento.</w:t>
      </w:r>
    </w:p>
    <w:p w14:paraId="5DBF6907" w14:textId="77777777" w:rsidR="005A37E5" w:rsidRPr="00606E51" w:rsidRDefault="005A37E5" w:rsidP="00211A43">
      <w:pPr>
        <w:jc w:val="both"/>
        <w:rPr>
          <w:rFonts w:eastAsia="Times New Roman"/>
          <w:lang w:val="es-CO"/>
        </w:rPr>
      </w:pPr>
    </w:p>
    <w:p w14:paraId="132D27DC" w14:textId="77777777" w:rsidR="00BA39E0" w:rsidRPr="00606E51" w:rsidRDefault="005A37E5" w:rsidP="00211A43">
      <w:pPr>
        <w:jc w:val="both"/>
        <w:rPr>
          <w:rFonts w:eastAsia="Times New Roman"/>
          <w:lang w:val="es-CO"/>
        </w:rPr>
      </w:pPr>
      <w:r w:rsidRPr="00606E51">
        <w:rPr>
          <w:rFonts w:eastAsia="Times New Roman"/>
          <w:lang w:val="es-CO"/>
        </w:rPr>
        <w:t xml:space="preserve">En efecto, </w:t>
      </w:r>
      <w:r w:rsidR="000B2C95" w:rsidRPr="00606E51">
        <w:rPr>
          <w:rFonts w:eastAsia="Times New Roman"/>
          <w:lang w:val="es-CO"/>
        </w:rPr>
        <w:t>lo</w:t>
      </w:r>
      <w:r w:rsidR="00692D66" w:rsidRPr="00606E51">
        <w:rPr>
          <w:rFonts w:eastAsia="Times New Roman"/>
          <w:lang w:val="es-CO"/>
        </w:rPr>
        <w:t xml:space="preserve">s </w:t>
      </w:r>
      <w:r w:rsidR="000B2C95" w:rsidRPr="00606E51">
        <w:rPr>
          <w:rFonts w:eastAsia="Times New Roman"/>
          <w:lang w:val="es-CO"/>
        </w:rPr>
        <w:t xml:space="preserve">datos de efectividad informan que </w:t>
      </w:r>
      <w:r w:rsidR="00692D66" w:rsidRPr="00606E51">
        <w:rPr>
          <w:rFonts w:eastAsia="Times New Roman"/>
          <w:lang w:val="es-CO"/>
        </w:rPr>
        <w:t xml:space="preserve">la implementación </w:t>
      </w:r>
      <w:r w:rsidR="005977B2" w:rsidRPr="00606E51">
        <w:rPr>
          <w:rFonts w:eastAsia="Times New Roman"/>
          <w:lang w:val="es-CO"/>
        </w:rPr>
        <w:t xml:space="preserve">ambulatoria </w:t>
      </w:r>
      <w:r w:rsidR="00692D66" w:rsidRPr="00606E51">
        <w:rPr>
          <w:rFonts w:eastAsia="Times New Roman"/>
          <w:lang w:val="es-CO"/>
        </w:rPr>
        <w:t xml:space="preserve">del Lineamiento </w:t>
      </w:r>
      <w:r w:rsidR="005977B2" w:rsidRPr="00606E51">
        <w:rPr>
          <w:rFonts w:eastAsia="Times New Roman"/>
          <w:lang w:val="es-CO"/>
        </w:rPr>
        <w:t>ha</w:t>
      </w:r>
      <w:r w:rsidR="000B2C95" w:rsidRPr="00606E51">
        <w:rPr>
          <w:rFonts w:eastAsia="Times New Roman"/>
          <w:lang w:val="es-CO"/>
        </w:rPr>
        <w:t xml:space="preserve"> generardo </w:t>
      </w:r>
      <w:r w:rsidR="00692D66" w:rsidRPr="00606E51">
        <w:rPr>
          <w:rFonts w:eastAsia="Times New Roman"/>
          <w:lang w:val="es-CO"/>
        </w:rPr>
        <w:t xml:space="preserve">una reducción en el número de niños que son remitidos a manejo intrahospitalario y </w:t>
      </w:r>
      <w:r w:rsidR="000B2C95" w:rsidRPr="00606E51">
        <w:rPr>
          <w:rFonts w:eastAsia="Times New Roman"/>
          <w:lang w:val="es-CO"/>
        </w:rPr>
        <w:t>una reducción en el número de defunciones que causa esta enfermedad</w:t>
      </w:r>
      <w:r w:rsidR="0044080A" w:rsidRPr="00606E51">
        <w:rPr>
          <w:rFonts w:eastAsia="Times New Roman"/>
          <w:lang w:val="es-CO"/>
        </w:rPr>
        <w:t xml:space="preserve"> (ver sección </w:t>
      </w:r>
      <w:r w:rsidR="0044080A" w:rsidRPr="00606E51">
        <w:rPr>
          <w:rFonts w:eastAsia="Times New Roman"/>
          <w:lang w:val="es-CO"/>
        </w:rPr>
        <w:fldChar w:fldCharType="begin"/>
      </w:r>
      <w:r w:rsidR="0044080A" w:rsidRPr="00606E51">
        <w:rPr>
          <w:rFonts w:eastAsia="Times New Roman"/>
          <w:lang w:val="es-CO"/>
        </w:rPr>
        <w:instrText xml:space="preserve"> REF _Ref486358708 \r \h </w:instrText>
      </w:r>
      <w:r w:rsidR="00BA39E0" w:rsidRPr="00606E51">
        <w:rPr>
          <w:rFonts w:eastAsia="Times New Roman"/>
          <w:lang w:val="es-CO"/>
        </w:rPr>
        <w:instrText xml:space="preserve"> \* MERGEFORMAT </w:instrText>
      </w:r>
      <w:r w:rsidR="0044080A" w:rsidRPr="00606E51">
        <w:rPr>
          <w:rFonts w:eastAsia="Times New Roman"/>
          <w:lang w:val="es-CO"/>
        </w:rPr>
      </w:r>
      <w:r w:rsidR="0044080A" w:rsidRPr="00606E51">
        <w:rPr>
          <w:rFonts w:eastAsia="Times New Roman"/>
          <w:lang w:val="es-CO"/>
        </w:rPr>
        <w:fldChar w:fldCharType="separate"/>
      </w:r>
      <w:r w:rsidR="0044080A" w:rsidRPr="00606E51">
        <w:rPr>
          <w:rFonts w:eastAsia="Times New Roman"/>
          <w:lang w:val="es-CO"/>
        </w:rPr>
        <w:t>5.2</w:t>
      </w:r>
      <w:r w:rsidR="0044080A" w:rsidRPr="00606E51">
        <w:rPr>
          <w:rFonts w:eastAsia="Times New Roman"/>
          <w:lang w:val="es-CO"/>
        </w:rPr>
        <w:fldChar w:fldCharType="end"/>
      </w:r>
      <w:r w:rsidR="000B2C95" w:rsidRPr="00606E51">
        <w:rPr>
          <w:rFonts w:eastAsia="Times New Roman"/>
          <w:lang w:val="es-CO"/>
        </w:rPr>
        <w:t>.</w:t>
      </w:r>
      <w:r w:rsidR="00BA39E0" w:rsidRPr="00606E51">
        <w:rPr>
          <w:rFonts w:eastAsia="Times New Roman"/>
          <w:lang w:val="es-CO"/>
        </w:rPr>
        <w:t xml:space="preserve">, </w:t>
      </w:r>
      <w:r w:rsidR="00BA39E0" w:rsidRPr="00606E51">
        <w:rPr>
          <w:rFonts w:eastAsia="Times New Roman"/>
          <w:lang w:val="es-CO"/>
        </w:rPr>
        <w:fldChar w:fldCharType="begin"/>
      </w:r>
      <w:r w:rsidR="00BA39E0" w:rsidRPr="00606E51">
        <w:rPr>
          <w:rFonts w:eastAsia="Times New Roman"/>
          <w:lang w:val="es-CO"/>
        </w:rPr>
        <w:instrText xml:space="preserve"> REF _Ref477945659 \h  \* MERGEFORMAT </w:instrText>
      </w:r>
      <w:r w:rsidR="00BA39E0" w:rsidRPr="00606E51">
        <w:rPr>
          <w:rFonts w:eastAsia="Times New Roman"/>
          <w:lang w:val="es-CO"/>
        </w:rPr>
      </w:r>
      <w:r w:rsidR="00BA39E0" w:rsidRPr="00606E51">
        <w:rPr>
          <w:rFonts w:eastAsia="Times New Roman"/>
          <w:lang w:val="es-CO"/>
        </w:rPr>
        <w:fldChar w:fldCharType="separate"/>
      </w:r>
      <w:r w:rsidR="00BA39E0" w:rsidRPr="00606E51">
        <w:rPr>
          <w:bCs/>
          <w:lang w:val="es-CO"/>
        </w:rPr>
        <w:t>Cuadro 4</w:t>
      </w:r>
      <w:r w:rsidR="00BA39E0" w:rsidRPr="00606E51">
        <w:rPr>
          <w:bCs/>
          <w:lang w:val="es-CO"/>
        </w:rPr>
        <w:noBreakHyphen/>
        <w:t>7</w:t>
      </w:r>
      <w:r w:rsidR="00BA39E0" w:rsidRPr="00606E51">
        <w:rPr>
          <w:rFonts w:eastAsia="Times New Roman"/>
          <w:lang w:val="es-CO"/>
        </w:rPr>
        <w:fldChar w:fldCharType="end"/>
      </w:r>
      <w:r w:rsidR="00BA39E0" w:rsidRPr="00606E51">
        <w:rPr>
          <w:rFonts w:eastAsia="Times New Roman"/>
          <w:lang w:val="es-CO"/>
        </w:rPr>
        <w:t xml:space="preserve"> y anexo </w:t>
      </w:r>
      <w:r w:rsidR="00BA39E0" w:rsidRPr="00606E51">
        <w:rPr>
          <w:rFonts w:eastAsia="Times New Roman"/>
          <w:lang w:val="es-CO"/>
        </w:rPr>
        <w:fldChar w:fldCharType="begin"/>
      </w:r>
      <w:r w:rsidR="00BA39E0" w:rsidRPr="00606E51">
        <w:rPr>
          <w:rFonts w:eastAsia="Times New Roman"/>
          <w:lang w:val="es-CO"/>
        </w:rPr>
        <w:instrText xml:space="preserve"> REF _Ref486287987 \r \h  \* MERGEFORMAT </w:instrText>
      </w:r>
      <w:r w:rsidR="00BA39E0" w:rsidRPr="00606E51">
        <w:rPr>
          <w:rFonts w:eastAsia="Times New Roman"/>
          <w:lang w:val="es-CO"/>
        </w:rPr>
      </w:r>
      <w:r w:rsidR="00BA39E0" w:rsidRPr="00606E51">
        <w:rPr>
          <w:rFonts w:eastAsia="Times New Roman"/>
          <w:lang w:val="es-CO"/>
        </w:rPr>
        <w:fldChar w:fldCharType="separate"/>
      </w:r>
      <w:r w:rsidR="00BA39E0" w:rsidRPr="00606E51">
        <w:rPr>
          <w:rFonts w:eastAsia="Times New Roman"/>
          <w:lang w:val="es-CO"/>
        </w:rPr>
        <w:t>8.5</w:t>
      </w:r>
      <w:r w:rsidR="00BA39E0" w:rsidRPr="00606E51">
        <w:rPr>
          <w:rFonts w:eastAsia="Times New Roman"/>
          <w:lang w:val="es-CO"/>
        </w:rPr>
        <w:fldChar w:fldCharType="end"/>
      </w:r>
      <w:r w:rsidR="0044080A" w:rsidRPr="00606E51">
        <w:rPr>
          <w:rFonts w:eastAsia="Times New Roman"/>
          <w:lang w:val="es-CO"/>
        </w:rPr>
        <w:t xml:space="preserve">). </w:t>
      </w:r>
      <w:r w:rsidR="005977B2" w:rsidRPr="00606E51">
        <w:rPr>
          <w:rFonts w:eastAsia="Times New Roman"/>
          <w:lang w:val="es-CO"/>
        </w:rPr>
        <w:t xml:space="preserve">Estos resultados muestran que la FTLPC no tiene barreras culturales significativas dado los datos </w:t>
      </w:r>
      <w:r w:rsidR="00914BC7" w:rsidRPr="00606E51">
        <w:rPr>
          <w:rFonts w:eastAsia="Times New Roman"/>
          <w:lang w:val="es-CO"/>
        </w:rPr>
        <w:t xml:space="preserve">observados </w:t>
      </w:r>
      <w:r w:rsidR="005977B2" w:rsidRPr="00606E51">
        <w:rPr>
          <w:rFonts w:eastAsia="Times New Roman"/>
          <w:lang w:val="es-CO"/>
        </w:rPr>
        <w:t>de mejora y recuperación de los niños tratados ambulatoriamente y atendidos por los cuidadores en las rancherías de las zonas rurales dispersas</w:t>
      </w:r>
      <w:r w:rsidR="005C36EF" w:rsidRPr="00606E51">
        <w:rPr>
          <w:rFonts w:eastAsia="Times New Roman"/>
          <w:lang w:val="es-CO"/>
        </w:rPr>
        <w:t xml:space="preserve"> (ver sección </w:t>
      </w:r>
      <w:r w:rsidR="005C36EF" w:rsidRPr="00606E51">
        <w:rPr>
          <w:rFonts w:eastAsia="Times New Roman"/>
          <w:lang w:val="es-CO"/>
        </w:rPr>
        <w:fldChar w:fldCharType="begin"/>
      </w:r>
      <w:r w:rsidR="005C36EF" w:rsidRPr="00606E51">
        <w:rPr>
          <w:rFonts w:eastAsia="Times New Roman"/>
          <w:lang w:val="es-CO"/>
        </w:rPr>
        <w:instrText xml:space="preserve"> REF _Ref486358708 \r \h  \* MERGEFORMAT </w:instrText>
      </w:r>
      <w:r w:rsidR="005C36EF" w:rsidRPr="00606E51">
        <w:rPr>
          <w:rFonts w:eastAsia="Times New Roman"/>
          <w:lang w:val="es-CO"/>
        </w:rPr>
      </w:r>
      <w:r w:rsidR="005C36EF" w:rsidRPr="00606E51">
        <w:rPr>
          <w:rFonts w:eastAsia="Times New Roman"/>
          <w:lang w:val="es-CO"/>
        </w:rPr>
        <w:fldChar w:fldCharType="separate"/>
      </w:r>
      <w:r w:rsidR="005C36EF" w:rsidRPr="00606E51">
        <w:rPr>
          <w:rFonts w:eastAsia="Times New Roman"/>
          <w:lang w:val="es-CO"/>
        </w:rPr>
        <w:t>5.2</w:t>
      </w:r>
      <w:r w:rsidR="005C36EF" w:rsidRPr="00606E51">
        <w:rPr>
          <w:rFonts w:eastAsia="Times New Roman"/>
          <w:lang w:val="es-CO"/>
        </w:rPr>
        <w:fldChar w:fldCharType="end"/>
      </w:r>
      <w:r w:rsidR="005C36EF" w:rsidRPr="00606E51">
        <w:rPr>
          <w:rFonts w:eastAsia="Times New Roman"/>
          <w:lang w:val="es-CO"/>
        </w:rPr>
        <w:t xml:space="preserve">., </w:t>
      </w:r>
      <w:r w:rsidR="005C36EF" w:rsidRPr="00606E51">
        <w:rPr>
          <w:rFonts w:eastAsia="Times New Roman"/>
          <w:lang w:val="es-CO"/>
        </w:rPr>
        <w:fldChar w:fldCharType="begin"/>
      </w:r>
      <w:r w:rsidR="005C36EF" w:rsidRPr="00606E51">
        <w:rPr>
          <w:rFonts w:eastAsia="Times New Roman"/>
          <w:lang w:val="es-CO"/>
        </w:rPr>
        <w:instrText xml:space="preserve"> REF _Ref477945659 \h  \* MERGEFORMAT </w:instrText>
      </w:r>
      <w:r w:rsidR="005C36EF" w:rsidRPr="00606E51">
        <w:rPr>
          <w:rFonts w:eastAsia="Times New Roman"/>
          <w:lang w:val="es-CO"/>
        </w:rPr>
      </w:r>
      <w:r w:rsidR="005C36EF" w:rsidRPr="00606E51">
        <w:rPr>
          <w:rFonts w:eastAsia="Times New Roman"/>
          <w:lang w:val="es-CO"/>
        </w:rPr>
        <w:fldChar w:fldCharType="separate"/>
      </w:r>
      <w:r w:rsidR="005C36EF" w:rsidRPr="00606E51">
        <w:rPr>
          <w:bCs/>
          <w:lang w:val="es-CO"/>
        </w:rPr>
        <w:t>Cuadro 4</w:t>
      </w:r>
      <w:r w:rsidR="005C36EF" w:rsidRPr="00606E51">
        <w:rPr>
          <w:bCs/>
          <w:lang w:val="es-CO"/>
        </w:rPr>
        <w:noBreakHyphen/>
        <w:t>7</w:t>
      </w:r>
      <w:r w:rsidR="005C36EF" w:rsidRPr="00606E51">
        <w:rPr>
          <w:rFonts w:eastAsia="Times New Roman"/>
          <w:lang w:val="es-CO"/>
        </w:rPr>
        <w:fldChar w:fldCharType="end"/>
      </w:r>
      <w:r w:rsidR="005C36EF" w:rsidRPr="00606E51">
        <w:rPr>
          <w:rFonts w:eastAsia="Times New Roman"/>
          <w:lang w:val="es-CO"/>
        </w:rPr>
        <w:t xml:space="preserve"> y anexo </w:t>
      </w:r>
      <w:r w:rsidR="005C36EF" w:rsidRPr="00606E51">
        <w:rPr>
          <w:rFonts w:eastAsia="Times New Roman"/>
          <w:lang w:val="es-CO"/>
        </w:rPr>
        <w:fldChar w:fldCharType="begin"/>
      </w:r>
      <w:r w:rsidR="005C36EF" w:rsidRPr="00606E51">
        <w:rPr>
          <w:rFonts w:eastAsia="Times New Roman"/>
          <w:lang w:val="es-CO"/>
        </w:rPr>
        <w:instrText xml:space="preserve"> REF _Ref486287987 \r \h  \* MERGEFORMAT </w:instrText>
      </w:r>
      <w:r w:rsidR="005C36EF" w:rsidRPr="00606E51">
        <w:rPr>
          <w:rFonts w:eastAsia="Times New Roman"/>
          <w:lang w:val="es-CO"/>
        </w:rPr>
      </w:r>
      <w:r w:rsidR="005C36EF" w:rsidRPr="00606E51">
        <w:rPr>
          <w:rFonts w:eastAsia="Times New Roman"/>
          <w:lang w:val="es-CO"/>
        </w:rPr>
        <w:fldChar w:fldCharType="separate"/>
      </w:r>
      <w:r w:rsidR="005C36EF" w:rsidRPr="00606E51">
        <w:rPr>
          <w:rFonts w:eastAsia="Times New Roman"/>
          <w:lang w:val="es-CO"/>
        </w:rPr>
        <w:t>8.5</w:t>
      </w:r>
      <w:r w:rsidR="005C36EF" w:rsidRPr="00606E51">
        <w:rPr>
          <w:rFonts w:eastAsia="Times New Roman"/>
          <w:lang w:val="es-CO"/>
        </w:rPr>
        <w:fldChar w:fldCharType="end"/>
      </w:r>
      <w:r w:rsidR="005C36EF" w:rsidRPr="00606E51">
        <w:rPr>
          <w:rFonts w:eastAsia="Times New Roman"/>
          <w:lang w:val="es-CO"/>
        </w:rPr>
        <w:t>)</w:t>
      </w:r>
      <w:r w:rsidR="00914BC7" w:rsidRPr="00606E51">
        <w:rPr>
          <w:rFonts w:eastAsia="Times New Roman"/>
          <w:lang w:val="es-CO"/>
        </w:rPr>
        <w:t>.</w:t>
      </w:r>
      <w:r w:rsidR="005977B2" w:rsidRPr="00606E51">
        <w:rPr>
          <w:rFonts w:eastAsia="Times New Roman"/>
          <w:lang w:val="es-CO"/>
        </w:rPr>
        <w:t xml:space="preserve"> </w:t>
      </w:r>
    </w:p>
    <w:p w14:paraId="465ECF21" w14:textId="77777777" w:rsidR="00BA39E0" w:rsidRPr="00606E51" w:rsidRDefault="00BA39E0" w:rsidP="00211A43">
      <w:pPr>
        <w:jc w:val="both"/>
        <w:rPr>
          <w:rFonts w:eastAsia="Times New Roman"/>
          <w:lang w:val="es-CO"/>
        </w:rPr>
      </w:pPr>
    </w:p>
    <w:p w14:paraId="3E3D0546" w14:textId="77777777" w:rsidR="008A5F77" w:rsidRPr="00606E51" w:rsidRDefault="00BA39E0" w:rsidP="00211A43">
      <w:pPr>
        <w:jc w:val="both"/>
        <w:rPr>
          <w:rFonts w:eastAsia="Times New Roman"/>
          <w:lang w:val="es-CO"/>
        </w:rPr>
      </w:pPr>
      <w:r w:rsidRPr="00606E51">
        <w:rPr>
          <w:rFonts w:eastAsia="Times New Roman"/>
          <w:lang w:val="es-CO"/>
        </w:rPr>
        <w:t xml:space="preserve">Por otra parte, las entrevistas semi-estructuradas a los funcionarios de las ESE </w:t>
      </w:r>
      <w:r w:rsidR="00E3570A" w:rsidRPr="00606E51">
        <w:rPr>
          <w:rFonts w:eastAsia="Times New Roman"/>
          <w:lang w:val="es-CO"/>
        </w:rPr>
        <w:t xml:space="preserve">que tuvieron contratos con el MSPS para implementar el Programa </w:t>
      </w:r>
      <w:r w:rsidRPr="00606E51">
        <w:rPr>
          <w:rFonts w:eastAsia="Times New Roman"/>
          <w:lang w:val="es-CO"/>
        </w:rPr>
        <w:t xml:space="preserve">informan que </w:t>
      </w:r>
      <w:r w:rsidR="00AE57FF" w:rsidRPr="00606E51">
        <w:rPr>
          <w:rFonts w:eastAsia="Times New Roman"/>
          <w:lang w:val="es-CO"/>
        </w:rPr>
        <w:t xml:space="preserve">la estructura de profesionales contratados en los equipos extramurales es la adecuada para </w:t>
      </w:r>
      <w:r w:rsidR="00983152" w:rsidRPr="00606E51">
        <w:rPr>
          <w:rFonts w:eastAsia="Times New Roman"/>
          <w:lang w:val="es-CO"/>
        </w:rPr>
        <w:t xml:space="preserve">realizar </w:t>
      </w:r>
      <w:r w:rsidR="00AE57FF" w:rsidRPr="00606E51">
        <w:rPr>
          <w:rFonts w:eastAsia="Times New Roman"/>
          <w:lang w:val="es-CO"/>
        </w:rPr>
        <w:t>el diagnóstico</w:t>
      </w:r>
      <w:r w:rsidR="00983152" w:rsidRPr="00606E51">
        <w:rPr>
          <w:rFonts w:eastAsia="Times New Roman"/>
          <w:lang w:val="es-CO"/>
        </w:rPr>
        <w:t xml:space="preserve"> correcto a los niños</w:t>
      </w:r>
      <w:r w:rsidR="00AE57FF" w:rsidRPr="00606E51">
        <w:rPr>
          <w:rFonts w:eastAsia="Times New Roman"/>
          <w:lang w:val="es-CO"/>
        </w:rPr>
        <w:t>, para dar instrucciones a los cuidadores y para gestionar el respaldo de los líderes y autoridades de la población que habita las zonas rurales dispers</w:t>
      </w:r>
      <w:r w:rsidR="00E3570A" w:rsidRPr="00606E51">
        <w:rPr>
          <w:rFonts w:eastAsia="Times New Roman"/>
          <w:lang w:val="es-CO"/>
        </w:rPr>
        <w:t xml:space="preserve">as de los municipios evaluados (ver anexo </w:t>
      </w:r>
      <w:r w:rsidR="00E3570A" w:rsidRPr="00606E51">
        <w:rPr>
          <w:rFonts w:eastAsia="Times New Roman"/>
          <w:lang w:val="es-CO"/>
        </w:rPr>
        <w:fldChar w:fldCharType="begin"/>
      </w:r>
      <w:r w:rsidR="00E3570A" w:rsidRPr="00606E51">
        <w:rPr>
          <w:rFonts w:eastAsia="Times New Roman"/>
          <w:lang w:val="es-CO"/>
        </w:rPr>
        <w:instrText xml:space="preserve"> REF _Ref485186282 \r \h </w:instrText>
      </w:r>
      <w:r w:rsidR="00E3570A" w:rsidRPr="00606E51">
        <w:rPr>
          <w:rFonts w:eastAsia="Times New Roman"/>
          <w:lang w:val="es-CO"/>
        </w:rPr>
      </w:r>
      <w:r w:rsidR="00E3570A" w:rsidRPr="00606E51">
        <w:rPr>
          <w:rFonts w:eastAsia="Times New Roman"/>
          <w:lang w:val="es-CO"/>
        </w:rPr>
        <w:fldChar w:fldCharType="separate"/>
      </w:r>
      <w:r w:rsidR="00E3570A" w:rsidRPr="00606E51">
        <w:rPr>
          <w:rFonts w:eastAsia="Times New Roman"/>
          <w:lang w:val="es-CO"/>
        </w:rPr>
        <w:t>8.3</w:t>
      </w:r>
      <w:r w:rsidR="00E3570A" w:rsidRPr="00606E51">
        <w:rPr>
          <w:rFonts w:eastAsia="Times New Roman"/>
          <w:lang w:val="es-CO"/>
        </w:rPr>
        <w:fldChar w:fldCharType="end"/>
      </w:r>
      <w:r w:rsidR="00E3570A" w:rsidRPr="00606E51">
        <w:rPr>
          <w:rFonts w:eastAsia="Times New Roman"/>
          <w:lang w:val="es-CO"/>
        </w:rPr>
        <w:t xml:space="preserve"> que contiene el </w:t>
      </w:r>
      <w:r w:rsidR="00E3570A" w:rsidRPr="00606E51">
        <w:rPr>
          <w:rFonts w:eastAsia="Times New Roman"/>
          <w:lang w:val="es-CO"/>
        </w:rPr>
        <w:fldChar w:fldCharType="begin"/>
      </w:r>
      <w:r w:rsidR="00E3570A" w:rsidRPr="00606E51">
        <w:rPr>
          <w:rFonts w:eastAsia="Times New Roman"/>
          <w:lang w:val="es-CO"/>
        </w:rPr>
        <w:instrText xml:space="preserve"> REF _Ref485186282 \h </w:instrText>
      </w:r>
      <w:r w:rsidR="00E3570A" w:rsidRPr="00606E51">
        <w:rPr>
          <w:rFonts w:eastAsia="Times New Roman"/>
          <w:lang w:val="es-CO"/>
        </w:rPr>
      </w:r>
      <w:r w:rsidR="00E3570A" w:rsidRPr="00606E51">
        <w:rPr>
          <w:rFonts w:eastAsia="Times New Roman"/>
          <w:lang w:val="es-CO"/>
        </w:rPr>
        <w:fldChar w:fldCharType="separate"/>
      </w:r>
      <w:r w:rsidR="00E3570A" w:rsidRPr="00606E51">
        <w:rPr>
          <w:lang w:val="es-CO"/>
        </w:rPr>
        <w:t>Informe de salida de campo</w:t>
      </w:r>
      <w:r w:rsidR="00E3570A" w:rsidRPr="00606E51">
        <w:rPr>
          <w:rFonts w:eastAsia="Times New Roman"/>
          <w:lang w:val="es-CO"/>
        </w:rPr>
        <w:fldChar w:fldCharType="end"/>
      </w:r>
      <w:r w:rsidR="00B30180" w:rsidRPr="00606E51">
        <w:rPr>
          <w:rFonts w:eastAsia="Times New Roman"/>
          <w:lang w:val="es-CO"/>
        </w:rPr>
        <w:t>, en particular el resumen de las entrevistas de las ESE para la gestión y los recursos reportados para implementar el lineamiento</w:t>
      </w:r>
      <w:r w:rsidR="00E3570A" w:rsidRPr="00606E51">
        <w:rPr>
          <w:rFonts w:eastAsia="Times New Roman"/>
          <w:lang w:val="es-CO"/>
        </w:rPr>
        <w:t>).</w:t>
      </w:r>
    </w:p>
    <w:p w14:paraId="46001191" w14:textId="77777777" w:rsidR="00914BC7" w:rsidRPr="00606E51" w:rsidRDefault="00914BC7" w:rsidP="00211A43">
      <w:pPr>
        <w:jc w:val="both"/>
        <w:rPr>
          <w:rFonts w:eastAsia="Times New Roman"/>
          <w:lang w:val="es-CO"/>
        </w:rPr>
      </w:pPr>
    </w:p>
    <w:p w14:paraId="0BAEB7ED" w14:textId="77777777" w:rsidR="009C4900" w:rsidRPr="00606E51" w:rsidRDefault="00062739" w:rsidP="00BB1D7B">
      <w:pPr>
        <w:pStyle w:val="ListParagraph"/>
        <w:numPr>
          <w:ilvl w:val="0"/>
          <w:numId w:val="22"/>
        </w:numPr>
        <w:jc w:val="both"/>
        <w:rPr>
          <w:rFonts w:eastAsia="Times New Roman"/>
          <w:b/>
          <w:lang w:val="es-CO"/>
        </w:rPr>
      </w:pPr>
      <w:r w:rsidRPr="00606E51">
        <w:rPr>
          <w:rFonts w:eastAsia="Times New Roman"/>
          <w:b/>
          <w:lang w:val="es-CO"/>
        </w:rPr>
        <w:t>El Lineamie</w:t>
      </w:r>
      <w:r w:rsidR="005C36EF" w:rsidRPr="00606E51">
        <w:rPr>
          <w:rFonts w:eastAsia="Times New Roman"/>
          <w:b/>
          <w:lang w:val="es-CO"/>
        </w:rPr>
        <w:t xml:space="preserve">nto tiene una </w:t>
      </w:r>
      <w:r w:rsidR="005C36EF" w:rsidRPr="00EF36E9">
        <w:rPr>
          <w:rFonts w:eastAsia="Times New Roman"/>
          <w:b/>
          <w:lang w:val="es-CO"/>
        </w:rPr>
        <w:t>adherencia incompleta</w:t>
      </w:r>
      <w:r w:rsidRPr="00EF36E9">
        <w:rPr>
          <w:rFonts w:eastAsia="Times New Roman"/>
          <w:b/>
          <w:lang w:val="es-CO"/>
        </w:rPr>
        <w:t xml:space="preserve"> entre los prestadores de salud </w:t>
      </w:r>
      <w:r w:rsidR="00B30180" w:rsidRPr="00EF36E9">
        <w:rPr>
          <w:rFonts w:eastAsia="Times New Roman"/>
          <w:b/>
          <w:lang w:val="es-CO"/>
        </w:rPr>
        <w:t xml:space="preserve">y </w:t>
      </w:r>
      <w:r w:rsidRPr="00EF36E9">
        <w:rPr>
          <w:rFonts w:eastAsia="Times New Roman"/>
          <w:b/>
          <w:lang w:val="es-CO"/>
        </w:rPr>
        <w:t xml:space="preserve">los cuidadores </w:t>
      </w:r>
      <w:r w:rsidR="005C36EF" w:rsidRPr="00EF36E9">
        <w:rPr>
          <w:rFonts w:eastAsia="Times New Roman"/>
          <w:b/>
          <w:lang w:val="es-CO"/>
        </w:rPr>
        <w:t>de los niños diagnosticados con desnutrición</w:t>
      </w:r>
      <w:r w:rsidR="005C36EF" w:rsidRPr="00606E51">
        <w:rPr>
          <w:rFonts w:eastAsia="Times New Roman"/>
          <w:b/>
          <w:lang w:val="es-CO"/>
        </w:rPr>
        <w:t xml:space="preserve"> aguda </w:t>
      </w:r>
      <w:r w:rsidRPr="00606E51">
        <w:rPr>
          <w:rFonts w:eastAsia="Times New Roman"/>
          <w:b/>
          <w:lang w:val="es-CO"/>
        </w:rPr>
        <w:t xml:space="preserve">que son </w:t>
      </w:r>
      <w:r w:rsidR="00076932" w:rsidRPr="00606E51">
        <w:rPr>
          <w:rFonts w:eastAsia="Times New Roman"/>
          <w:b/>
          <w:lang w:val="es-CO"/>
        </w:rPr>
        <w:t xml:space="preserve">atendidos por las </w:t>
      </w:r>
      <w:r w:rsidR="005C36EF" w:rsidRPr="00606E51">
        <w:rPr>
          <w:rFonts w:eastAsia="Times New Roman"/>
          <w:b/>
          <w:lang w:val="es-CO"/>
        </w:rPr>
        <w:t>EAPB y su red prestadora en</w:t>
      </w:r>
      <w:r w:rsidR="00076932" w:rsidRPr="00606E51">
        <w:rPr>
          <w:rFonts w:eastAsia="Times New Roman"/>
          <w:b/>
          <w:lang w:val="es-CO"/>
        </w:rPr>
        <w:t xml:space="preserve"> las zonas urbanas y rurales de los municipios objeto de esta evaluación.</w:t>
      </w:r>
    </w:p>
    <w:p w14:paraId="48D2C72E" w14:textId="77777777" w:rsidR="00076932" w:rsidRPr="00606E51" w:rsidRDefault="00076932" w:rsidP="00076932">
      <w:pPr>
        <w:jc w:val="both"/>
        <w:rPr>
          <w:rFonts w:eastAsia="Times New Roman"/>
          <w:b/>
          <w:lang w:val="es-CO"/>
        </w:rPr>
      </w:pPr>
    </w:p>
    <w:p w14:paraId="592FFF82" w14:textId="77777777" w:rsidR="0057654C" w:rsidRPr="00606E51" w:rsidRDefault="003C14B6" w:rsidP="00076932">
      <w:pPr>
        <w:jc w:val="both"/>
        <w:rPr>
          <w:rFonts w:eastAsia="Times New Roman"/>
          <w:lang w:val="es-CO"/>
        </w:rPr>
      </w:pPr>
      <w:r w:rsidRPr="00606E51">
        <w:rPr>
          <w:rFonts w:eastAsia="Times New Roman"/>
          <w:lang w:val="es-CO"/>
        </w:rPr>
        <w:t>Aunque</w:t>
      </w:r>
      <w:r w:rsidR="005C4797" w:rsidRPr="00606E51">
        <w:rPr>
          <w:rFonts w:eastAsia="Times New Roman"/>
          <w:lang w:val="es-CO"/>
        </w:rPr>
        <w:t>,</w:t>
      </w:r>
      <w:r w:rsidRPr="00606E51">
        <w:rPr>
          <w:rFonts w:eastAsia="Times New Roman"/>
          <w:lang w:val="es-CO"/>
        </w:rPr>
        <w:t xml:space="preserve"> como se informa en la </w:t>
      </w:r>
      <w:r w:rsidR="001A507A" w:rsidRPr="00606E51">
        <w:rPr>
          <w:rFonts w:eastAsia="Times New Roman"/>
          <w:lang w:val="es-CO"/>
        </w:rPr>
        <w:t>sección</w:t>
      </w:r>
      <w:r w:rsidR="0057654C" w:rsidRPr="00606E51">
        <w:rPr>
          <w:rFonts w:eastAsia="Times New Roman"/>
          <w:lang w:val="es-CO"/>
        </w:rPr>
        <w:t xml:space="preserve"> </w:t>
      </w:r>
      <w:r w:rsidR="0057654C" w:rsidRPr="00606E51">
        <w:rPr>
          <w:rFonts w:eastAsia="Times New Roman"/>
          <w:lang w:val="es-CO"/>
        </w:rPr>
        <w:fldChar w:fldCharType="begin"/>
      </w:r>
      <w:r w:rsidR="0057654C" w:rsidRPr="00606E51">
        <w:rPr>
          <w:rFonts w:eastAsia="Times New Roman"/>
          <w:lang w:val="es-CO"/>
        </w:rPr>
        <w:instrText xml:space="preserve"> REF _Ref486288792 \r \h </w:instrText>
      </w:r>
      <w:r w:rsidR="0057654C" w:rsidRPr="00606E51">
        <w:rPr>
          <w:rFonts w:eastAsia="Times New Roman"/>
          <w:lang w:val="es-CO"/>
        </w:rPr>
      </w:r>
      <w:r w:rsidR="0057654C" w:rsidRPr="00606E51">
        <w:rPr>
          <w:rFonts w:eastAsia="Times New Roman"/>
          <w:lang w:val="es-CO"/>
        </w:rPr>
        <w:fldChar w:fldCharType="separate"/>
      </w:r>
      <w:r w:rsidR="0057654C" w:rsidRPr="00606E51">
        <w:rPr>
          <w:rFonts w:eastAsia="Times New Roman"/>
          <w:lang w:val="es-CO"/>
        </w:rPr>
        <w:t>4.2</w:t>
      </w:r>
      <w:r w:rsidR="0057654C" w:rsidRPr="00606E51">
        <w:rPr>
          <w:rFonts w:eastAsia="Times New Roman"/>
          <w:lang w:val="es-CO"/>
        </w:rPr>
        <w:fldChar w:fldCharType="end"/>
      </w:r>
      <w:r w:rsidR="001A507A" w:rsidRPr="00606E51">
        <w:rPr>
          <w:rFonts w:eastAsia="Times New Roman"/>
          <w:lang w:val="es-CO"/>
        </w:rPr>
        <w:t>,</w:t>
      </w:r>
      <w:r w:rsidR="006E6EB6" w:rsidRPr="00606E51">
        <w:rPr>
          <w:rFonts w:eastAsia="Times New Roman"/>
          <w:lang w:val="es-CO"/>
        </w:rPr>
        <w:t xml:space="preserve"> </w:t>
      </w:r>
      <w:r w:rsidR="00AA0226" w:rsidRPr="00606E51">
        <w:rPr>
          <w:rFonts w:eastAsia="Times New Roman"/>
          <w:lang w:val="es-CO"/>
        </w:rPr>
        <w:t xml:space="preserve">no se pudo obtener los datos de efectividad de la atención de los prestadores </w:t>
      </w:r>
      <w:r w:rsidR="005C4797" w:rsidRPr="00606E51">
        <w:rPr>
          <w:rFonts w:eastAsia="Times New Roman"/>
          <w:lang w:val="es-CO"/>
        </w:rPr>
        <w:t xml:space="preserve">distintos a las ESE contratadas por el MSPS para implementar el Programa, la observación en campo, las entrevistas semi-estructuradas y los grupos de discusión dirigida permitieron evidenciar </w:t>
      </w:r>
      <w:r w:rsidR="006B4C54" w:rsidRPr="00606E51">
        <w:rPr>
          <w:rFonts w:eastAsia="Times New Roman"/>
          <w:lang w:val="es-CO"/>
        </w:rPr>
        <w:t>que los profesionales de salud</w:t>
      </w:r>
      <w:r w:rsidR="004A6770" w:rsidRPr="00606E51">
        <w:rPr>
          <w:rFonts w:eastAsia="Times New Roman"/>
          <w:lang w:val="es-CO"/>
        </w:rPr>
        <w:t xml:space="preserve"> que pertenecen a las EPS que funcionan en</w:t>
      </w:r>
      <w:r w:rsidR="000F09E4" w:rsidRPr="00606E51">
        <w:rPr>
          <w:rFonts w:eastAsia="Times New Roman"/>
          <w:lang w:val="es-CO"/>
        </w:rPr>
        <w:t xml:space="preserve"> las zonas urbanas</w:t>
      </w:r>
      <w:r w:rsidR="006B4C54" w:rsidRPr="00606E51">
        <w:rPr>
          <w:rFonts w:eastAsia="Times New Roman"/>
          <w:lang w:val="es-CO"/>
        </w:rPr>
        <w:t xml:space="preserve"> no conocen detalladamente el protocolo para aplicar el Lineamiento</w:t>
      </w:r>
      <w:r w:rsidR="007A0713" w:rsidRPr="00606E51">
        <w:rPr>
          <w:rFonts w:eastAsia="Times New Roman"/>
          <w:lang w:val="es-CO"/>
        </w:rPr>
        <w:t xml:space="preserve"> (</w:t>
      </w:r>
      <w:r w:rsidR="0064364C" w:rsidRPr="00606E51">
        <w:rPr>
          <w:rFonts w:eastAsia="Times New Roman"/>
          <w:lang w:val="es-CO"/>
        </w:rPr>
        <w:t xml:space="preserve">ver anexo </w:t>
      </w:r>
      <w:r w:rsidR="0064364C" w:rsidRPr="00606E51">
        <w:rPr>
          <w:rFonts w:eastAsia="Times New Roman"/>
          <w:lang w:val="es-CO"/>
        </w:rPr>
        <w:fldChar w:fldCharType="begin"/>
      </w:r>
      <w:r w:rsidR="0064364C" w:rsidRPr="00606E51">
        <w:rPr>
          <w:rFonts w:eastAsia="Times New Roman"/>
          <w:lang w:val="es-CO"/>
        </w:rPr>
        <w:instrText xml:space="preserve"> REF _Ref485186282 \r \h </w:instrText>
      </w:r>
      <w:r w:rsidR="0064364C" w:rsidRPr="00606E51">
        <w:rPr>
          <w:rFonts w:eastAsia="Times New Roman"/>
          <w:lang w:val="es-CO"/>
        </w:rPr>
      </w:r>
      <w:r w:rsidR="0064364C" w:rsidRPr="00606E51">
        <w:rPr>
          <w:rFonts w:eastAsia="Times New Roman"/>
          <w:lang w:val="es-CO"/>
        </w:rPr>
        <w:fldChar w:fldCharType="separate"/>
      </w:r>
      <w:r w:rsidR="0064364C" w:rsidRPr="00606E51">
        <w:rPr>
          <w:rFonts w:eastAsia="Times New Roman"/>
          <w:lang w:val="es-CO"/>
        </w:rPr>
        <w:t>8.3</w:t>
      </w:r>
      <w:r w:rsidR="0064364C" w:rsidRPr="00606E51">
        <w:rPr>
          <w:rFonts w:eastAsia="Times New Roman"/>
          <w:lang w:val="es-CO"/>
        </w:rPr>
        <w:fldChar w:fldCharType="end"/>
      </w:r>
      <w:r w:rsidR="0064364C" w:rsidRPr="00606E51">
        <w:rPr>
          <w:rFonts w:eastAsia="Times New Roman"/>
          <w:lang w:val="es-CO"/>
        </w:rPr>
        <w:t>)</w:t>
      </w:r>
      <w:r w:rsidR="006B4C54" w:rsidRPr="00606E51">
        <w:rPr>
          <w:rFonts w:eastAsia="Times New Roman"/>
          <w:lang w:val="es-CO"/>
        </w:rPr>
        <w:t>.</w:t>
      </w:r>
      <w:r w:rsidR="000F09E4" w:rsidRPr="00606E51">
        <w:rPr>
          <w:rFonts w:eastAsia="Times New Roman"/>
          <w:lang w:val="es-CO"/>
        </w:rPr>
        <w:t xml:space="preserve"> </w:t>
      </w:r>
      <w:r w:rsidR="00B54CCA" w:rsidRPr="00606E51">
        <w:rPr>
          <w:rFonts w:eastAsia="Times New Roman"/>
          <w:lang w:val="es-CO"/>
        </w:rPr>
        <w:t xml:space="preserve">Otra evidencia de esta conclusión es que el tratamiento ambulatorio no </w:t>
      </w:r>
      <w:r w:rsidR="0064364C" w:rsidRPr="00606E51">
        <w:rPr>
          <w:rFonts w:eastAsia="Times New Roman"/>
          <w:lang w:val="es-CO"/>
        </w:rPr>
        <w:t>esta apropiadamente contratado por las EAPB que operan en la zona y por tanto los seguimientos a los niños y niñas diagnosticados con desnutrición aguda no están garantizados.</w:t>
      </w:r>
    </w:p>
    <w:p w14:paraId="216A093A" w14:textId="77777777" w:rsidR="0057654C" w:rsidRPr="00606E51" w:rsidRDefault="0057654C" w:rsidP="00076932">
      <w:pPr>
        <w:jc w:val="both"/>
        <w:rPr>
          <w:rFonts w:eastAsia="Times New Roman"/>
          <w:lang w:val="es-CO"/>
        </w:rPr>
      </w:pPr>
    </w:p>
    <w:p w14:paraId="7BF0B83B" w14:textId="77777777" w:rsidR="000F09E4" w:rsidRPr="00606E51" w:rsidRDefault="000F09E4" w:rsidP="00076932">
      <w:pPr>
        <w:jc w:val="both"/>
        <w:rPr>
          <w:rFonts w:eastAsia="Times New Roman"/>
          <w:lang w:val="es-CO"/>
        </w:rPr>
      </w:pPr>
      <w:r w:rsidRPr="00606E51">
        <w:rPr>
          <w:rFonts w:eastAsia="Times New Roman"/>
          <w:lang w:val="es-CO"/>
        </w:rPr>
        <w:t>Sin embargo, algunas IPSI que ha recibido capacitación de UNICEF han estructurado equipos extra-murales para la atención ambulatoria. No obstante, estos equipos no tienen los mismos insumos, en términos del equipo de profesionales, con los que cuentan los equipos contratados el MSPS</w:t>
      </w:r>
      <w:r w:rsidR="0064364C" w:rsidRPr="00606E51">
        <w:rPr>
          <w:rFonts w:eastAsia="Times New Roman"/>
          <w:lang w:val="es-CO"/>
        </w:rPr>
        <w:t xml:space="preserve"> (la mejor práctica y el modelo a replicar)</w:t>
      </w:r>
      <w:r w:rsidRPr="00606E51">
        <w:rPr>
          <w:rFonts w:eastAsia="Times New Roman"/>
          <w:lang w:val="es-CO"/>
        </w:rPr>
        <w:t xml:space="preserve">. </w:t>
      </w:r>
    </w:p>
    <w:p w14:paraId="5CD8982F" w14:textId="77777777" w:rsidR="001A507A" w:rsidRPr="00606E51" w:rsidRDefault="001A507A" w:rsidP="00076932">
      <w:pPr>
        <w:jc w:val="both"/>
        <w:rPr>
          <w:rFonts w:eastAsia="Times New Roman"/>
          <w:lang w:val="es-CO"/>
        </w:rPr>
      </w:pPr>
    </w:p>
    <w:p w14:paraId="7C531A83" w14:textId="77777777" w:rsidR="00076932" w:rsidRPr="00606E51" w:rsidRDefault="000F09E4" w:rsidP="00076932">
      <w:pPr>
        <w:jc w:val="both"/>
        <w:rPr>
          <w:rFonts w:eastAsia="Times New Roman"/>
          <w:lang w:val="es-CO"/>
        </w:rPr>
      </w:pPr>
      <w:r w:rsidRPr="00606E51">
        <w:rPr>
          <w:rFonts w:eastAsia="Times New Roman"/>
          <w:lang w:val="es-CO"/>
        </w:rPr>
        <w:t>Por otra parte, en las entrevistas y los grupos de discusión dirigida</w:t>
      </w:r>
      <w:r w:rsidR="0045794C" w:rsidRPr="00606E51">
        <w:rPr>
          <w:rFonts w:eastAsia="Times New Roman"/>
          <w:lang w:val="es-CO"/>
        </w:rPr>
        <w:t>, los prestadores</w:t>
      </w:r>
      <w:r w:rsidRPr="00606E51">
        <w:rPr>
          <w:rFonts w:eastAsia="Times New Roman"/>
          <w:lang w:val="es-CO"/>
        </w:rPr>
        <w:t xml:space="preserve"> informaron q</w:t>
      </w:r>
      <w:r w:rsidR="0045794C" w:rsidRPr="00606E51">
        <w:rPr>
          <w:rFonts w:eastAsia="Times New Roman"/>
          <w:lang w:val="es-CO"/>
        </w:rPr>
        <w:t xml:space="preserve">ue los cuidadores de los niños diagnosticados y no diagnosticados con la enfermedad tenían una </w:t>
      </w:r>
      <w:r w:rsidR="0064364C" w:rsidRPr="00606E51">
        <w:rPr>
          <w:rFonts w:eastAsia="Times New Roman"/>
          <w:lang w:val="es-CO"/>
        </w:rPr>
        <w:t>adherencia parcial al</w:t>
      </w:r>
      <w:r w:rsidR="0045794C" w:rsidRPr="00606E51">
        <w:rPr>
          <w:rFonts w:eastAsia="Times New Roman"/>
          <w:lang w:val="es-CO"/>
        </w:rPr>
        <w:t xml:space="preserve"> Lineamiento. En particular, algunos cuidadores aceptaban el tratamiento después de la intervención del médico tradicional</w:t>
      </w:r>
      <w:r w:rsidR="007D531E" w:rsidRPr="00606E51">
        <w:rPr>
          <w:rFonts w:eastAsia="Times New Roman"/>
          <w:lang w:val="es-CO"/>
        </w:rPr>
        <w:t>, incluso, algunos prestadores sugirieron que era necesario adaptar el Lineamiento para permitir la participación de estos agentes en el tratamiento</w:t>
      </w:r>
      <w:r w:rsidR="0064364C" w:rsidRPr="00606E51">
        <w:rPr>
          <w:rFonts w:eastAsia="Times New Roman"/>
          <w:lang w:val="es-CO"/>
        </w:rPr>
        <w:t xml:space="preserve"> (ver anexo </w:t>
      </w:r>
      <w:r w:rsidR="0064364C" w:rsidRPr="00606E51">
        <w:rPr>
          <w:rFonts w:eastAsia="Times New Roman"/>
          <w:lang w:val="es-CO"/>
        </w:rPr>
        <w:fldChar w:fldCharType="begin"/>
      </w:r>
      <w:r w:rsidR="0064364C" w:rsidRPr="00606E51">
        <w:rPr>
          <w:rFonts w:eastAsia="Times New Roman"/>
          <w:lang w:val="es-CO"/>
        </w:rPr>
        <w:instrText xml:space="preserve"> REF _Ref485186282 \r \h </w:instrText>
      </w:r>
      <w:r w:rsidR="0064364C" w:rsidRPr="00606E51">
        <w:rPr>
          <w:rFonts w:eastAsia="Times New Roman"/>
          <w:lang w:val="es-CO"/>
        </w:rPr>
      </w:r>
      <w:r w:rsidR="0064364C" w:rsidRPr="00606E51">
        <w:rPr>
          <w:rFonts w:eastAsia="Times New Roman"/>
          <w:lang w:val="es-CO"/>
        </w:rPr>
        <w:fldChar w:fldCharType="separate"/>
      </w:r>
      <w:r w:rsidR="0064364C" w:rsidRPr="00606E51">
        <w:rPr>
          <w:rFonts w:eastAsia="Times New Roman"/>
          <w:lang w:val="es-CO"/>
        </w:rPr>
        <w:t>8.3</w:t>
      </w:r>
      <w:r w:rsidR="0064364C" w:rsidRPr="00606E51">
        <w:rPr>
          <w:rFonts w:eastAsia="Times New Roman"/>
          <w:lang w:val="es-CO"/>
        </w:rPr>
        <w:fldChar w:fldCharType="end"/>
      </w:r>
      <w:r w:rsidR="0064364C" w:rsidRPr="00606E51">
        <w:rPr>
          <w:rFonts w:eastAsia="Times New Roman"/>
          <w:lang w:val="es-CO"/>
        </w:rPr>
        <w:t>).</w:t>
      </w:r>
    </w:p>
    <w:p w14:paraId="1B2D12D2" w14:textId="77777777" w:rsidR="007D531E" w:rsidRPr="00606E51" w:rsidRDefault="007D531E" w:rsidP="00076932">
      <w:pPr>
        <w:jc w:val="both"/>
        <w:rPr>
          <w:rFonts w:eastAsia="Times New Roman"/>
          <w:lang w:val="es-CO"/>
        </w:rPr>
      </w:pPr>
    </w:p>
    <w:p w14:paraId="2B37C640" w14:textId="77777777" w:rsidR="0086006A" w:rsidRPr="00606E51" w:rsidRDefault="00D11E36" w:rsidP="00BB1D7B">
      <w:pPr>
        <w:pStyle w:val="ListParagraph"/>
        <w:numPr>
          <w:ilvl w:val="0"/>
          <w:numId w:val="22"/>
        </w:numPr>
        <w:jc w:val="both"/>
        <w:rPr>
          <w:rFonts w:eastAsia="Times New Roman"/>
          <w:b/>
          <w:lang w:val="es-CO"/>
        </w:rPr>
      </w:pPr>
      <w:r w:rsidRPr="00606E51">
        <w:rPr>
          <w:rFonts w:eastAsia="Times New Roman"/>
          <w:b/>
          <w:lang w:val="es-CO"/>
        </w:rPr>
        <w:t>Las ordenes de</w:t>
      </w:r>
      <w:r w:rsidR="0086006A" w:rsidRPr="00606E51">
        <w:rPr>
          <w:rFonts w:eastAsia="Times New Roman"/>
          <w:b/>
          <w:lang w:val="es-CO"/>
        </w:rPr>
        <w:t xml:space="preserve"> </w:t>
      </w:r>
      <w:r w:rsidR="001D61C3" w:rsidRPr="00606E51">
        <w:rPr>
          <w:rFonts w:eastAsia="Times New Roman"/>
          <w:b/>
          <w:lang w:val="es-CO"/>
        </w:rPr>
        <w:t xml:space="preserve">la </w:t>
      </w:r>
      <w:r w:rsidR="0086006A" w:rsidRPr="00606E51">
        <w:rPr>
          <w:rFonts w:eastAsia="Times New Roman"/>
          <w:b/>
          <w:lang w:val="es-CO"/>
        </w:rPr>
        <w:t>Resolución</w:t>
      </w:r>
      <w:r w:rsidRPr="00606E51">
        <w:rPr>
          <w:rFonts w:eastAsia="Times New Roman"/>
          <w:b/>
          <w:lang w:val="es-CO"/>
        </w:rPr>
        <w:t xml:space="preserve"> y </w:t>
      </w:r>
      <w:r w:rsidR="004723A5" w:rsidRPr="00606E51">
        <w:rPr>
          <w:rFonts w:eastAsia="Times New Roman"/>
          <w:b/>
          <w:lang w:val="es-CO"/>
        </w:rPr>
        <w:t xml:space="preserve">los protocolos del </w:t>
      </w:r>
      <w:r w:rsidR="0086006A" w:rsidRPr="00606E51">
        <w:rPr>
          <w:rFonts w:eastAsia="Times New Roman"/>
          <w:b/>
          <w:lang w:val="es-CO"/>
        </w:rPr>
        <w:t>Lineamiento</w:t>
      </w:r>
      <w:r w:rsidRPr="00606E51">
        <w:rPr>
          <w:rFonts w:eastAsia="Times New Roman"/>
          <w:b/>
          <w:lang w:val="es-CO"/>
        </w:rPr>
        <w:t xml:space="preserve"> </w:t>
      </w:r>
      <w:r w:rsidRPr="00EF36E9">
        <w:rPr>
          <w:rFonts w:eastAsia="Times New Roman"/>
          <w:b/>
          <w:lang w:val="es-CO"/>
        </w:rPr>
        <w:t xml:space="preserve">no </w:t>
      </w:r>
      <w:r w:rsidR="0086006A" w:rsidRPr="00EF36E9">
        <w:rPr>
          <w:rFonts w:eastAsia="Times New Roman"/>
          <w:b/>
          <w:lang w:val="es-CO"/>
        </w:rPr>
        <w:t>están implementados</w:t>
      </w:r>
      <w:r w:rsidR="0086006A" w:rsidRPr="00606E51">
        <w:rPr>
          <w:rFonts w:eastAsia="Times New Roman"/>
          <w:b/>
          <w:lang w:val="es-CO"/>
        </w:rPr>
        <w:t xml:space="preserve"> en los procesos de las EAPB</w:t>
      </w:r>
      <w:r w:rsidR="00C62A4D" w:rsidRPr="00606E51">
        <w:rPr>
          <w:rFonts w:eastAsia="Times New Roman"/>
          <w:b/>
          <w:lang w:val="es-CO"/>
        </w:rPr>
        <w:t xml:space="preserve"> que operan en los municipios evaluados.</w:t>
      </w:r>
    </w:p>
    <w:p w14:paraId="15BD556D" w14:textId="77777777" w:rsidR="001F67F9" w:rsidRPr="00606E51" w:rsidRDefault="001F67F9" w:rsidP="001F67F9">
      <w:pPr>
        <w:jc w:val="both"/>
        <w:rPr>
          <w:rFonts w:eastAsia="Times New Roman"/>
          <w:b/>
          <w:lang w:val="es-CO"/>
        </w:rPr>
      </w:pPr>
    </w:p>
    <w:p w14:paraId="1B82F7B7" w14:textId="77777777" w:rsidR="00C62A4D" w:rsidRPr="00606E51" w:rsidRDefault="008C2044" w:rsidP="008C2044">
      <w:pPr>
        <w:jc w:val="both"/>
        <w:rPr>
          <w:rFonts w:eastAsia="Times New Roman"/>
          <w:lang w:val="es-CO"/>
        </w:rPr>
      </w:pPr>
      <w:r w:rsidRPr="00606E51">
        <w:rPr>
          <w:rFonts w:eastAsia="Times New Roman"/>
          <w:lang w:val="es-CO"/>
        </w:rPr>
        <w:lastRenderedPageBreak/>
        <w:t>Aunque no se cuenta con los datos de efectividad y costos de implementación de la Resolución por parte de los aseguradores en salud</w:t>
      </w:r>
      <w:r w:rsidR="00FC6788" w:rsidRPr="00606E51">
        <w:rPr>
          <w:rFonts w:eastAsia="Times New Roman"/>
          <w:lang w:val="es-CO"/>
        </w:rPr>
        <w:t>,</w:t>
      </w:r>
      <w:r w:rsidRPr="00606E51">
        <w:rPr>
          <w:rFonts w:eastAsia="Times New Roman"/>
          <w:lang w:val="es-CO"/>
        </w:rPr>
        <w:t xml:space="preserve"> los instrumentos cualitativos de recolección de información indican </w:t>
      </w:r>
      <w:r w:rsidR="000D333C" w:rsidRPr="00606E51">
        <w:rPr>
          <w:rFonts w:eastAsia="Times New Roman"/>
          <w:lang w:val="es-CO"/>
        </w:rPr>
        <w:t xml:space="preserve">que </w:t>
      </w:r>
      <w:r w:rsidRPr="00606E51">
        <w:rPr>
          <w:rFonts w:eastAsia="Times New Roman"/>
          <w:lang w:val="es-CO"/>
        </w:rPr>
        <w:t xml:space="preserve">no se están cumpliendo a cabalidad </w:t>
      </w:r>
      <w:r w:rsidR="00FC6788" w:rsidRPr="00606E51">
        <w:rPr>
          <w:rFonts w:eastAsia="Times New Roman"/>
          <w:lang w:val="es-CO"/>
        </w:rPr>
        <w:t xml:space="preserve">lo que ordena tanto la Resolución como las normas que la sustentan. </w:t>
      </w:r>
    </w:p>
    <w:p w14:paraId="0A65D50A" w14:textId="77777777" w:rsidR="00C62A4D" w:rsidRPr="00606E51" w:rsidRDefault="00C62A4D" w:rsidP="008C2044">
      <w:pPr>
        <w:jc w:val="both"/>
        <w:rPr>
          <w:rFonts w:eastAsia="Times New Roman"/>
          <w:lang w:val="es-CO"/>
        </w:rPr>
      </w:pPr>
    </w:p>
    <w:p w14:paraId="7FAAA4E4" w14:textId="77777777" w:rsidR="00143E44" w:rsidRPr="00606E51" w:rsidRDefault="00C62A4D" w:rsidP="008C2044">
      <w:pPr>
        <w:jc w:val="both"/>
        <w:rPr>
          <w:rFonts w:eastAsia="Times New Roman"/>
          <w:lang w:val="es-CO"/>
        </w:rPr>
      </w:pPr>
      <w:r w:rsidRPr="00606E51">
        <w:rPr>
          <w:rFonts w:eastAsia="Times New Roman"/>
          <w:lang w:val="es-CO"/>
        </w:rPr>
        <w:t>En primer lugar</w:t>
      </w:r>
      <w:r w:rsidR="00FC6788" w:rsidRPr="00606E51">
        <w:rPr>
          <w:rFonts w:eastAsia="Times New Roman"/>
          <w:lang w:val="es-CO"/>
        </w:rPr>
        <w:t xml:space="preserve">, las EAPB </w:t>
      </w:r>
      <w:r w:rsidR="00FC6788" w:rsidRPr="00EF36E9">
        <w:rPr>
          <w:rFonts w:eastAsia="Times New Roman"/>
          <w:lang w:val="es-CO"/>
        </w:rPr>
        <w:t xml:space="preserve">no han incluido en sus procesos y su modo de prestación las Rutas y la articulación de la intervenciones individuales y colectivas descritas en PAIS y MIAS. </w:t>
      </w:r>
      <w:r w:rsidRPr="00EF36E9">
        <w:rPr>
          <w:rFonts w:eastAsia="Times New Roman"/>
          <w:lang w:val="es-CO"/>
        </w:rPr>
        <w:t>La evidencia para esta conclusión esta en los hallazgos que informan que la</w:t>
      </w:r>
      <w:r w:rsidR="007C0534" w:rsidRPr="00EF36E9">
        <w:rPr>
          <w:rFonts w:eastAsia="Times New Roman"/>
          <w:lang w:val="es-CO"/>
        </w:rPr>
        <w:t xml:space="preserve"> </w:t>
      </w:r>
      <w:r w:rsidR="00FC6788" w:rsidRPr="00EF36E9">
        <w:rPr>
          <w:rFonts w:eastAsia="Times New Roman"/>
          <w:lang w:val="es-CO"/>
        </w:rPr>
        <w:t xml:space="preserve">contratación </w:t>
      </w:r>
      <w:r w:rsidR="007C0534" w:rsidRPr="00EF36E9">
        <w:rPr>
          <w:rFonts w:eastAsia="Times New Roman"/>
          <w:lang w:val="es-CO"/>
        </w:rPr>
        <w:t>de</w:t>
      </w:r>
      <w:r w:rsidRPr="00EF36E9">
        <w:rPr>
          <w:rFonts w:eastAsia="Times New Roman"/>
          <w:lang w:val="es-CO"/>
        </w:rPr>
        <w:t>l</w:t>
      </w:r>
      <w:r w:rsidR="007C0534" w:rsidRPr="00EF36E9">
        <w:rPr>
          <w:rFonts w:eastAsia="Times New Roman"/>
          <w:lang w:val="es-CO"/>
        </w:rPr>
        <w:t xml:space="preserve"> Lineamiento</w:t>
      </w:r>
      <w:r w:rsidRPr="00606E51">
        <w:rPr>
          <w:rFonts w:eastAsia="Times New Roman"/>
          <w:lang w:val="es-CO"/>
        </w:rPr>
        <w:t xml:space="preserve"> se hace </w:t>
      </w:r>
      <w:r w:rsidR="00AA3802" w:rsidRPr="00606E51">
        <w:rPr>
          <w:rFonts w:eastAsia="Times New Roman"/>
          <w:lang w:val="es-CO"/>
        </w:rPr>
        <w:t xml:space="preserve">por capitación </w:t>
      </w:r>
      <w:r w:rsidRPr="00606E51">
        <w:rPr>
          <w:rFonts w:eastAsia="Times New Roman"/>
          <w:lang w:val="es-CO"/>
        </w:rPr>
        <w:t xml:space="preserve">con </w:t>
      </w:r>
      <w:r w:rsidR="00FC6788" w:rsidRPr="00606E51">
        <w:rPr>
          <w:rFonts w:eastAsia="Times New Roman"/>
          <w:lang w:val="es-CO"/>
        </w:rPr>
        <w:t>los recursos de promoción y prevención</w:t>
      </w:r>
      <w:r w:rsidR="00330FEB" w:rsidRPr="00606E51">
        <w:rPr>
          <w:rStyle w:val="FootnoteReference"/>
          <w:rFonts w:eastAsia="Times New Roman"/>
          <w:lang w:val="es-CO"/>
        </w:rPr>
        <w:footnoteReference w:id="67"/>
      </w:r>
      <w:r w:rsidR="00AA3802" w:rsidRPr="00606E51">
        <w:rPr>
          <w:rFonts w:eastAsia="Times New Roman"/>
          <w:lang w:val="es-CO"/>
        </w:rPr>
        <w:t>. Por otro lado, las entrevistas muestran que las EAPB no</w:t>
      </w:r>
      <w:r w:rsidR="00EB382F" w:rsidRPr="00606E51">
        <w:rPr>
          <w:rFonts w:eastAsia="Times New Roman"/>
          <w:lang w:val="es-CO"/>
        </w:rPr>
        <w:t xml:space="preserve"> han</w:t>
      </w:r>
      <w:r w:rsidR="00AA3802" w:rsidRPr="00606E51">
        <w:rPr>
          <w:rFonts w:eastAsia="Times New Roman"/>
          <w:lang w:val="es-CO"/>
        </w:rPr>
        <w:t xml:space="preserve"> </w:t>
      </w:r>
      <w:r w:rsidR="00FC6788" w:rsidRPr="00606E51">
        <w:rPr>
          <w:rFonts w:eastAsia="Times New Roman"/>
          <w:lang w:val="es-CO"/>
        </w:rPr>
        <w:t>conforma</w:t>
      </w:r>
      <w:r w:rsidR="00EB382F" w:rsidRPr="00606E51">
        <w:rPr>
          <w:rFonts w:eastAsia="Times New Roman"/>
          <w:lang w:val="es-CO"/>
        </w:rPr>
        <w:t>do</w:t>
      </w:r>
      <w:r w:rsidR="00AA3802" w:rsidRPr="00606E51">
        <w:rPr>
          <w:rFonts w:eastAsia="Times New Roman"/>
          <w:lang w:val="es-CO"/>
        </w:rPr>
        <w:t xml:space="preserve"> apropiadamente</w:t>
      </w:r>
      <w:r w:rsidR="00C74ECA" w:rsidRPr="00606E51">
        <w:rPr>
          <w:rFonts w:eastAsia="Times New Roman"/>
          <w:lang w:val="es-CO"/>
        </w:rPr>
        <w:t xml:space="preserve"> su red de prestadores, por cuanto la referencia y contra-referencia de los niños con desnutrición aguda es difícil. </w:t>
      </w:r>
    </w:p>
    <w:p w14:paraId="5084AAE0" w14:textId="77777777" w:rsidR="00143E44" w:rsidRPr="00606E51" w:rsidRDefault="00143E44" w:rsidP="008C2044">
      <w:pPr>
        <w:jc w:val="both"/>
        <w:rPr>
          <w:rFonts w:eastAsia="Times New Roman"/>
          <w:lang w:val="es-CO"/>
        </w:rPr>
      </w:pPr>
    </w:p>
    <w:p w14:paraId="0C9C2A85" w14:textId="77777777" w:rsidR="00C74ECA" w:rsidRPr="00606E51" w:rsidRDefault="00C74ECA" w:rsidP="008C2044">
      <w:pPr>
        <w:jc w:val="both"/>
        <w:rPr>
          <w:rFonts w:eastAsia="Times New Roman"/>
          <w:lang w:val="es-CO"/>
        </w:rPr>
      </w:pPr>
      <w:r w:rsidRPr="00606E51">
        <w:rPr>
          <w:rFonts w:eastAsia="Times New Roman"/>
          <w:lang w:val="es-CO"/>
        </w:rPr>
        <w:t>Por último, se evidenció una</w:t>
      </w:r>
      <w:r w:rsidR="006F30CE" w:rsidRPr="00606E51">
        <w:rPr>
          <w:rFonts w:eastAsia="Times New Roman"/>
          <w:lang w:val="es-CO"/>
        </w:rPr>
        <w:t xml:space="preserve"> débil articulación con las secretarías de salud </w:t>
      </w:r>
      <w:r w:rsidRPr="00606E51">
        <w:rPr>
          <w:rFonts w:eastAsia="Times New Roman"/>
          <w:lang w:val="es-CO"/>
        </w:rPr>
        <w:t>departamental y municipal para cubrir y garantizar las atenciones individuales y colectivas de sus afiliados.</w:t>
      </w:r>
      <w:r w:rsidR="00143E44" w:rsidRPr="00606E51">
        <w:rPr>
          <w:rFonts w:eastAsia="Times New Roman"/>
          <w:lang w:val="es-CO"/>
        </w:rPr>
        <w:t xml:space="preserve">  Como se describe en los hallazgos y en las entrevistas, la escaces de la FTLPC fue uno de los principales cuellos de botella en los meses iniciales de vigencia de la Resolución y gracias a las donaciones de UNICEF se cubrió la demanda de este insumo para los niños diagnósticados. No obstante, ningún funcionario de las EAPB informó que la FTLPC iba a ser incluida en los contratos con su red prestadora y por tanto </w:t>
      </w:r>
      <w:r w:rsidR="00FD5928" w:rsidRPr="00606E51">
        <w:rPr>
          <w:rFonts w:eastAsia="Times New Roman"/>
          <w:lang w:val="es-CO"/>
        </w:rPr>
        <w:t xml:space="preserve">este insumo </w:t>
      </w:r>
      <w:r w:rsidR="00143E44" w:rsidRPr="00606E51">
        <w:rPr>
          <w:rFonts w:eastAsia="Times New Roman"/>
          <w:lang w:val="es-CO"/>
        </w:rPr>
        <w:t xml:space="preserve">tendrá que ser suministrado </w:t>
      </w:r>
      <w:r w:rsidR="00FD5928" w:rsidRPr="00606E51">
        <w:rPr>
          <w:rFonts w:eastAsia="Times New Roman"/>
          <w:lang w:val="es-CO"/>
        </w:rPr>
        <w:t xml:space="preserve">por las administraciones locales de salud </w:t>
      </w:r>
      <w:r w:rsidR="00143E44" w:rsidRPr="00606E51">
        <w:rPr>
          <w:rFonts w:eastAsia="Times New Roman"/>
          <w:lang w:val="es-CO"/>
        </w:rPr>
        <w:t>como una intervención c</w:t>
      </w:r>
      <w:r w:rsidR="00FD5928" w:rsidRPr="00606E51">
        <w:rPr>
          <w:rFonts w:eastAsia="Times New Roman"/>
          <w:lang w:val="es-CO"/>
        </w:rPr>
        <w:t>olectiva.</w:t>
      </w:r>
    </w:p>
    <w:p w14:paraId="5E17ED4E" w14:textId="77777777" w:rsidR="00FE1CFE" w:rsidRPr="00606E51" w:rsidRDefault="00FE1CFE" w:rsidP="008C2044">
      <w:pPr>
        <w:jc w:val="both"/>
        <w:rPr>
          <w:rFonts w:eastAsia="Times New Roman"/>
          <w:lang w:val="es-CO"/>
        </w:rPr>
      </w:pPr>
    </w:p>
    <w:p w14:paraId="56F7C3FE" w14:textId="77777777" w:rsidR="00C74ECA" w:rsidRPr="00606E51" w:rsidRDefault="00FE1CFE" w:rsidP="008C2044">
      <w:pPr>
        <w:jc w:val="both"/>
        <w:rPr>
          <w:rFonts w:eastAsia="Times New Roman"/>
          <w:lang w:val="es-CO"/>
        </w:rPr>
      </w:pPr>
      <w:r w:rsidRPr="00606E51">
        <w:rPr>
          <w:rFonts w:eastAsia="Times New Roman"/>
          <w:lang w:val="es-CO"/>
        </w:rPr>
        <w:t xml:space="preserve">Adicionalmente, la modalidad de equipos extramurales para cumplir con la atención ambulatoria del tratamiento a la población afiliada que vive en la zona rural dispersa no está plenamente aceptada e incluida en los procesos de planeación y prestación de servicios de todas las EAPB, como lo evidencian los hallazgos. </w:t>
      </w:r>
    </w:p>
    <w:p w14:paraId="7A26CE5F" w14:textId="77777777" w:rsidR="00FE1CFE" w:rsidRPr="00606E51" w:rsidRDefault="00FE1CFE" w:rsidP="008C2044">
      <w:pPr>
        <w:jc w:val="both"/>
        <w:rPr>
          <w:rFonts w:eastAsia="Times New Roman"/>
          <w:lang w:val="es-CO"/>
        </w:rPr>
      </w:pPr>
    </w:p>
    <w:p w14:paraId="3DC81051" w14:textId="77777777" w:rsidR="008C2044" w:rsidRPr="00606E51" w:rsidRDefault="00FE1CFE" w:rsidP="008C2044">
      <w:pPr>
        <w:jc w:val="both"/>
        <w:rPr>
          <w:rFonts w:eastAsia="Times New Roman"/>
          <w:lang w:val="es-CO"/>
        </w:rPr>
      </w:pPr>
      <w:r w:rsidRPr="00606E51">
        <w:rPr>
          <w:rFonts w:eastAsia="Times New Roman"/>
          <w:lang w:val="es-CO"/>
        </w:rPr>
        <w:t>Todo lo anterior</w:t>
      </w:r>
      <w:r w:rsidR="00330FEB" w:rsidRPr="00606E51">
        <w:rPr>
          <w:rFonts w:eastAsia="Times New Roman"/>
          <w:lang w:val="es-CO"/>
        </w:rPr>
        <w:t xml:space="preserve"> implica que las EAPB</w:t>
      </w:r>
      <w:r w:rsidRPr="00606E51">
        <w:rPr>
          <w:rFonts w:eastAsia="Times New Roman"/>
          <w:lang w:val="es-CO"/>
        </w:rPr>
        <w:t xml:space="preserve"> de los municipios objeto de la evaluación</w:t>
      </w:r>
      <w:r w:rsidR="00330FEB" w:rsidRPr="00606E51">
        <w:rPr>
          <w:rFonts w:eastAsia="Times New Roman"/>
          <w:lang w:val="es-CO"/>
        </w:rPr>
        <w:t xml:space="preserve"> no tienen una adecuada gestión del riesgo de sus afiliados y por tanto que su operación no está enfocada a resultados en salud como lo ordena la política PAIS y su modelo MIAS.</w:t>
      </w:r>
    </w:p>
    <w:p w14:paraId="3F26CC5E" w14:textId="77777777" w:rsidR="00FE1CFE" w:rsidRPr="00606E51" w:rsidRDefault="00FE1CFE" w:rsidP="008C2044">
      <w:pPr>
        <w:jc w:val="both"/>
        <w:rPr>
          <w:rFonts w:eastAsia="Times New Roman"/>
          <w:lang w:val="es-CO"/>
        </w:rPr>
      </w:pPr>
    </w:p>
    <w:p w14:paraId="4E7AFCED" w14:textId="77777777" w:rsidR="001F67F9" w:rsidRPr="00606E51" w:rsidRDefault="007155CA" w:rsidP="00BB1D7B">
      <w:pPr>
        <w:pStyle w:val="ListParagraph"/>
        <w:numPr>
          <w:ilvl w:val="0"/>
          <w:numId w:val="22"/>
        </w:numPr>
        <w:jc w:val="both"/>
        <w:rPr>
          <w:rFonts w:eastAsia="Times New Roman"/>
          <w:b/>
          <w:lang w:val="es-CO"/>
        </w:rPr>
      </w:pPr>
      <w:r>
        <w:rPr>
          <w:rFonts w:eastAsia="Times New Roman"/>
          <w:b/>
          <w:lang w:val="es-CO"/>
        </w:rPr>
        <w:t>L</w:t>
      </w:r>
      <w:r w:rsidRPr="007155CA">
        <w:rPr>
          <w:rFonts w:eastAsia="Times New Roman"/>
          <w:b/>
          <w:lang w:val="es-CO"/>
        </w:rPr>
        <w:t>as secretarías de salud municipal y departamental tienen una débil gobernanza y carecen de mecanismos de articulación para la adecuada implementación de la Resolución y de las políticas que la estructuran</w:t>
      </w:r>
      <w:r w:rsidR="00F716CA" w:rsidRPr="00606E51">
        <w:rPr>
          <w:rFonts w:eastAsia="Times New Roman"/>
          <w:b/>
          <w:lang w:val="es-CO"/>
        </w:rPr>
        <w:t>.</w:t>
      </w:r>
    </w:p>
    <w:p w14:paraId="5F45F493" w14:textId="77777777" w:rsidR="00F651EA" w:rsidRPr="00606E51" w:rsidRDefault="00F651EA" w:rsidP="00F651EA">
      <w:pPr>
        <w:jc w:val="both"/>
        <w:rPr>
          <w:rFonts w:eastAsia="Times New Roman"/>
          <w:b/>
          <w:lang w:val="es-CO"/>
        </w:rPr>
      </w:pPr>
    </w:p>
    <w:p w14:paraId="19C49B7F" w14:textId="77777777" w:rsidR="00061313" w:rsidRPr="007155CA" w:rsidRDefault="00A4761A" w:rsidP="00D95DCA">
      <w:pPr>
        <w:jc w:val="both"/>
        <w:rPr>
          <w:rFonts w:eastAsia="Times New Roman"/>
          <w:lang w:val="es-CO"/>
        </w:rPr>
      </w:pPr>
      <w:r w:rsidRPr="00606E51">
        <w:rPr>
          <w:rFonts w:eastAsia="Times New Roman"/>
          <w:lang w:val="es-CO"/>
        </w:rPr>
        <w:t xml:space="preserve">La Resolución asignó claramente las responsabilidades para el tratamiento de la desnutrición aguda, </w:t>
      </w:r>
      <w:r w:rsidR="009960BB" w:rsidRPr="00606E51">
        <w:rPr>
          <w:rFonts w:eastAsia="Times New Roman"/>
          <w:lang w:val="es-CO"/>
        </w:rPr>
        <w:t xml:space="preserve">confirmó que </w:t>
      </w:r>
      <w:r w:rsidR="00982D4E" w:rsidRPr="00606E51">
        <w:rPr>
          <w:rFonts w:eastAsia="Times New Roman"/>
          <w:lang w:val="es-CO"/>
        </w:rPr>
        <w:t xml:space="preserve">la atención en salud para los niños y niñas no es de competencia exclusiva del Instituto colombiano de bienestar familiar (ICBF). </w:t>
      </w:r>
      <w:r w:rsidR="00027E1B" w:rsidRPr="00606E51">
        <w:rPr>
          <w:rFonts w:eastAsia="Times New Roman"/>
          <w:lang w:val="es-CO"/>
        </w:rPr>
        <w:t>Sin embargo, esta evaluación muestra que l</w:t>
      </w:r>
      <w:r w:rsidR="00F651EA" w:rsidRPr="00606E51">
        <w:rPr>
          <w:rFonts w:eastAsia="Times New Roman"/>
          <w:lang w:val="es-CO"/>
        </w:rPr>
        <w:t>as secretarías de salud municipal y departamental tienen una débil gobernanza y carecen de mecanismos de articulación para la adecuada implementación de la Resolución y de las políticas que la estructuran. Esta debilidad pone en riesgo la adecuada implementación de la Resolución una vez termine el Programa del MSPS</w:t>
      </w:r>
      <w:r w:rsidR="00F716CA" w:rsidRPr="00606E51">
        <w:rPr>
          <w:rFonts w:eastAsia="Times New Roman"/>
          <w:lang w:val="es-CO"/>
        </w:rPr>
        <w:t>,</w:t>
      </w:r>
      <w:r w:rsidR="00F651EA" w:rsidRPr="00606E51">
        <w:rPr>
          <w:rFonts w:eastAsia="Times New Roman"/>
          <w:lang w:val="es-CO"/>
        </w:rPr>
        <w:t xml:space="preserve"> sobre todo para la población con DNT aguda en las zonas rurales </w:t>
      </w:r>
      <w:r w:rsidR="002B6AC0" w:rsidRPr="00606E51">
        <w:rPr>
          <w:rFonts w:eastAsia="Times New Roman"/>
          <w:lang w:val="es-CO"/>
        </w:rPr>
        <w:t>dispersas</w:t>
      </w:r>
      <w:r w:rsidR="00F651EA" w:rsidRPr="00606E51">
        <w:rPr>
          <w:rFonts w:eastAsia="Times New Roman"/>
          <w:lang w:val="es-CO"/>
        </w:rPr>
        <w:t>.</w:t>
      </w:r>
      <w:r w:rsidR="00447148" w:rsidRPr="00606E51">
        <w:rPr>
          <w:rFonts w:cs="Times New Roman"/>
          <w:lang w:val="es-CO"/>
        </w:rPr>
        <w:t xml:space="preserve"> </w:t>
      </w:r>
    </w:p>
    <w:p w14:paraId="268E26CA" w14:textId="77777777" w:rsidR="004038E6" w:rsidRPr="00606E51" w:rsidRDefault="004038E6" w:rsidP="00D95DCA">
      <w:pPr>
        <w:jc w:val="both"/>
        <w:rPr>
          <w:rFonts w:eastAsia="Times New Roman"/>
          <w:lang w:val="es-CO"/>
        </w:rPr>
      </w:pPr>
    </w:p>
    <w:p w14:paraId="3672CA15" w14:textId="77777777" w:rsidR="00A42D74" w:rsidRDefault="00A42D74">
      <w:pPr>
        <w:spacing w:after="200" w:line="252" w:lineRule="auto"/>
        <w:rPr>
          <w:rFonts w:cs="Times New Roman"/>
          <w:color w:val="234F77" w:themeColor="accent2" w:themeShade="80"/>
          <w:spacing w:val="20"/>
          <w:sz w:val="26"/>
          <w:szCs w:val="28"/>
          <w:lang w:val="es-CO"/>
        </w:rPr>
      </w:pPr>
      <w:bookmarkStart w:id="113" w:name="_Toc481101242"/>
      <w:r>
        <w:rPr>
          <w:lang w:val="es-CO"/>
        </w:rPr>
        <w:br w:type="page"/>
      </w:r>
    </w:p>
    <w:p w14:paraId="6CBF5208" w14:textId="77777777" w:rsidR="00782052" w:rsidRPr="00606E51" w:rsidRDefault="00F930D8" w:rsidP="00684143">
      <w:pPr>
        <w:pStyle w:val="Heading1"/>
        <w:rPr>
          <w:lang w:val="es-CO"/>
        </w:rPr>
      </w:pPr>
      <w:bookmarkStart w:id="114" w:name="_Toc505090956"/>
      <w:r w:rsidRPr="00606E51">
        <w:rPr>
          <w:lang w:val="es-CO"/>
        </w:rPr>
        <w:lastRenderedPageBreak/>
        <w:t>Recomendaciones</w:t>
      </w:r>
      <w:bookmarkEnd w:id="113"/>
      <w:bookmarkEnd w:id="114"/>
    </w:p>
    <w:p w14:paraId="02BAE4E9" w14:textId="77777777" w:rsidR="0022175D" w:rsidRPr="00606E51" w:rsidRDefault="0022175D" w:rsidP="0022175D">
      <w:pPr>
        <w:rPr>
          <w:lang w:val="es-CO"/>
        </w:rPr>
      </w:pPr>
    </w:p>
    <w:p w14:paraId="56EC769D" w14:textId="19DEC30A" w:rsidR="0022175D" w:rsidRPr="00606E51" w:rsidRDefault="0022175D" w:rsidP="00061313">
      <w:pPr>
        <w:jc w:val="both"/>
        <w:rPr>
          <w:lang w:val="es-CO"/>
        </w:rPr>
      </w:pPr>
      <w:r w:rsidRPr="00606E51">
        <w:rPr>
          <w:lang w:val="es-CO"/>
        </w:rPr>
        <w:t xml:space="preserve">Los hallazgos y las conclusiones </w:t>
      </w:r>
      <w:r w:rsidR="007E6796" w:rsidRPr="00606E51">
        <w:rPr>
          <w:lang w:val="es-CO"/>
        </w:rPr>
        <w:t>muestran que una parte importan</w:t>
      </w:r>
      <w:r w:rsidR="00061313" w:rsidRPr="00606E51">
        <w:rPr>
          <w:lang w:val="es-CO"/>
        </w:rPr>
        <w:t xml:space="preserve">te de los </w:t>
      </w:r>
      <w:r w:rsidR="0021201E">
        <w:rPr>
          <w:lang w:val="es-CO"/>
        </w:rPr>
        <w:t>cuellos de botella que existen</w:t>
      </w:r>
      <w:r w:rsidR="00061313" w:rsidRPr="00606E51">
        <w:rPr>
          <w:lang w:val="es-CO"/>
        </w:rPr>
        <w:t xml:space="preserve"> para implementar la Resolución</w:t>
      </w:r>
      <w:r w:rsidR="00B411D1" w:rsidRPr="00606E51">
        <w:rPr>
          <w:lang w:val="es-CO"/>
        </w:rPr>
        <w:t>,</w:t>
      </w:r>
      <w:r w:rsidR="00061313" w:rsidRPr="00606E51">
        <w:rPr>
          <w:lang w:val="es-CO"/>
        </w:rPr>
        <w:t xml:space="preserve"> que contiene el Lineamiento y la Ruta</w:t>
      </w:r>
      <w:r w:rsidR="00B411D1" w:rsidRPr="00606E51">
        <w:rPr>
          <w:lang w:val="es-CO"/>
        </w:rPr>
        <w:t>,</w:t>
      </w:r>
      <w:r w:rsidR="00CF214D" w:rsidRPr="00606E51">
        <w:rPr>
          <w:lang w:val="es-CO"/>
        </w:rPr>
        <w:t xml:space="preserve"> se solucionaría si se cumplen los lineamientos de la</w:t>
      </w:r>
      <w:r w:rsidR="0021201E">
        <w:rPr>
          <w:lang w:val="es-CO"/>
        </w:rPr>
        <w:t>s</w:t>
      </w:r>
      <w:r w:rsidR="00CF214D" w:rsidRPr="00606E51">
        <w:rPr>
          <w:lang w:val="es-CO"/>
        </w:rPr>
        <w:t xml:space="preserve"> </w:t>
      </w:r>
      <w:r w:rsidR="00CF214D" w:rsidRPr="0021201E">
        <w:rPr>
          <w:i/>
          <w:lang w:val="es-CO"/>
        </w:rPr>
        <w:t>política</w:t>
      </w:r>
      <w:r w:rsidR="0021201E" w:rsidRPr="0021201E">
        <w:rPr>
          <w:i/>
          <w:lang w:val="es-CO"/>
        </w:rPr>
        <w:t>s macro</w:t>
      </w:r>
      <w:r w:rsidR="00CF214D" w:rsidRPr="00606E51">
        <w:rPr>
          <w:lang w:val="es-CO"/>
        </w:rPr>
        <w:t xml:space="preserve"> PAIS y su modelo MIAS. Sin embargo, la implementación de una reforma de esta magnitud toma tiempo</w:t>
      </w:r>
      <w:r w:rsidR="00D3151A">
        <w:rPr>
          <w:lang w:val="es-CO"/>
        </w:rPr>
        <w:t>, por eso las</w:t>
      </w:r>
      <w:r w:rsidR="0021201E">
        <w:rPr>
          <w:lang w:val="es-CO"/>
        </w:rPr>
        <w:t xml:space="preserve"> recomendaciones </w:t>
      </w:r>
      <w:r w:rsidR="00D3151A">
        <w:rPr>
          <w:lang w:val="es-CO"/>
        </w:rPr>
        <w:t xml:space="preserve">se hacen de acuerdo a su facilidad de implementación, empezando por </w:t>
      </w:r>
      <w:r w:rsidR="0022109F">
        <w:rPr>
          <w:lang w:val="es-CO"/>
        </w:rPr>
        <w:t>aquellas modificaciones</w:t>
      </w:r>
      <w:r w:rsidR="00D3151A">
        <w:rPr>
          <w:lang w:val="es-CO"/>
        </w:rPr>
        <w:t xml:space="preserve"> sencillas en el</w:t>
      </w:r>
      <w:r w:rsidR="0021201E">
        <w:rPr>
          <w:lang w:val="es-CO"/>
        </w:rPr>
        <w:t xml:space="preserve"> corto</w:t>
      </w:r>
      <w:r w:rsidR="00D3151A">
        <w:rPr>
          <w:lang w:val="es-CO"/>
        </w:rPr>
        <w:t xml:space="preserve"> plazo</w:t>
      </w:r>
      <w:r w:rsidR="0021201E">
        <w:rPr>
          <w:lang w:val="es-CO"/>
        </w:rPr>
        <w:t>,</w:t>
      </w:r>
      <w:r w:rsidR="00D3151A">
        <w:rPr>
          <w:lang w:val="es-CO"/>
        </w:rPr>
        <w:t xml:space="preserve"> siguiendo por las que requieren mayor concertación</w:t>
      </w:r>
      <w:r w:rsidR="004C5C94">
        <w:rPr>
          <w:lang w:val="es-CO"/>
        </w:rPr>
        <w:t xml:space="preserve"> en el</w:t>
      </w:r>
      <w:r w:rsidR="0021201E">
        <w:rPr>
          <w:lang w:val="es-CO"/>
        </w:rPr>
        <w:t xml:space="preserve"> </w:t>
      </w:r>
      <w:r w:rsidR="00CF214D" w:rsidRPr="00606E51">
        <w:rPr>
          <w:lang w:val="es-CO"/>
        </w:rPr>
        <w:t>mediano</w:t>
      </w:r>
      <w:r w:rsidR="00D3151A">
        <w:rPr>
          <w:lang w:val="es-CO"/>
        </w:rPr>
        <w:t xml:space="preserve"> plazo</w:t>
      </w:r>
      <w:r w:rsidR="00CF214D" w:rsidRPr="00606E51">
        <w:rPr>
          <w:lang w:val="es-CO"/>
        </w:rPr>
        <w:t xml:space="preserve"> y </w:t>
      </w:r>
      <w:r w:rsidR="00D3151A">
        <w:rPr>
          <w:lang w:val="es-CO"/>
        </w:rPr>
        <w:t xml:space="preserve">terminando </w:t>
      </w:r>
      <w:r w:rsidR="004C5C94">
        <w:rPr>
          <w:lang w:val="es-CO"/>
        </w:rPr>
        <w:t xml:space="preserve">por las que significan cambios profundos y sólo estarán listas en el </w:t>
      </w:r>
      <w:r w:rsidR="00CF214D" w:rsidRPr="00606E51">
        <w:rPr>
          <w:lang w:val="es-CO"/>
        </w:rPr>
        <w:t>largo plazo</w:t>
      </w:r>
      <w:r w:rsidR="004C5C94">
        <w:rPr>
          <w:lang w:val="es-CO"/>
        </w:rPr>
        <w:t xml:space="preserve">. Estas recomendaciones se enuncian </w:t>
      </w:r>
      <w:r w:rsidR="00CF214D" w:rsidRPr="00606E51">
        <w:rPr>
          <w:lang w:val="es-CO"/>
        </w:rPr>
        <w:t>para cada uno de los actores del SGSSS a los que hace referencia la Resolución.</w:t>
      </w:r>
    </w:p>
    <w:p w14:paraId="488F592D" w14:textId="77777777" w:rsidR="00D70F3B" w:rsidRPr="00606E51" w:rsidRDefault="00D70F3B" w:rsidP="00D70F3B">
      <w:pPr>
        <w:rPr>
          <w:lang w:val="es-CO"/>
        </w:rPr>
      </w:pPr>
    </w:p>
    <w:p w14:paraId="3E5CF2A8" w14:textId="77777777" w:rsidR="00D15847" w:rsidRPr="00606E51" w:rsidRDefault="00F84BFB" w:rsidP="008A61FD">
      <w:pPr>
        <w:pStyle w:val="Heading2"/>
        <w:rPr>
          <w:lang w:val="es-CO"/>
        </w:rPr>
      </w:pPr>
      <w:bookmarkStart w:id="115" w:name="_Toc481101243"/>
      <w:r w:rsidRPr="00606E51">
        <w:rPr>
          <w:lang w:val="es-CO"/>
        </w:rPr>
        <w:t xml:space="preserve"> </w:t>
      </w:r>
      <w:bookmarkStart w:id="116" w:name="_Toc505090957"/>
      <w:r w:rsidR="00782052" w:rsidRPr="00606E51">
        <w:rPr>
          <w:lang w:val="es-CO"/>
        </w:rPr>
        <w:t>Recomendacione</w:t>
      </w:r>
      <w:bookmarkEnd w:id="115"/>
      <w:r w:rsidRPr="00606E51">
        <w:rPr>
          <w:lang w:val="es-CO"/>
        </w:rPr>
        <w:t>s</w:t>
      </w:r>
      <w:r w:rsidR="00B411D1" w:rsidRPr="00606E51">
        <w:rPr>
          <w:lang w:val="es-CO"/>
        </w:rPr>
        <w:t xml:space="preserve"> al MSPS</w:t>
      </w:r>
      <w:bookmarkEnd w:id="116"/>
    </w:p>
    <w:p w14:paraId="0ED5F2AC" w14:textId="77777777" w:rsidR="00CF214D" w:rsidRPr="00606E51" w:rsidRDefault="00CF214D" w:rsidP="00CF214D">
      <w:pPr>
        <w:rPr>
          <w:lang w:val="es-CO"/>
        </w:rPr>
      </w:pPr>
    </w:p>
    <w:p w14:paraId="40CB6994" w14:textId="77777777" w:rsidR="00CF214D" w:rsidRPr="00606E51" w:rsidRDefault="00CF214D" w:rsidP="00CF214D">
      <w:pPr>
        <w:rPr>
          <w:b/>
          <w:i/>
          <w:color w:val="0E57C4" w:themeColor="background2" w:themeShade="80"/>
          <w:lang w:val="es-CO"/>
        </w:rPr>
      </w:pPr>
      <w:r w:rsidRPr="00606E51">
        <w:rPr>
          <w:b/>
          <w:i/>
          <w:color w:val="234F77" w:themeColor="accent2" w:themeShade="80"/>
          <w:sz w:val="24"/>
          <w:lang w:val="es-CO"/>
        </w:rPr>
        <w:t>Corto plazo</w:t>
      </w:r>
    </w:p>
    <w:p w14:paraId="569E3C57" w14:textId="77777777" w:rsidR="00F84BFB" w:rsidRPr="00606E51" w:rsidRDefault="00F84BFB" w:rsidP="00F84BFB">
      <w:pPr>
        <w:rPr>
          <w:lang w:val="es-CO"/>
        </w:rPr>
      </w:pPr>
    </w:p>
    <w:p w14:paraId="0F7DACD3" w14:textId="77777777" w:rsidR="009073B0" w:rsidRPr="00606E51" w:rsidRDefault="009073B0" w:rsidP="00BB1D7B">
      <w:pPr>
        <w:pStyle w:val="ListParagraph"/>
        <w:numPr>
          <w:ilvl w:val="0"/>
          <w:numId w:val="23"/>
        </w:numPr>
        <w:jc w:val="both"/>
        <w:rPr>
          <w:b/>
          <w:lang w:val="es-CO"/>
        </w:rPr>
      </w:pPr>
      <w:r w:rsidRPr="00606E51">
        <w:rPr>
          <w:b/>
          <w:lang w:val="es-CO"/>
        </w:rPr>
        <w:t>Construir un</w:t>
      </w:r>
      <w:r w:rsidR="00B03BE5">
        <w:rPr>
          <w:b/>
          <w:lang w:val="es-CO"/>
        </w:rPr>
        <w:t>a herramienta de monitoreo (e.g.</w:t>
      </w:r>
      <w:r w:rsidRPr="00606E51">
        <w:rPr>
          <w:b/>
          <w:lang w:val="es-CO"/>
        </w:rPr>
        <w:t xml:space="preserve"> tablero de control</w:t>
      </w:r>
      <w:r w:rsidR="00B03BE5">
        <w:rPr>
          <w:b/>
          <w:lang w:val="es-CO"/>
        </w:rPr>
        <w:t xml:space="preserve"> </w:t>
      </w:r>
      <w:r w:rsidRPr="00606E51">
        <w:rPr>
          <w:b/>
          <w:lang w:val="es-CO"/>
        </w:rPr>
        <w:t>con indicadores de proceso, producto y resultado</w:t>
      </w:r>
      <w:r w:rsidR="00B03BE5">
        <w:rPr>
          <w:b/>
          <w:lang w:val="es-CO"/>
        </w:rPr>
        <w:t>)</w:t>
      </w:r>
      <w:r w:rsidRPr="00606E51">
        <w:rPr>
          <w:b/>
          <w:lang w:val="es-CO"/>
        </w:rPr>
        <w:t xml:space="preserve">, para </w:t>
      </w:r>
      <w:r w:rsidR="00B03BE5">
        <w:rPr>
          <w:b/>
          <w:lang w:val="es-CO"/>
        </w:rPr>
        <w:t xml:space="preserve">hacer un seguimiento más sistemático al proceso de implementación, nacional y local, de la Resolución, </w:t>
      </w:r>
      <w:r w:rsidRPr="00606E51">
        <w:rPr>
          <w:b/>
          <w:lang w:val="es-CO"/>
        </w:rPr>
        <w:t>el Lineamiento y la Ruta.</w:t>
      </w:r>
    </w:p>
    <w:p w14:paraId="635BDE9C" w14:textId="77777777" w:rsidR="009073B0" w:rsidRPr="00606E51" w:rsidRDefault="009073B0" w:rsidP="009073B0">
      <w:pPr>
        <w:jc w:val="both"/>
        <w:rPr>
          <w:b/>
          <w:lang w:val="es-CO"/>
        </w:rPr>
      </w:pPr>
    </w:p>
    <w:p w14:paraId="5677FD35" w14:textId="77777777" w:rsidR="009073B0" w:rsidRPr="00606E51" w:rsidRDefault="009073B0" w:rsidP="009073B0">
      <w:pPr>
        <w:jc w:val="both"/>
        <w:rPr>
          <w:lang w:val="es-CO"/>
        </w:rPr>
      </w:pPr>
      <w:r w:rsidRPr="00606E51">
        <w:rPr>
          <w:lang w:val="es-CO"/>
        </w:rPr>
        <w:t>La oficina de planeación</w:t>
      </w:r>
      <w:r w:rsidR="000A4827">
        <w:rPr>
          <w:lang w:val="es-CO"/>
        </w:rPr>
        <w:t xml:space="preserve"> del Ministerio de Salud y protección Social</w:t>
      </w:r>
      <w:r w:rsidRPr="00606E51">
        <w:rPr>
          <w:lang w:val="es-CO"/>
        </w:rPr>
        <w:t xml:space="preserve">, </w:t>
      </w:r>
      <w:r w:rsidR="000A4827">
        <w:rPr>
          <w:lang w:val="es-CO"/>
        </w:rPr>
        <w:t>en con</w:t>
      </w:r>
      <w:r w:rsidRPr="00606E51">
        <w:rPr>
          <w:lang w:val="es-CO"/>
        </w:rPr>
        <w:t xml:space="preserve">junto con los dos </w:t>
      </w:r>
      <w:r w:rsidR="000A4827">
        <w:rPr>
          <w:lang w:val="es-CO"/>
        </w:rPr>
        <w:t xml:space="preserve">Viceminiestarios, deben </w:t>
      </w:r>
      <w:r w:rsidRPr="00606E51">
        <w:rPr>
          <w:lang w:val="es-CO"/>
        </w:rPr>
        <w:t>diseñar un instrumento de gerencia para hacerle seguimiento a la implementación de la Resolución. Este instrumento deber plantearse con una orientación de presupuesto por resultados en donde se establecen metas de proceso, producto y resultado para el corto, mediano y largo plazo. Este tablero de control debe asignar responsables de cada meta y se debe hacer un seguimiento permante a su avance.</w:t>
      </w:r>
    </w:p>
    <w:p w14:paraId="5439C1BB" w14:textId="77777777" w:rsidR="009073B0" w:rsidRPr="00606E51" w:rsidRDefault="009073B0" w:rsidP="009073B0">
      <w:pPr>
        <w:pStyle w:val="ListParagraph"/>
        <w:jc w:val="both"/>
        <w:rPr>
          <w:b/>
          <w:lang w:val="es-CO"/>
        </w:rPr>
      </w:pPr>
    </w:p>
    <w:p w14:paraId="46C9F6DA" w14:textId="77777777" w:rsidR="00F84BFB" w:rsidRPr="00606E51" w:rsidRDefault="00EC7673" w:rsidP="00BB1D7B">
      <w:pPr>
        <w:pStyle w:val="ListParagraph"/>
        <w:numPr>
          <w:ilvl w:val="0"/>
          <w:numId w:val="23"/>
        </w:numPr>
        <w:jc w:val="both"/>
        <w:rPr>
          <w:b/>
          <w:lang w:val="es-CO"/>
        </w:rPr>
      </w:pPr>
      <w:r w:rsidRPr="00606E51">
        <w:rPr>
          <w:b/>
          <w:lang w:val="es-CO"/>
        </w:rPr>
        <w:t>Calcular la costo-efectividad del Lineamiento utilizando la herramienta parametrizada de esta evaluación:</w:t>
      </w:r>
    </w:p>
    <w:p w14:paraId="4D0FF3D1" w14:textId="77777777" w:rsidR="00F16294" w:rsidRPr="00606E51" w:rsidRDefault="00F16294" w:rsidP="00F16294">
      <w:pPr>
        <w:jc w:val="both"/>
        <w:rPr>
          <w:b/>
          <w:lang w:val="es-CO"/>
        </w:rPr>
      </w:pPr>
    </w:p>
    <w:p w14:paraId="780984F8" w14:textId="77777777" w:rsidR="00EC7673" w:rsidRPr="00606E51" w:rsidRDefault="00C96FF0" w:rsidP="00F16294">
      <w:pPr>
        <w:jc w:val="both"/>
        <w:rPr>
          <w:lang w:val="es-CO"/>
        </w:rPr>
      </w:pPr>
      <w:r w:rsidRPr="00606E51">
        <w:rPr>
          <w:lang w:val="es-CO"/>
        </w:rPr>
        <w:t xml:space="preserve">Como lo informa la sección </w:t>
      </w:r>
      <w:r w:rsidRPr="00606E51">
        <w:rPr>
          <w:lang w:val="es-CO"/>
        </w:rPr>
        <w:fldChar w:fldCharType="begin"/>
      </w:r>
      <w:r w:rsidRPr="00606E51">
        <w:rPr>
          <w:lang w:val="es-CO"/>
        </w:rPr>
        <w:instrText xml:space="preserve"> REF _Ref486288792 \r \h </w:instrText>
      </w:r>
      <w:r w:rsidRPr="00606E51">
        <w:rPr>
          <w:lang w:val="es-CO"/>
        </w:rPr>
      </w:r>
      <w:r w:rsidRPr="00606E51">
        <w:rPr>
          <w:lang w:val="es-CO"/>
        </w:rPr>
        <w:fldChar w:fldCharType="separate"/>
      </w:r>
      <w:r w:rsidRPr="00606E51">
        <w:rPr>
          <w:lang w:val="es-CO"/>
        </w:rPr>
        <w:t>4.2</w:t>
      </w:r>
      <w:r w:rsidRPr="00606E51">
        <w:rPr>
          <w:lang w:val="es-CO"/>
        </w:rPr>
        <w:fldChar w:fldCharType="end"/>
      </w:r>
      <w:r w:rsidRPr="00606E51">
        <w:rPr>
          <w:lang w:val="es-CO"/>
        </w:rPr>
        <w:t xml:space="preserve">, la información ideal para calcular la costo-efectividad del Lineamiento esta en las bases de datos </w:t>
      </w:r>
      <w:r w:rsidR="009914D0" w:rsidRPr="00606E51">
        <w:rPr>
          <w:lang w:val="es-CO"/>
        </w:rPr>
        <w:t xml:space="preserve">que administra el MSPS, por esto, se recomienda que la Dirección de </w:t>
      </w:r>
      <w:r w:rsidR="006D137A" w:rsidRPr="00606E51">
        <w:rPr>
          <w:lang w:val="es-CO"/>
        </w:rPr>
        <w:t xml:space="preserve">regulación de beneficios, </w:t>
      </w:r>
      <w:r w:rsidR="009914D0" w:rsidRPr="00606E51">
        <w:rPr>
          <w:lang w:val="es-CO"/>
        </w:rPr>
        <w:t>costos y tarifas</w:t>
      </w:r>
      <w:r w:rsidR="006D137A" w:rsidRPr="00606E51">
        <w:rPr>
          <w:lang w:val="es-CO"/>
        </w:rPr>
        <w:t xml:space="preserve"> del aseguramiento recalcule los parámetros presentados, usando la herramienta parametrizada que se pone a disposición del MSPS en esta evaluación. La implementación de esta recomendación permitirá verificar con los nuevos datos que el Lineamiento sigue siendo costo-efectivo.</w:t>
      </w:r>
    </w:p>
    <w:p w14:paraId="203F1B73" w14:textId="77777777" w:rsidR="00C161C1" w:rsidRPr="00606E51" w:rsidRDefault="00C161C1" w:rsidP="00F16294">
      <w:pPr>
        <w:jc w:val="both"/>
        <w:rPr>
          <w:lang w:val="es-CO"/>
        </w:rPr>
      </w:pPr>
    </w:p>
    <w:p w14:paraId="300CE046" w14:textId="77777777" w:rsidR="006D137A" w:rsidRPr="003D6A68" w:rsidRDefault="003D6A68" w:rsidP="00BB1D7B">
      <w:pPr>
        <w:pStyle w:val="ListParagraph"/>
        <w:numPr>
          <w:ilvl w:val="0"/>
          <w:numId w:val="23"/>
        </w:numPr>
        <w:rPr>
          <w:b/>
          <w:lang w:val="es-CO"/>
        </w:rPr>
      </w:pPr>
      <w:r w:rsidRPr="003D6A68">
        <w:rPr>
          <w:b/>
          <w:lang w:val="es-CO"/>
        </w:rPr>
        <w:t>Usar las recomendaciones de la evaluación de procesos del Programa para garantizar una adecuada implementación del Lineamiento por parte de las EAPB.</w:t>
      </w:r>
    </w:p>
    <w:p w14:paraId="79049A91" w14:textId="77777777" w:rsidR="00F16294" w:rsidRPr="00606E51" w:rsidRDefault="00F16294" w:rsidP="00F16294">
      <w:pPr>
        <w:jc w:val="both"/>
        <w:rPr>
          <w:b/>
          <w:lang w:val="es-CO"/>
        </w:rPr>
      </w:pPr>
    </w:p>
    <w:p w14:paraId="40AAB545" w14:textId="77777777" w:rsidR="00B9625B" w:rsidRPr="00606E51" w:rsidRDefault="006718DA" w:rsidP="00F16294">
      <w:pPr>
        <w:jc w:val="both"/>
        <w:rPr>
          <w:lang w:val="es-CO"/>
        </w:rPr>
      </w:pPr>
      <w:r w:rsidRPr="00606E51">
        <w:rPr>
          <w:lang w:val="es-CO"/>
        </w:rPr>
        <w:t xml:space="preserve">Como lo informa tanto MSPS (2016) como los hallazgos y conclusiones de esta evaluación, la implementación del Programa por parte del MSPS tiene los elementos para mostrar que es posible </w:t>
      </w:r>
      <w:r w:rsidR="00B9625B" w:rsidRPr="00606E51">
        <w:rPr>
          <w:lang w:val="es-CO"/>
        </w:rPr>
        <w:t>llevar a cabo</w:t>
      </w:r>
      <w:r w:rsidRPr="00606E51">
        <w:rPr>
          <w:lang w:val="es-CO"/>
        </w:rPr>
        <w:t xml:space="preserve"> una atención ambulatoria </w:t>
      </w:r>
      <w:r w:rsidR="00A57C98" w:rsidRPr="00606E51">
        <w:rPr>
          <w:lang w:val="es-CO"/>
        </w:rPr>
        <w:t xml:space="preserve">usando equipos extramurales que es costo-efectiva. Se recomienda que la </w:t>
      </w:r>
      <w:r w:rsidR="00B9625B" w:rsidRPr="00606E51">
        <w:rPr>
          <w:lang w:val="es-CO"/>
        </w:rPr>
        <w:t>Subdirección de salud nutricional, alimentos y bebidas y el grupo de estudios sectoriales y evaluación de política pública realicen mesas de trabajo con las EAPB de la región para mostrar los detalles del funcionamiento del Programa, así como sus costos y beneficios y las lecciones aprendidas durante el tiempo que estuvo en funcionamiento bajo la gerencia del MSPS.</w:t>
      </w:r>
    </w:p>
    <w:p w14:paraId="6FF8F6FF" w14:textId="77777777" w:rsidR="00B9625B" w:rsidRDefault="00B9625B" w:rsidP="00B9625B">
      <w:pPr>
        <w:jc w:val="both"/>
        <w:rPr>
          <w:lang w:val="es-CO"/>
        </w:rPr>
      </w:pPr>
    </w:p>
    <w:p w14:paraId="3D289A29" w14:textId="77777777" w:rsidR="006E192E" w:rsidRDefault="006E192E" w:rsidP="00B9625B">
      <w:pPr>
        <w:jc w:val="both"/>
        <w:rPr>
          <w:lang w:val="es-CO"/>
        </w:rPr>
      </w:pPr>
    </w:p>
    <w:p w14:paraId="59AEE4BE" w14:textId="77777777" w:rsidR="006E192E" w:rsidRDefault="006E192E" w:rsidP="00B9625B">
      <w:pPr>
        <w:jc w:val="both"/>
        <w:rPr>
          <w:lang w:val="es-CO"/>
        </w:rPr>
      </w:pPr>
    </w:p>
    <w:p w14:paraId="258A42AA" w14:textId="77777777" w:rsidR="006E192E" w:rsidRPr="00606E51" w:rsidRDefault="006E192E" w:rsidP="00B9625B">
      <w:pPr>
        <w:jc w:val="both"/>
        <w:rPr>
          <w:lang w:val="es-CO"/>
        </w:rPr>
      </w:pPr>
    </w:p>
    <w:p w14:paraId="442C2DFA" w14:textId="77777777" w:rsidR="00F16294" w:rsidRPr="00606E51" w:rsidRDefault="003D6A68" w:rsidP="00BB1D7B">
      <w:pPr>
        <w:pStyle w:val="ListParagraph"/>
        <w:numPr>
          <w:ilvl w:val="0"/>
          <w:numId w:val="23"/>
        </w:numPr>
        <w:jc w:val="both"/>
        <w:rPr>
          <w:lang w:val="es-CO"/>
        </w:rPr>
      </w:pPr>
      <w:r w:rsidRPr="003D6A68">
        <w:rPr>
          <w:b/>
          <w:lang w:val="es-CO"/>
        </w:rPr>
        <w:t>Hacer un seguimiento más estricto a la adopción de la aplicación del Lineamiento por parte de las EAPB, promoviendo, sobre todo, el tratamiento ambulatorio oportuno y de calidad, por parte de sus equipos extramurales y su red prestadora de servicios</w:t>
      </w:r>
      <w:r w:rsidR="00F16294" w:rsidRPr="00606E51">
        <w:rPr>
          <w:b/>
          <w:lang w:val="es-CO"/>
        </w:rPr>
        <w:t>:</w:t>
      </w:r>
    </w:p>
    <w:p w14:paraId="6DECAED4" w14:textId="77777777" w:rsidR="00F16294" w:rsidRPr="00606E51" w:rsidRDefault="00F16294" w:rsidP="00F16294">
      <w:pPr>
        <w:jc w:val="both"/>
        <w:rPr>
          <w:lang w:val="es-CO"/>
        </w:rPr>
      </w:pPr>
    </w:p>
    <w:p w14:paraId="2BFBE125" w14:textId="77777777" w:rsidR="00E47AD8" w:rsidRPr="00606E51" w:rsidRDefault="00E47AD8" w:rsidP="00F16294">
      <w:pPr>
        <w:jc w:val="both"/>
        <w:rPr>
          <w:lang w:val="es-CO"/>
        </w:rPr>
      </w:pPr>
      <w:r w:rsidRPr="00606E51">
        <w:rPr>
          <w:lang w:val="es-CO"/>
        </w:rPr>
        <w:t>Como lo informa los hallazgos y las conclusiones, en la actualidad la implementación del Lineamiento esta apoyada en la provisión de la FTLPC</w:t>
      </w:r>
      <w:r w:rsidR="009073B0" w:rsidRPr="00606E51">
        <w:rPr>
          <w:lang w:val="es-CO"/>
        </w:rPr>
        <w:t xml:space="preserve"> como un insumo de salud pública</w:t>
      </w:r>
      <w:r w:rsidRPr="00606E51">
        <w:rPr>
          <w:lang w:val="es-CO"/>
        </w:rPr>
        <w:t xml:space="preserve"> por parte del MSPS a la secretaría de salud departamental y unos contratos por capitación bajo la modalidad de promoción y prevención entre las EAPB y su red de IPS. </w:t>
      </w:r>
      <w:r w:rsidR="009073B0" w:rsidRPr="00606E51">
        <w:rPr>
          <w:lang w:val="es-CO"/>
        </w:rPr>
        <w:t xml:space="preserve">El MSPS promoverá mesas de trabajo entre las administraciones locales de salud, las EAPB y su red prestadora para que este paquete se complemente con un adecuado seguimiento a los niños y niñas con la enfermedad o en riesgo de retornar. </w:t>
      </w:r>
    </w:p>
    <w:p w14:paraId="78F91218" w14:textId="77777777" w:rsidR="000C318A" w:rsidRPr="00606E51" w:rsidRDefault="000C318A" w:rsidP="00F16294">
      <w:pPr>
        <w:jc w:val="both"/>
        <w:rPr>
          <w:lang w:val="es-CO"/>
        </w:rPr>
      </w:pPr>
    </w:p>
    <w:p w14:paraId="063811C4" w14:textId="77777777" w:rsidR="000C318A" w:rsidRPr="00606E51" w:rsidRDefault="00F24FB9" w:rsidP="00F16294">
      <w:pPr>
        <w:jc w:val="both"/>
        <w:rPr>
          <w:color w:val="234F77" w:themeColor="accent2" w:themeShade="80"/>
          <w:sz w:val="24"/>
          <w:lang w:val="es-CO"/>
        </w:rPr>
      </w:pPr>
      <w:r w:rsidRPr="00606E51">
        <w:rPr>
          <w:b/>
          <w:i/>
          <w:color w:val="234F77" w:themeColor="accent2" w:themeShade="80"/>
          <w:sz w:val="24"/>
          <w:lang w:val="es-CO"/>
        </w:rPr>
        <w:t>Mediano plazo</w:t>
      </w:r>
    </w:p>
    <w:p w14:paraId="300E472C" w14:textId="77777777" w:rsidR="00F24FB9" w:rsidRPr="00606E51" w:rsidRDefault="00F24FB9" w:rsidP="00F16294">
      <w:pPr>
        <w:jc w:val="both"/>
        <w:rPr>
          <w:color w:val="234F77" w:themeColor="accent2" w:themeShade="80"/>
          <w:sz w:val="24"/>
          <w:lang w:val="es-CO"/>
        </w:rPr>
      </w:pPr>
    </w:p>
    <w:p w14:paraId="2ECD3AF4" w14:textId="77777777" w:rsidR="00F24FB9" w:rsidRPr="00606E51" w:rsidRDefault="00475B58" w:rsidP="00BB1D7B">
      <w:pPr>
        <w:pStyle w:val="ListParagraph"/>
        <w:numPr>
          <w:ilvl w:val="0"/>
          <w:numId w:val="23"/>
        </w:numPr>
        <w:rPr>
          <w:b/>
          <w:lang w:val="es-CO"/>
        </w:rPr>
      </w:pPr>
      <w:r w:rsidRPr="00475B58">
        <w:rPr>
          <w:b/>
          <w:lang w:val="es-CO"/>
        </w:rPr>
        <w:t>Afinar procedimientos y herramientas para calcular el costo de las rutas de atención integral en salud, priorizando, sobre todo, la Ruta contenida en la Resolución</w:t>
      </w:r>
      <w:r w:rsidR="00FB10D8" w:rsidRPr="00606E51">
        <w:rPr>
          <w:b/>
          <w:lang w:val="es-CO"/>
        </w:rPr>
        <w:t>:</w:t>
      </w:r>
    </w:p>
    <w:p w14:paraId="125B5F8F" w14:textId="77777777" w:rsidR="00F24FB9" w:rsidRPr="00606E51" w:rsidRDefault="00F24FB9" w:rsidP="00F24FB9">
      <w:pPr>
        <w:rPr>
          <w:b/>
          <w:lang w:val="es-CO"/>
        </w:rPr>
      </w:pPr>
    </w:p>
    <w:p w14:paraId="566DBE46" w14:textId="77777777" w:rsidR="00F24FB9" w:rsidRPr="00606E51" w:rsidRDefault="00F24FB9" w:rsidP="00F24FB9">
      <w:pPr>
        <w:jc w:val="both"/>
        <w:rPr>
          <w:lang w:val="es-CO"/>
        </w:rPr>
      </w:pPr>
      <w:r w:rsidRPr="00606E51">
        <w:rPr>
          <w:lang w:val="es-CO"/>
        </w:rPr>
        <w:t xml:space="preserve">Para lograr que las EAPB realicen la contratación adecuada de la atención ambulatoria usando equipos extramurales en zonas rurales y rurales dispersas es necesario que la Dirección de regulación de beneficios, costos y tarifas del aseguramiento realice los cálculos de lo que implica su implementación para diferentes tipos de zonas rurales y rurales dispersas de las que habla la Misión Rural. </w:t>
      </w:r>
    </w:p>
    <w:p w14:paraId="4B296EA7" w14:textId="77777777" w:rsidR="007D0FC0" w:rsidRPr="00606E51" w:rsidRDefault="007D0FC0" w:rsidP="00F24FB9">
      <w:pPr>
        <w:jc w:val="both"/>
        <w:rPr>
          <w:lang w:val="es-CO"/>
        </w:rPr>
      </w:pPr>
    </w:p>
    <w:p w14:paraId="0F86D3BD" w14:textId="77777777" w:rsidR="00F24FB9" w:rsidRPr="00606E51" w:rsidRDefault="00475B58" w:rsidP="00BB1D7B">
      <w:pPr>
        <w:pStyle w:val="ListParagraph"/>
        <w:numPr>
          <w:ilvl w:val="0"/>
          <w:numId w:val="23"/>
        </w:numPr>
        <w:jc w:val="both"/>
        <w:rPr>
          <w:lang w:val="es-CO"/>
        </w:rPr>
      </w:pPr>
      <w:r w:rsidRPr="00475B58">
        <w:rPr>
          <w:b/>
          <w:lang w:val="es-CO"/>
        </w:rPr>
        <w:t>Regular la contratación de las EAPB que operan en zonas rurales y rurales-dispersas, hacia el logro de resultados en salud</w:t>
      </w:r>
      <w:r w:rsidR="00FB10D8" w:rsidRPr="00606E51">
        <w:rPr>
          <w:b/>
          <w:lang w:val="es-CO"/>
        </w:rPr>
        <w:t>:</w:t>
      </w:r>
    </w:p>
    <w:p w14:paraId="4275AFAF" w14:textId="77777777" w:rsidR="007D0FC0" w:rsidRPr="00606E51" w:rsidRDefault="007D0FC0" w:rsidP="007D0FC0">
      <w:pPr>
        <w:jc w:val="both"/>
        <w:rPr>
          <w:lang w:val="es-CO"/>
        </w:rPr>
      </w:pPr>
    </w:p>
    <w:p w14:paraId="37E1A4FE" w14:textId="77777777" w:rsidR="007D0FC0" w:rsidRPr="00606E51" w:rsidRDefault="007D0FC0" w:rsidP="007D0FC0">
      <w:pPr>
        <w:jc w:val="both"/>
        <w:rPr>
          <w:lang w:val="es-CO"/>
        </w:rPr>
      </w:pPr>
      <w:r w:rsidRPr="00606E51">
        <w:rPr>
          <w:lang w:val="es-CO"/>
        </w:rPr>
        <w:t>Usando los resultados de Castaño, R.A. (2014) y los borradores de decreto de la Dirección de aseguramiento en salud, promover las modalidades de contratación orientadas a resultados en salud entre EAPB y su red de prestadores.</w:t>
      </w:r>
    </w:p>
    <w:p w14:paraId="668364A3" w14:textId="77777777" w:rsidR="007D0FC0" w:rsidRPr="00606E51" w:rsidRDefault="007D0FC0" w:rsidP="007D0FC0">
      <w:pPr>
        <w:jc w:val="both"/>
        <w:rPr>
          <w:lang w:val="es-CO"/>
        </w:rPr>
      </w:pPr>
    </w:p>
    <w:p w14:paraId="59B89C2D" w14:textId="77777777" w:rsidR="007D0FC0" w:rsidRPr="00606E51" w:rsidRDefault="007D0FC0" w:rsidP="007D0FC0">
      <w:pPr>
        <w:jc w:val="both"/>
        <w:rPr>
          <w:color w:val="234F77" w:themeColor="accent2" w:themeShade="80"/>
          <w:sz w:val="24"/>
          <w:lang w:val="es-CO"/>
        </w:rPr>
      </w:pPr>
      <w:r w:rsidRPr="00606E51">
        <w:rPr>
          <w:b/>
          <w:i/>
          <w:color w:val="234F77" w:themeColor="accent2" w:themeShade="80"/>
          <w:sz w:val="24"/>
          <w:lang w:val="es-CO"/>
        </w:rPr>
        <w:t>Largo Plazo</w:t>
      </w:r>
    </w:p>
    <w:p w14:paraId="1A4C57D2" w14:textId="77777777" w:rsidR="007D0FC0" w:rsidRPr="00606E51" w:rsidRDefault="007D0FC0" w:rsidP="007D0FC0">
      <w:pPr>
        <w:jc w:val="both"/>
        <w:rPr>
          <w:color w:val="234F77" w:themeColor="accent2" w:themeShade="80"/>
          <w:sz w:val="24"/>
          <w:lang w:val="es-CO"/>
        </w:rPr>
      </w:pPr>
    </w:p>
    <w:p w14:paraId="7DD1D539" w14:textId="77777777" w:rsidR="007D0FC0" w:rsidRPr="00606E51" w:rsidRDefault="00FB10D8" w:rsidP="00BB1D7B">
      <w:pPr>
        <w:pStyle w:val="ListParagraph"/>
        <w:numPr>
          <w:ilvl w:val="0"/>
          <w:numId w:val="23"/>
        </w:numPr>
        <w:jc w:val="both"/>
        <w:rPr>
          <w:b/>
          <w:lang w:val="es-CO"/>
        </w:rPr>
      </w:pPr>
      <w:r w:rsidRPr="00606E51">
        <w:rPr>
          <w:b/>
          <w:lang w:val="es-CO"/>
        </w:rPr>
        <w:t xml:space="preserve">Implementar </w:t>
      </w:r>
      <w:r w:rsidRPr="00606E51">
        <w:rPr>
          <w:rFonts w:eastAsia="Times New Roman"/>
          <w:b/>
          <w:lang w:val="es-CO"/>
        </w:rPr>
        <w:t>la política PAIS, en particular, los lineamientos para la atención de la población que habita la zona rural dispersa tanto de La Guajira como del resto del país:</w:t>
      </w:r>
    </w:p>
    <w:p w14:paraId="75EDE5EA" w14:textId="77777777" w:rsidR="00FB10D8" w:rsidRPr="00606E51" w:rsidRDefault="00FB10D8" w:rsidP="00FB10D8">
      <w:pPr>
        <w:jc w:val="both"/>
        <w:rPr>
          <w:b/>
          <w:lang w:val="es-CO"/>
        </w:rPr>
      </w:pPr>
    </w:p>
    <w:p w14:paraId="429A25BD" w14:textId="77777777" w:rsidR="00FB10D8" w:rsidRPr="00606E51" w:rsidRDefault="000A5E0A" w:rsidP="00FB10D8">
      <w:pPr>
        <w:jc w:val="both"/>
        <w:rPr>
          <w:lang w:val="es-CO"/>
        </w:rPr>
      </w:pPr>
      <w:r w:rsidRPr="00606E51">
        <w:rPr>
          <w:lang w:val="es-CO"/>
        </w:rPr>
        <w:t>Dado que el aseguramiento en la zona rural y rural dispersa de la Alta Guajira es fragmentado, con muchas EAPB que no garantizan la atención a la población que habita esta zona, se recomienda habilitar un único asegurador para que opere en esta zona, definiendo l</w:t>
      </w:r>
      <w:r w:rsidR="00E72EA0" w:rsidRPr="00606E51">
        <w:rPr>
          <w:lang w:val="es-CO"/>
        </w:rPr>
        <w:t xml:space="preserve">os indicadores de resultado esperado por su red de prestación de servicios a partir de contratos orientados a resultados en salud. </w:t>
      </w:r>
    </w:p>
    <w:p w14:paraId="2EA69482" w14:textId="77777777" w:rsidR="00F84BFB" w:rsidRPr="00606E51" w:rsidRDefault="00F84BFB" w:rsidP="00F84BFB">
      <w:pPr>
        <w:rPr>
          <w:lang w:val="es-CO"/>
        </w:rPr>
      </w:pPr>
    </w:p>
    <w:p w14:paraId="479C18B1" w14:textId="77777777" w:rsidR="00475B58" w:rsidRDefault="00475B58">
      <w:pPr>
        <w:spacing w:after="200" w:line="252" w:lineRule="auto"/>
        <w:rPr>
          <w:color w:val="234F77" w:themeColor="accent2" w:themeShade="80"/>
          <w:spacing w:val="15"/>
          <w:sz w:val="24"/>
          <w:szCs w:val="24"/>
          <w:lang w:val="es-CO"/>
        </w:rPr>
      </w:pPr>
      <w:r>
        <w:rPr>
          <w:lang w:val="es-CO"/>
        </w:rPr>
        <w:br w:type="page"/>
      </w:r>
    </w:p>
    <w:p w14:paraId="4A6C137E" w14:textId="77777777" w:rsidR="00F84BFB" w:rsidRPr="00606E51" w:rsidRDefault="00F84BFB" w:rsidP="008A61FD">
      <w:pPr>
        <w:pStyle w:val="Heading2"/>
        <w:rPr>
          <w:lang w:val="es-CO"/>
        </w:rPr>
      </w:pPr>
      <w:bookmarkStart w:id="117" w:name="_Toc505090958"/>
      <w:r w:rsidRPr="00606E51">
        <w:rPr>
          <w:lang w:val="es-CO"/>
        </w:rPr>
        <w:lastRenderedPageBreak/>
        <w:t>Recomendaciones a las secretarías de salud municipal y departamental</w:t>
      </w:r>
      <w:bookmarkEnd w:id="117"/>
    </w:p>
    <w:p w14:paraId="2F34B6C5" w14:textId="77777777" w:rsidR="00076187" w:rsidRPr="00606E51" w:rsidRDefault="00076187" w:rsidP="00E72EA0">
      <w:pPr>
        <w:rPr>
          <w:b/>
          <w:i/>
          <w:color w:val="234F77" w:themeColor="accent2" w:themeShade="80"/>
          <w:sz w:val="24"/>
          <w:lang w:val="es-CO"/>
        </w:rPr>
      </w:pPr>
    </w:p>
    <w:p w14:paraId="14546FEC" w14:textId="77777777" w:rsidR="00E72EA0" w:rsidRPr="00606E51" w:rsidRDefault="00076187" w:rsidP="00E72EA0">
      <w:pPr>
        <w:rPr>
          <w:lang w:val="es-CO"/>
        </w:rPr>
      </w:pPr>
      <w:r w:rsidRPr="00606E51">
        <w:rPr>
          <w:b/>
          <w:i/>
          <w:color w:val="234F77" w:themeColor="accent2" w:themeShade="80"/>
          <w:sz w:val="24"/>
          <w:lang w:val="es-CO"/>
        </w:rPr>
        <w:t>Corto plazo</w:t>
      </w:r>
    </w:p>
    <w:p w14:paraId="065667BC" w14:textId="77777777" w:rsidR="00E72EA0" w:rsidRPr="00606E51" w:rsidRDefault="00E72EA0" w:rsidP="00E72EA0">
      <w:pPr>
        <w:rPr>
          <w:lang w:val="es-CO"/>
        </w:rPr>
      </w:pPr>
    </w:p>
    <w:p w14:paraId="3BD65736" w14:textId="77777777" w:rsidR="00076187" w:rsidRPr="00606E51" w:rsidRDefault="00475B58" w:rsidP="00BB1D7B">
      <w:pPr>
        <w:pStyle w:val="ListParagraph"/>
        <w:numPr>
          <w:ilvl w:val="0"/>
          <w:numId w:val="24"/>
        </w:numPr>
        <w:rPr>
          <w:b/>
          <w:lang w:val="es-CO"/>
        </w:rPr>
      </w:pPr>
      <w:r w:rsidRPr="00475B58">
        <w:rPr>
          <w:b/>
          <w:lang w:val="es-CO"/>
        </w:rPr>
        <w:t>Definir mecanismos e instrumentos de coordinación para realizar acciones en salud pública y de seguridad alimentaria, tal y como se ordena en la Resolución 5406 y la Ley 1438</w:t>
      </w:r>
      <w:r w:rsidR="00076187" w:rsidRPr="00606E51">
        <w:rPr>
          <w:b/>
          <w:lang w:val="es-CO"/>
        </w:rPr>
        <w:t>:</w:t>
      </w:r>
    </w:p>
    <w:p w14:paraId="28DC8A23" w14:textId="77777777" w:rsidR="00076187" w:rsidRPr="00606E51" w:rsidRDefault="00076187" w:rsidP="00076187">
      <w:pPr>
        <w:rPr>
          <w:b/>
          <w:lang w:val="es-CO"/>
        </w:rPr>
      </w:pPr>
    </w:p>
    <w:p w14:paraId="2FAC1A30" w14:textId="77777777" w:rsidR="00076187" w:rsidRPr="00606E51" w:rsidRDefault="00076187" w:rsidP="00076187">
      <w:pPr>
        <w:jc w:val="both"/>
        <w:rPr>
          <w:lang w:val="es-CO"/>
        </w:rPr>
      </w:pPr>
      <w:r w:rsidRPr="00475B58">
        <w:rPr>
          <w:lang w:val="es-CO"/>
        </w:rPr>
        <w:t>Se recomienda que se convoque los instrumentos de coordinación de la política de salud y de seguridad alimentaria para permitir la operación adecuada de la Resolución en conjunto con el Lineamiento y la Ruta que la conforman. La comisión intersectorial de salud pública de los municipios objeto de esta evaluación permitirí</w:t>
      </w:r>
      <w:r w:rsidR="00F53235" w:rsidRPr="00475B58">
        <w:rPr>
          <w:lang w:val="es-CO"/>
        </w:rPr>
        <w:t>a mejorar la gobernanza, coordinación y articulación de la Resolución. La CISAN permitiría promove políticas para los determinantes sociales de la desnutrición aguda.</w:t>
      </w:r>
    </w:p>
    <w:p w14:paraId="78756320" w14:textId="77777777" w:rsidR="00F53235" w:rsidRPr="00606E51" w:rsidRDefault="00F53235" w:rsidP="00076187">
      <w:pPr>
        <w:jc w:val="both"/>
        <w:rPr>
          <w:lang w:val="es-CO"/>
        </w:rPr>
      </w:pPr>
    </w:p>
    <w:p w14:paraId="4A68AB99" w14:textId="77777777" w:rsidR="00F53235" w:rsidRPr="00606E51" w:rsidRDefault="002250C4" w:rsidP="00BB1D7B">
      <w:pPr>
        <w:pStyle w:val="ListParagraph"/>
        <w:numPr>
          <w:ilvl w:val="0"/>
          <w:numId w:val="24"/>
        </w:numPr>
        <w:jc w:val="both"/>
        <w:rPr>
          <w:b/>
          <w:lang w:val="es-CO"/>
        </w:rPr>
      </w:pPr>
      <w:r w:rsidRPr="002250C4">
        <w:rPr>
          <w:b/>
          <w:lang w:val="es-CO"/>
        </w:rPr>
        <w:t>Fortalecer las capacidades de inspección y vigilancia de las secretarías de salud municipal y departamental en la atención de la desnutrición aguda, sobre todo en zonas rurales dispersas</w:t>
      </w:r>
      <w:r w:rsidR="00B146B1" w:rsidRPr="00606E51">
        <w:rPr>
          <w:b/>
          <w:lang w:val="es-CO"/>
        </w:rPr>
        <w:t>:</w:t>
      </w:r>
    </w:p>
    <w:p w14:paraId="2C8BF8DB" w14:textId="77777777" w:rsidR="00B146B1" w:rsidRPr="00606E51" w:rsidRDefault="00B146B1" w:rsidP="00B146B1">
      <w:pPr>
        <w:jc w:val="both"/>
        <w:rPr>
          <w:b/>
          <w:lang w:val="es-CO"/>
        </w:rPr>
      </w:pPr>
    </w:p>
    <w:p w14:paraId="10D6AF18" w14:textId="77777777" w:rsidR="00B146B1" w:rsidRPr="00606E51" w:rsidRDefault="00B146B1" w:rsidP="00B146B1">
      <w:pPr>
        <w:jc w:val="both"/>
        <w:rPr>
          <w:lang w:val="es-CO"/>
        </w:rPr>
      </w:pPr>
      <w:r w:rsidRPr="00606E51">
        <w:rPr>
          <w:lang w:val="es-CO"/>
        </w:rPr>
        <w:t xml:space="preserve">Para lograr que las recomendaciones de mediano plazo del MSPS sean posibles, es necesario que las secretarías de salud municipal y departamental </w:t>
      </w:r>
      <w:r w:rsidR="002D3289" w:rsidRPr="00606E51">
        <w:rPr>
          <w:lang w:val="es-CO"/>
        </w:rPr>
        <w:t>vigilen que los seguimientos de la atención ambulatoria sean efectivos.</w:t>
      </w:r>
    </w:p>
    <w:p w14:paraId="1707F4C7" w14:textId="77777777" w:rsidR="002D3289" w:rsidRPr="00606E51" w:rsidRDefault="002D3289" w:rsidP="00B146B1">
      <w:pPr>
        <w:jc w:val="both"/>
        <w:rPr>
          <w:lang w:val="es-CO"/>
        </w:rPr>
      </w:pPr>
    </w:p>
    <w:p w14:paraId="27462D98" w14:textId="77777777" w:rsidR="002D3289" w:rsidRPr="00606E51" w:rsidRDefault="002D3289" w:rsidP="00B146B1">
      <w:pPr>
        <w:jc w:val="both"/>
        <w:rPr>
          <w:color w:val="234F77" w:themeColor="accent2" w:themeShade="80"/>
          <w:sz w:val="24"/>
          <w:lang w:val="es-CO"/>
        </w:rPr>
      </w:pPr>
      <w:r w:rsidRPr="00606E51">
        <w:rPr>
          <w:b/>
          <w:i/>
          <w:color w:val="234F77" w:themeColor="accent2" w:themeShade="80"/>
          <w:sz w:val="24"/>
          <w:lang w:val="es-CO"/>
        </w:rPr>
        <w:t>Mediano y largo plazo</w:t>
      </w:r>
    </w:p>
    <w:p w14:paraId="4A4FD5A4" w14:textId="77777777" w:rsidR="002D3289" w:rsidRPr="00606E51" w:rsidRDefault="002D3289" w:rsidP="002D3289">
      <w:pPr>
        <w:rPr>
          <w:lang w:val="es-CO"/>
        </w:rPr>
      </w:pPr>
    </w:p>
    <w:p w14:paraId="73C3E1F8" w14:textId="77777777" w:rsidR="002D3289" w:rsidRPr="00606E51" w:rsidRDefault="002D3289" w:rsidP="00BB1D7B">
      <w:pPr>
        <w:pStyle w:val="ListParagraph"/>
        <w:numPr>
          <w:ilvl w:val="0"/>
          <w:numId w:val="24"/>
        </w:numPr>
        <w:rPr>
          <w:b/>
          <w:lang w:val="es-CO"/>
        </w:rPr>
      </w:pPr>
      <w:r w:rsidRPr="00606E51">
        <w:rPr>
          <w:b/>
          <w:lang w:val="es-CO"/>
        </w:rPr>
        <w:t xml:space="preserve">Fortalece la gobernanza de </w:t>
      </w:r>
      <w:r w:rsidR="00E4533C" w:rsidRPr="00606E51">
        <w:rPr>
          <w:b/>
          <w:lang w:val="es-CO"/>
        </w:rPr>
        <w:t>las secretarías</w:t>
      </w:r>
      <w:r w:rsidRPr="00606E51">
        <w:rPr>
          <w:b/>
          <w:lang w:val="es-CO"/>
        </w:rPr>
        <w:t xml:space="preserve"> de </w:t>
      </w:r>
      <w:r w:rsidR="00E4533C" w:rsidRPr="00606E51">
        <w:rPr>
          <w:b/>
          <w:lang w:val="es-CO"/>
        </w:rPr>
        <w:t>salud municipal y departamental</w:t>
      </w:r>
    </w:p>
    <w:p w14:paraId="3CC0EECA" w14:textId="77777777" w:rsidR="00E4533C" w:rsidRPr="00606E51" w:rsidRDefault="00E4533C" w:rsidP="00E4533C">
      <w:pPr>
        <w:rPr>
          <w:b/>
          <w:lang w:val="es-CO"/>
        </w:rPr>
      </w:pPr>
    </w:p>
    <w:p w14:paraId="5095936C" w14:textId="77777777" w:rsidR="00E610AE" w:rsidRPr="00606E51" w:rsidRDefault="00E4533C" w:rsidP="00760247">
      <w:pPr>
        <w:rPr>
          <w:lang w:val="es-CO"/>
        </w:rPr>
      </w:pPr>
      <w:r w:rsidRPr="00606E51">
        <w:rPr>
          <w:lang w:val="es-CO"/>
        </w:rPr>
        <w:t xml:space="preserve">Para lograr las recomendaciones de mediano y largo plazo del MSPS, se debe fortalecer las funciones de inspección y vigilancia de las secretarías de salud municipal y departamental. </w:t>
      </w:r>
    </w:p>
    <w:p w14:paraId="1545807C" w14:textId="77777777" w:rsidR="001E7342" w:rsidRPr="00606E51" w:rsidRDefault="001E7342">
      <w:pPr>
        <w:spacing w:after="200" w:line="252" w:lineRule="auto"/>
        <w:rPr>
          <w:lang w:val="es-CO"/>
        </w:rPr>
      </w:pPr>
      <w:r w:rsidRPr="00606E51">
        <w:rPr>
          <w:lang w:val="es-CO"/>
        </w:rPr>
        <w:br w:type="page"/>
      </w:r>
    </w:p>
    <w:p w14:paraId="265EDE41" w14:textId="77777777" w:rsidR="00043646" w:rsidRPr="00606E51" w:rsidRDefault="00043646" w:rsidP="00043646">
      <w:pPr>
        <w:spacing w:after="200" w:line="252" w:lineRule="auto"/>
        <w:rPr>
          <w:b/>
          <w:lang w:val="es-CO"/>
        </w:rPr>
      </w:pPr>
    </w:p>
    <w:bookmarkStart w:id="118" w:name="_Toc505090959" w:displacedByCustomXml="next"/>
    <w:sdt>
      <w:sdtPr>
        <w:rPr>
          <w:rFonts w:asciiTheme="majorHAnsi" w:eastAsiaTheme="minorHAnsi" w:hAnsiTheme="majorHAnsi" w:cstheme="majorBidi"/>
          <w:color w:val="auto"/>
          <w:spacing w:val="0"/>
          <w:sz w:val="22"/>
          <w:szCs w:val="22"/>
          <w:lang w:val="es-CO"/>
        </w:rPr>
        <w:id w:val="-752269736"/>
        <w:docPartObj>
          <w:docPartGallery w:val="Bibliographies"/>
          <w:docPartUnique/>
        </w:docPartObj>
      </w:sdtPr>
      <w:sdtEndPr>
        <w:rPr>
          <w:rFonts w:asciiTheme="minorHAnsi" w:hAnsiTheme="minorHAnsi" w:cstheme="minorBidi"/>
        </w:rPr>
      </w:sdtEndPr>
      <w:sdtContent>
        <w:p w14:paraId="208128D9" w14:textId="77777777" w:rsidR="003B5DFD" w:rsidRPr="00606E51" w:rsidRDefault="008543FC" w:rsidP="00684143">
          <w:pPr>
            <w:pStyle w:val="Heading1"/>
            <w:rPr>
              <w:lang w:val="es-CO"/>
            </w:rPr>
          </w:pPr>
          <w:r w:rsidRPr="00606E51">
            <w:rPr>
              <w:lang w:val="es-CO"/>
            </w:rPr>
            <w:t>Bibliografía</w:t>
          </w:r>
          <w:bookmarkEnd w:id="118"/>
        </w:p>
        <w:p w14:paraId="1608E061" w14:textId="77777777" w:rsidR="008543FC" w:rsidRPr="00606E51" w:rsidRDefault="008543FC" w:rsidP="008543FC">
          <w:pPr>
            <w:rPr>
              <w:lang w:val="es-CO"/>
            </w:rPr>
          </w:pPr>
        </w:p>
        <w:p w14:paraId="6D94B104" w14:textId="77777777" w:rsidR="008543FC" w:rsidRPr="000F6E69" w:rsidRDefault="008543FC" w:rsidP="008543FC">
          <w:pPr>
            <w:pStyle w:val="Bibliography"/>
            <w:ind w:left="720" w:hanging="720"/>
            <w:rPr>
              <w:rFonts w:ascii="Times New Roman" w:hAnsi="Times New Roman" w:cs="Times New Roman"/>
              <w:sz w:val="24"/>
              <w:szCs w:val="24"/>
              <w:lang w:val="en-GB"/>
            </w:rPr>
          </w:pPr>
          <w:r w:rsidRPr="000F6E69">
            <w:rPr>
              <w:rFonts w:ascii="Times New Roman" w:hAnsi="Times New Roman" w:cs="Times New Roman"/>
              <w:lang w:val="en-GB"/>
            </w:rPr>
            <w:t xml:space="preserve">Ashworth, A., &amp; Khanum, S. (1997). Cost-effective treatment for severely malnourished children: what is the best approach? </w:t>
          </w:r>
          <w:r w:rsidRPr="000F6E69">
            <w:rPr>
              <w:rFonts w:ascii="Times New Roman" w:hAnsi="Times New Roman" w:cs="Times New Roman"/>
              <w:i/>
              <w:iCs/>
              <w:lang w:val="en-GB"/>
            </w:rPr>
            <w:t>Health Policy and Planning.</w:t>
          </w:r>
          <w:r w:rsidRPr="000F6E69">
            <w:rPr>
              <w:rFonts w:ascii="Times New Roman" w:hAnsi="Times New Roman" w:cs="Times New Roman"/>
              <w:lang w:val="en-GB"/>
            </w:rPr>
            <w:t xml:space="preserve"> </w:t>
          </w:r>
        </w:p>
        <w:p w14:paraId="7C57E71A"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Bachmann, M. (2010). Cost–effectiveness of community-based treatment of severe acute malnutrition in children. </w:t>
          </w:r>
          <w:r w:rsidRPr="000F6E69">
            <w:rPr>
              <w:rFonts w:ascii="Times New Roman" w:hAnsi="Times New Roman" w:cs="Times New Roman"/>
              <w:i/>
              <w:iCs/>
              <w:lang w:val="en-GB"/>
            </w:rPr>
            <w:t>Expert review of pharmacoeconomics &amp; outcomes research</w:t>
          </w:r>
          <w:r w:rsidRPr="000F6E69">
            <w:rPr>
              <w:rFonts w:ascii="Times New Roman" w:hAnsi="Times New Roman" w:cs="Times New Roman"/>
              <w:lang w:val="en-GB"/>
            </w:rPr>
            <w:t>.</w:t>
          </w:r>
        </w:p>
        <w:p w14:paraId="5349CC00" w14:textId="77777777" w:rsidR="008543FC" w:rsidRPr="00606E51" w:rsidRDefault="008543FC" w:rsidP="008543FC">
          <w:pPr>
            <w:pStyle w:val="Bibliography"/>
            <w:ind w:left="720" w:hanging="720"/>
            <w:rPr>
              <w:rFonts w:ascii="Times New Roman" w:hAnsi="Times New Roman" w:cs="Times New Roman"/>
            </w:rPr>
          </w:pPr>
          <w:r w:rsidRPr="000F6E69">
            <w:rPr>
              <w:rFonts w:ascii="Times New Roman" w:hAnsi="Times New Roman" w:cs="Times New Roman"/>
              <w:lang w:val="en-GB"/>
            </w:rPr>
            <w:t xml:space="preserve">Bachmann, M. O. (2009). Cost effectiveness of community-based therapeutic care for children with severe acute malnutrition in Zambia: decision tree model. </w:t>
          </w:r>
          <w:r w:rsidRPr="00606E51">
            <w:rPr>
              <w:rFonts w:ascii="Times New Roman" w:hAnsi="Times New Roman" w:cs="Times New Roman"/>
              <w:i/>
              <w:iCs/>
            </w:rPr>
            <w:t>Cost Effectiveness and Resource Allocation</w:t>
          </w:r>
          <w:r w:rsidRPr="00606E51">
            <w:rPr>
              <w:rFonts w:ascii="Times New Roman" w:hAnsi="Times New Roman" w:cs="Times New Roman"/>
            </w:rPr>
            <w:t>.</w:t>
          </w:r>
        </w:p>
        <w:p w14:paraId="51240A12" w14:textId="77777777" w:rsidR="00150D43" w:rsidRPr="000F6E69" w:rsidRDefault="00150D43" w:rsidP="005E6E67">
          <w:pPr>
            <w:ind w:left="709" w:hanging="709"/>
            <w:rPr>
              <w:lang w:val="en-GB"/>
            </w:rPr>
          </w:pPr>
          <w:r w:rsidRPr="00606E51">
            <w:rPr>
              <w:lang w:val="es-CO"/>
            </w:rPr>
            <w:t>Castaño, R.A. (2014). Mecanismos de pago en salud: Anatomía, fisiología y fisiopatología.</w:t>
          </w:r>
          <w:r w:rsidR="005E6E67" w:rsidRPr="00606E51">
            <w:rPr>
              <w:lang w:val="es-CO"/>
            </w:rPr>
            <w:t xml:space="preserve"> </w:t>
          </w:r>
          <w:r w:rsidR="005E6E67" w:rsidRPr="000F6E69">
            <w:rPr>
              <w:lang w:val="en-GB"/>
            </w:rPr>
            <w:t xml:space="preserve">Ecoe Ediciones. </w:t>
          </w:r>
        </w:p>
        <w:p w14:paraId="6EA327DB" w14:textId="77777777" w:rsidR="00150D43" w:rsidRPr="000F6E69" w:rsidRDefault="00150D43" w:rsidP="00150D43">
          <w:pPr>
            <w:rPr>
              <w:lang w:val="en-GB"/>
            </w:rPr>
          </w:pPr>
        </w:p>
        <w:p w14:paraId="043CFC2A"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Collins, S., Dent, N., Binns, P., Bahwere, P., Sadler, K., &amp; Hallam, A. (2006). Management of severe acute malnutrition in children. </w:t>
          </w:r>
          <w:r w:rsidRPr="000F6E69">
            <w:rPr>
              <w:rFonts w:ascii="Times New Roman" w:hAnsi="Times New Roman" w:cs="Times New Roman"/>
              <w:i/>
              <w:iCs/>
              <w:lang w:val="en-GB"/>
            </w:rPr>
            <w:t>The Lancet</w:t>
          </w:r>
          <w:r w:rsidRPr="000F6E69">
            <w:rPr>
              <w:rFonts w:ascii="Times New Roman" w:hAnsi="Times New Roman" w:cs="Times New Roman"/>
              <w:lang w:val="en-GB"/>
            </w:rPr>
            <w:t>.</w:t>
          </w:r>
        </w:p>
        <w:p w14:paraId="32A2979F"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Constenla, D., O'Ryan, M., Navarrete, M., Antil, L., &amp; Rheingans, R. (2006). </w:t>
          </w:r>
          <w:r w:rsidRPr="00606E51">
            <w:rPr>
              <w:rFonts w:ascii="Times New Roman" w:hAnsi="Times New Roman" w:cs="Times New Roman"/>
            </w:rPr>
            <w:t xml:space="preserve">Evaluación de costo-efectividad de la vacuna antirotavirus en Chile. </w:t>
          </w:r>
          <w:r w:rsidRPr="000F6E69">
            <w:rPr>
              <w:rFonts w:ascii="Times New Roman" w:hAnsi="Times New Roman" w:cs="Times New Roman"/>
              <w:i/>
              <w:iCs/>
              <w:lang w:val="en-GB"/>
            </w:rPr>
            <w:t>Revista Médica de Chile</w:t>
          </w:r>
          <w:r w:rsidRPr="000F6E69">
            <w:rPr>
              <w:rFonts w:ascii="Times New Roman" w:hAnsi="Times New Roman" w:cs="Times New Roman"/>
              <w:lang w:val="en-GB"/>
            </w:rPr>
            <w:t>, 679-688.</w:t>
          </w:r>
        </w:p>
        <w:p w14:paraId="229F89BA"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Devleesschauwer B, H. A. (2014). Calculating disability-adjusted life years to quantify burden of disease. </w:t>
          </w:r>
          <w:r w:rsidRPr="000F6E69">
            <w:rPr>
              <w:rFonts w:ascii="Times New Roman" w:hAnsi="Times New Roman" w:cs="Times New Roman"/>
              <w:i/>
              <w:iCs/>
              <w:lang w:val="en-GB"/>
            </w:rPr>
            <w:t>International journal of public health</w:t>
          </w:r>
          <w:r w:rsidRPr="000F6E69">
            <w:rPr>
              <w:rFonts w:ascii="Times New Roman" w:hAnsi="Times New Roman" w:cs="Times New Roman"/>
              <w:lang w:val="en-GB"/>
            </w:rPr>
            <w:t>.</w:t>
          </w:r>
        </w:p>
        <w:p w14:paraId="5D736BAD" w14:textId="77777777" w:rsidR="008543FC" w:rsidRPr="00606E51" w:rsidRDefault="008543FC" w:rsidP="008543FC">
          <w:pPr>
            <w:pStyle w:val="Bibliography"/>
            <w:ind w:left="720" w:hanging="720"/>
            <w:rPr>
              <w:rFonts w:ascii="Times New Roman" w:hAnsi="Times New Roman" w:cs="Times New Roman"/>
            </w:rPr>
          </w:pPr>
          <w:r w:rsidRPr="000F6E69">
            <w:rPr>
              <w:rFonts w:ascii="Times New Roman" w:hAnsi="Times New Roman" w:cs="Times New Roman"/>
              <w:lang w:val="en-GB"/>
            </w:rPr>
            <w:t xml:space="preserve">Drummond, M., O'Brien, B., Stoddart, G., &amp; Torrance, G. (2001). </w:t>
          </w:r>
          <w:r w:rsidRPr="00606E51">
            <w:rPr>
              <w:rFonts w:ascii="Times New Roman" w:hAnsi="Times New Roman" w:cs="Times New Roman"/>
              <w:i/>
              <w:iCs/>
            </w:rPr>
            <w:t>Métodos para la Evualuación Económica de los Programas de Asistencia Sanitaria.</w:t>
          </w:r>
          <w:r w:rsidRPr="00606E51">
            <w:rPr>
              <w:rFonts w:ascii="Times New Roman" w:hAnsi="Times New Roman" w:cs="Times New Roman"/>
            </w:rPr>
            <w:t xml:space="preserve"> Madrid: Diaz de Santos.</w:t>
          </w:r>
        </w:p>
        <w:p w14:paraId="2FF6B426" w14:textId="77777777" w:rsidR="000F7C50" w:rsidRPr="00606E51" w:rsidRDefault="008543FC" w:rsidP="00EC17C4">
          <w:pPr>
            <w:pStyle w:val="Bibliography"/>
            <w:ind w:left="720" w:hanging="720"/>
          </w:pPr>
          <w:r w:rsidRPr="00606E51">
            <w:rPr>
              <w:rFonts w:ascii="Times New Roman" w:hAnsi="Times New Roman" w:cs="Times New Roman"/>
            </w:rPr>
            <w:t xml:space="preserve">Faria, R., Duarte, A., McKenna, C., Revill, P., Cary, M., &amp; Byford, S. (2014). </w:t>
          </w:r>
          <w:r w:rsidRPr="000F6E69">
            <w:rPr>
              <w:rFonts w:ascii="Times New Roman" w:hAnsi="Times New Roman" w:cs="Times New Roman"/>
              <w:lang w:val="en-GB"/>
            </w:rPr>
            <w:t xml:space="preserve">Guidelines for the economic evaluation of healthcare technologies in Colombia: technical support documents. </w:t>
          </w:r>
          <w:r w:rsidRPr="00606E51">
            <w:rPr>
              <w:rFonts w:ascii="Times New Roman" w:hAnsi="Times New Roman" w:cs="Times New Roman"/>
              <w:i/>
              <w:iCs/>
            </w:rPr>
            <w:t>Instituto de Evaluación Tecnologico en Salud-IETS</w:t>
          </w:r>
          <w:r w:rsidRPr="00606E51">
            <w:rPr>
              <w:rFonts w:ascii="Times New Roman" w:hAnsi="Times New Roman" w:cs="Times New Roman"/>
            </w:rPr>
            <w:t>.</w:t>
          </w:r>
          <w:r w:rsidR="00EC17C4" w:rsidRPr="00606E51">
            <w:t xml:space="preserve"> </w:t>
          </w:r>
        </w:p>
        <w:p w14:paraId="2669E9A7" w14:textId="77777777" w:rsidR="001759A5" w:rsidRPr="00606E51" w:rsidRDefault="00EC17C4" w:rsidP="00B85974">
          <w:pPr>
            <w:ind w:left="709" w:hanging="709"/>
            <w:rPr>
              <w:rFonts w:eastAsiaTheme="minorHAnsi" w:cs="Times New Roman"/>
              <w:lang w:val="es-CO"/>
            </w:rPr>
          </w:pPr>
          <w:r w:rsidRPr="00606E51">
            <w:rPr>
              <w:rFonts w:eastAsiaTheme="minorHAnsi" w:cs="Times New Roman"/>
              <w:lang w:val="es-CO"/>
            </w:rPr>
            <w:t>Ferro, R., Garcia, M.C. &amp;Vives M.C. (2004).</w:t>
          </w:r>
          <w:r w:rsidR="007A64A8" w:rsidRPr="00606E51">
            <w:rPr>
              <w:rFonts w:eastAsiaTheme="minorHAnsi" w:cs="Times New Roman"/>
              <w:lang w:val="es-CO"/>
            </w:rPr>
            <w:t xml:space="preserve"> Un análisis de la adherencia </w:t>
          </w:r>
          <w:r w:rsidR="00B85974" w:rsidRPr="00606E51">
            <w:rPr>
              <w:rFonts w:eastAsiaTheme="minorHAnsi" w:cs="Times New Roman"/>
              <w:lang w:val="es-CO"/>
            </w:rPr>
            <w:t xml:space="preserve">al tratamiento en    </w:t>
          </w:r>
          <w:r w:rsidR="007A64A8" w:rsidRPr="00606E51">
            <w:rPr>
              <w:rFonts w:eastAsiaTheme="minorHAnsi" w:cs="Times New Roman"/>
              <w:lang w:val="es-CO"/>
            </w:rPr>
            <w:t xml:space="preserve">fisioterapia. </w:t>
          </w:r>
          <w:r w:rsidR="001759A5" w:rsidRPr="00606E51">
            <w:rPr>
              <w:rFonts w:eastAsiaTheme="minorHAnsi" w:cs="Times New Roman"/>
              <w:i/>
              <w:lang w:val="es-CO"/>
            </w:rPr>
            <w:t>Fisioterapia</w:t>
          </w:r>
          <w:r w:rsidR="001759A5" w:rsidRPr="00606E51">
            <w:rPr>
              <w:rFonts w:eastAsiaTheme="minorHAnsi" w:cs="Times New Roman"/>
              <w:lang w:val="es-CO"/>
            </w:rPr>
            <w:t>; 26(6):333-9</w:t>
          </w:r>
        </w:p>
        <w:p w14:paraId="483568F6" w14:textId="77777777" w:rsidR="00EC17C4" w:rsidRPr="00606E51" w:rsidRDefault="00EC17C4" w:rsidP="00EC17C4">
          <w:pPr>
            <w:rPr>
              <w:lang w:val="es-CO"/>
            </w:rPr>
          </w:pPr>
        </w:p>
        <w:p w14:paraId="44086F2C" w14:textId="77777777" w:rsidR="008543FC" w:rsidRPr="00606E51" w:rsidRDefault="008543FC" w:rsidP="008543FC">
          <w:pPr>
            <w:pStyle w:val="Bibliography"/>
            <w:ind w:left="720" w:hanging="720"/>
            <w:rPr>
              <w:rFonts w:ascii="Times New Roman" w:hAnsi="Times New Roman" w:cs="Times New Roman"/>
            </w:rPr>
          </w:pPr>
          <w:r w:rsidRPr="00606E51">
            <w:rPr>
              <w:rFonts w:ascii="Times New Roman" w:hAnsi="Times New Roman" w:cs="Times New Roman"/>
            </w:rPr>
            <w:t xml:space="preserve">Guerrero, R., Guevara, C., &amp; Parody, E. (2014). Guía metodológica para la realización de evaluaciones económicas en el marco de Guías de Práctica Clínica. </w:t>
          </w:r>
          <w:r w:rsidRPr="00606E51">
            <w:rPr>
              <w:rFonts w:ascii="Times New Roman" w:hAnsi="Times New Roman" w:cs="Times New Roman"/>
              <w:i/>
              <w:iCs/>
            </w:rPr>
            <w:t>Instituto de Evaluación Tecnologico en Salud-IETS</w:t>
          </w:r>
          <w:r w:rsidRPr="00606E51">
            <w:rPr>
              <w:rFonts w:ascii="Times New Roman" w:hAnsi="Times New Roman" w:cs="Times New Roman"/>
            </w:rPr>
            <w:t>.</w:t>
          </w:r>
        </w:p>
        <w:p w14:paraId="129DC19B" w14:textId="77777777" w:rsidR="00234BC1" w:rsidRPr="00606E51" w:rsidRDefault="00234BC1" w:rsidP="00584332">
          <w:pPr>
            <w:ind w:left="709" w:hanging="709"/>
            <w:rPr>
              <w:lang w:val="es-CO"/>
            </w:rPr>
          </w:pPr>
          <w:r w:rsidRPr="00606E51">
            <w:rPr>
              <w:lang w:val="es-CO"/>
            </w:rPr>
            <w:t>López Romero, L.A., Romero Guevara, S.L., Parra DI, Rojas Sánchez, L.Z (2016). Adherencia al tratamiento: Concepto y medición. Hacia promoc. Salud; 21(1): 117-137. DOI:10.17151/hpsal.2016.21.1.10</w:t>
          </w:r>
        </w:p>
        <w:p w14:paraId="491909E3" w14:textId="77777777" w:rsidR="004B7AEC" w:rsidRPr="00606E51" w:rsidRDefault="004B7AEC" w:rsidP="004B7AEC">
          <w:pPr>
            <w:rPr>
              <w:lang w:val="es-CO"/>
            </w:rPr>
          </w:pPr>
        </w:p>
        <w:p w14:paraId="609D143E" w14:textId="77777777" w:rsidR="008543FC" w:rsidRPr="00606E51" w:rsidRDefault="008543FC" w:rsidP="008543FC">
          <w:pPr>
            <w:pStyle w:val="Bibliography"/>
            <w:ind w:left="720" w:hanging="720"/>
            <w:rPr>
              <w:rFonts w:ascii="Times New Roman" w:hAnsi="Times New Roman" w:cs="Times New Roman"/>
            </w:rPr>
          </w:pPr>
          <w:r w:rsidRPr="00606E51">
            <w:rPr>
              <w:rFonts w:ascii="Times New Roman" w:hAnsi="Times New Roman" w:cs="Times New Roman"/>
            </w:rPr>
            <w:t xml:space="preserve">Ministerio de Salud y Protección Social y UNICEF. (2016). </w:t>
          </w:r>
          <w:r w:rsidRPr="00606E51">
            <w:rPr>
              <w:rFonts w:ascii="Times New Roman" w:hAnsi="Times New Roman" w:cs="Times New Roman"/>
              <w:i/>
              <w:iCs/>
            </w:rPr>
            <w:t>Lineamiento para el manejo integrado de la denustrición aguda moderada y severa en los niños de 0 a 59 meses de edad.</w:t>
          </w:r>
          <w:r w:rsidRPr="00606E51">
            <w:rPr>
              <w:rFonts w:ascii="Times New Roman" w:hAnsi="Times New Roman" w:cs="Times New Roman"/>
            </w:rPr>
            <w:t xml:space="preserve"> </w:t>
          </w:r>
        </w:p>
        <w:p w14:paraId="051E7302" w14:textId="77777777" w:rsidR="00E36556" w:rsidRPr="00606E51" w:rsidRDefault="00E36556" w:rsidP="00E36556">
          <w:pPr>
            <w:ind w:left="709" w:hanging="709"/>
            <w:rPr>
              <w:lang w:val="es-CO"/>
            </w:rPr>
          </w:pPr>
          <w:r w:rsidRPr="00606E51">
            <w:rPr>
              <w:rFonts w:cs="Times New Roman"/>
              <w:lang w:val="es-CO"/>
            </w:rPr>
            <w:t xml:space="preserve">Ministerio de Salud y Protección Social (2016). </w:t>
          </w:r>
          <w:r w:rsidRPr="00606E51">
            <w:rPr>
              <w:rFonts w:cs="Times New Roman"/>
              <w:i/>
              <w:lang w:val="es-CO"/>
            </w:rPr>
            <w:t>Evaluación de Procesos del Programa de  Atención Integral en Salud y Nutrición con Enfoque Comunitario en la Alta Guajira</w:t>
          </w:r>
          <w:r w:rsidRPr="00606E51">
            <w:rPr>
              <w:rFonts w:cs="Times New Roman"/>
              <w:lang w:val="es-CO"/>
            </w:rPr>
            <w:t>. Documento elaborado por la Oficina de Planeación.</w:t>
          </w:r>
        </w:p>
        <w:p w14:paraId="7C2EB717" w14:textId="77777777" w:rsidR="00E36556" w:rsidRPr="00606E51" w:rsidRDefault="00E36556" w:rsidP="00E36556">
          <w:pPr>
            <w:rPr>
              <w:lang w:val="es-CO"/>
            </w:rPr>
          </w:pPr>
        </w:p>
        <w:p w14:paraId="2732E35F" w14:textId="77777777" w:rsidR="008543FC" w:rsidRPr="00606E51" w:rsidRDefault="008543FC" w:rsidP="008543FC">
          <w:pPr>
            <w:pStyle w:val="Bibliography"/>
            <w:ind w:left="720" w:hanging="720"/>
            <w:rPr>
              <w:rFonts w:ascii="Times New Roman" w:hAnsi="Times New Roman" w:cs="Times New Roman"/>
            </w:rPr>
          </w:pPr>
          <w:r w:rsidRPr="00606E51">
            <w:rPr>
              <w:rFonts w:ascii="Times New Roman" w:hAnsi="Times New Roman" w:cs="Times New Roman"/>
            </w:rPr>
            <w:lastRenderedPageBreak/>
            <w:t xml:space="preserve">Moreno Viscaya, M., Mejía Mejía, A., &amp; Castro Jaramillo, H. E. (2014). Manual para la elaboración de evaluaciones económicas en salud. </w:t>
          </w:r>
          <w:r w:rsidRPr="00606E51">
            <w:rPr>
              <w:rFonts w:ascii="Times New Roman" w:hAnsi="Times New Roman" w:cs="Times New Roman"/>
              <w:i/>
              <w:iCs/>
            </w:rPr>
            <w:t>Instituto de Evaluación Tecnologico en Salud-IETS</w:t>
          </w:r>
          <w:r w:rsidRPr="00606E51">
            <w:rPr>
              <w:rFonts w:ascii="Times New Roman" w:hAnsi="Times New Roman" w:cs="Times New Roman"/>
            </w:rPr>
            <w:t>.</w:t>
          </w:r>
        </w:p>
        <w:p w14:paraId="66496A48" w14:textId="77777777" w:rsidR="00864016" w:rsidRPr="00606E51" w:rsidRDefault="00864016" w:rsidP="00864016">
          <w:pPr>
            <w:ind w:left="709" w:hanging="709"/>
            <w:rPr>
              <w:lang w:val="es-CO"/>
            </w:rPr>
          </w:pPr>
          <w:r w:rsidRPr="00606E51">
            <w:rPr>
              <w:lang w:val="es-CO"/>
            </w:rPr>
            <w:t>Múnera Múnera, HD. &amp; Piedrahita Calderón, ME. (2008). Evaluación de la baja adherencia a guías médicas implementadas en la ESE Hospital San Vicente de Paul de Caldas Antioquia primer semestre 2008 [Tesis de Especialización] Medellín: Universidad de Antioquia.</w:t>
          </w:r>
        </w:p>
        <w:p w14:paraId="297F43E5" w14:textId="77777777" w:rsidR="00864016" w:rsidRPr="00606E51" w:rsidRDefault="00864016" w:rsidP="00864016">
          <w:pPr>
            <w:ind w:left="709" w:hanging="709"/>
            <w:rPr>
              <w:lang w:val="es-CO"/>
            </w:rPr>
          </w:pPr>
        </w:p>
        <w:p w14:paraId="125C65B6"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Murray CJL, L. A. (1996). The Global Burden of Disease: a comprehensive assessment of mortality and disability from diseases, injuries and risk factors in 1990 and projected to 2020. </w:t>
          </w:r>
          <w:r w:rsidRPr="000F6E69">
            <w:rPr>
              <w:rFonts w:ascii="Times New Roman" w:hAnsi="Times New Roman" w:cs="Times New Roman"/>
              <w:i/>
              <w:iCs/>
              <w:lang w:val="en-GB"/>
            </w:rPr>
            <w:t>Harvard University Press</w:t>
          </w:r>
          <w:r w:rsidRPr="000F6E69">
            <w:rPr>
              <w:rFonts w:ascii="Times New Roman" w:hAnsi="Times New Roman" w:cs="Times New Roman"/>
              <w:lang w:val="en-GB"/>
            </w:rPr>
            <w:t>.</w:t>
          </w:r>
        </w:p>
        <w:p w14:paraId="7DB6AF76"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Murray, C., Vos, T., Lozano, R., Naghavi, M., Flaxman, A., Michaud, C., . . . Aboyans, V. (2013). Disability-adjusted life years (DALYs) for 291 diseases and injuries in 21 regions, 1990–2010: a systematic analysis for the Global Burden of Disease Study 2010. </w:t>
          </w:r>
          <w:r w:rsidRPr="000F6E69">
            <w:rPr>
              <w:rFonts w:ascii="Times New Roman" w:hAnsi="Times New Roman" w:cs="Times New Roman"/>
              <w:i/>
              <w:iCs/>
              <w:lang w:val="en-GB"/>
            </w:rPr>
            <w:t>The lancet</w:t>
          </w:r>
          <w:r w:rsidRPr="000F6E69">
            <w:rPr>
              <w:rFonts w:ascii="Times New Roman" w:hAnsi="Times New Roman" w:cs="Times New Roman"/>
              <w:lang w:val="en-GB"/>
            </w:rPr>
            <w:t>.</w:t>
          </w:r>
        </w:p>
        <w:p w14:paraId="6476327C"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OMS. (2013). WHO methods and data sources for global burden of disease estimates 2000-2011. </w:t>
          </w:r>
          <w:r w:rsidRPr="000F6E69">
            <w:rPr>
              <w:rFonts w:ascii="Times New Roman" w:hAnsi="Times New Roman" w:cs="Times New Roman"/>
              <w:i/>
              <w:iCs/>
              <w:lang w:val="en-GB"/>
            </w:rPr>
            <w:t>Department of Health Statistics and Information</w:t>
          </w:r>
          <w:r w:rsidRPr="000F6E69">
            <w:rPr>
              <w:rFonts w:ascii="Times New Roman" w:hAnsi="Times New Roman" w:cs="Times New Roman"/>
              <w:lang w:val="en-GB"/>
            </w:rPr>
            <w:t>.</w:t>
          </w:r>
        </w:p>
        <w:p w14:paraId="257B9930"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Puett, C., Sadler, K., Alderman, H. C., Fiedler, J., &amp; Myatt, M. (2013). Cost-effectiveness of the community-based management of severe acute malnutrition by community health workers in southern Bangladesh. </w:t>
          </w:r>
          <w:r w:rsidRPr="000F6E69">
            <w:rPr>
              <w:rFonts w:ascii="Times New Roman" w:hAnsi="Times New Roman" w:cs="Times New Roman"/>
              <w:i/>
              <w:iCs/>
              <w:lang w:val="en-GB"/>
            </w:rPr>
            <w:t>Health policy and planning</w:t>
          </w:r>
          <w:r w:rsidRPr="000F6E69">
            <w:rPr>
              <w:rFonts w:ascii="Times New Roman" w:hAnsi="Times New Roman" w:cs="Times New Roman"/>
              <w:lang w:val="en-GB"/>
            </w:rPr>
            <w:t>.</w:t>
          </w:r>
        </w:p>
        <w:p w14:paraId="11B08D9F" w14:textId="77777777" w:rsidR="008543FC" w:rsidRPr="000F6E69" w:rsidRDefault="008543FC" w:rsidP="008543FC">
          <w:pPr>
            <w:pStyle w:val="Bibliography"/>
            <w:ind w:left="720" w:hanging="720"/>
            <w:rPr>
              <w:rFonts w:ascii="Times New Roman" w:hAnsi="Times New Roman" w:cs="Times New Roman"/>
              <w:lang w:val="en-GB"/>
            </w:rPr>
          </w:pPr>
          <w:r w:rsidRPr="000F6E69">
            <w:rPr>
              <w:rFonts w:ascii="Times New Roman" w:hAnsi="Times New Roman" w:cs="Times New Roman"/>
              <w:lang w:val="en-GB"/>
            </w:rPr>
            <w:t xml:space="preserve">Puett, C., Sadler, K., Alderman, H., Coates, J., Fiedler, J. L., &amp; Myatt, M. (2013). Cost-effectiveness of the community-based management of severe acute malnutrition by community health workers in southern Bangladesh. </w:t>
          </w:r>
          <w:r w:rsidRPr="000F6E69">
            <w:rPr>
              <w:rFonts w:ascii="Times New Roman" w:hAnsi="Times New Roman" w:cs="Times New Roman"/>
              <w:i/>
              <w:iCs/>
              <w:lang w:val="en-GB"/>
            </w:rPr>
            <w:t>Health Policy and Planning</w:t>
          </w:r>
        </w:p>
        <w:p w14:paraId="3D35D5AB" w14:textId="77777777" w:rsidR="006A6A91" w:rsidRPr="00606E51" w:rsidRDefault="008543FC" w:rsidP="008543FC">
          <w:pPr>
            <w:pStyle w:val="Bibliography"/>
            <w:ind w:left="720" w:hanging="720"/>
            <w:rPr>
              <w:rFonts w:ascii="Times New Roman" w:hAnsi="Times New Roman" w:cs="Times New Roman"/>
            </w:rPr>
          </w:pPr>
          <w:r w:rsidRPr="000F6E69">
            <w:rPr>
              <w:rFonts w:ascii="Times New Roman" w:hAnsi="Times New Roman" w:cs="Times New Roman"/>
              <w:lang w:val="en-GB"/>
            </w:rPr>
            <w:t xml:space="preserve">Tekeste, A., Wondafrash, M., Azene, M., &amp; Deribe, K. (2012). Cost effectiveness of community-based and in-patient therapeutic feeding programs to treat severe acute malnutrition in Ethiopia. </w:t>
          </w:r>
          <w:r w:rsidRPr="00606E51">
            <w:rPr>
              <w:rFonts w:ascii="Times New Roman" w:hAnsi="Times New Roman" w:cs="Times New Roman"/>
              <w:i/>
              <w:iCs/>
            </w:rPr>
            <w:t>Cost Effectiveness and Resource Allocation</w:t>
          </w:r>
        </w:p>
      </w:sdtContent>
    </w:sdt>
    <w:p w14:paraId="5552D0D8" w14:textId="77777777" w:rsidR="006A6A91" w:rsidRPr="00606E51" w:rsidRDefault="006A6A91" w:rsidP="006A6A91">
      <w:pPr>
        <w:rPr>
          <w:rFonts w:cs="Times New Roman"/>
          <w:lang w:val="es-CO"/>
        </w:rPr>
      </w:pPr>
    </w:p>
    <w:p w14:paraId="6522D27F" w14:textId="77777777" w:rsidR="00D6722E" w:rsidRPr="00606E51" w:rsidRDefault="00D6722E">
      <w:pPr>
        <w:rPr>
          <w:rFonts w:cs="Times New Roman"/>
          <w:lang w:val="es-CO"/>
        </w:rPr>
      </w:pPr>
      <w:r w:rsidRPr="00606E51">
        <w:rPr>
          <w:rFonts w:cs="Times New Roman"/>
          <w:lang w:val="es-CO"/>
        </w:rPr>
        <w:br w:type="page"/>
      </w:r>
    </w:p>
    <w:p w14:paraId="03F23EC9" w14:textId="77777777" w:rsidR="006A6A91" w:rsidRPr="00606E51" w:rsidRDefault="006A6A91" w:rsidP="006A6A91">
      <w:pPr>
        <w:rPr>
          <w:rFonts w:cs="Times New Roman"/>
          <w:lang w:val="es-CO"/>
        </w:rPr>
      </w:pPr>
    </w:p>
    <w:p w14:paraId="7F5F6707" w14:textId="77777777" w:rsidR="006A6A91" w:rsidRPr="00606E51" w:rsidRDefault="006A6A91" w:rsidP="006A6A91">
      <w:pPr>
        <w:rPr>
          <w:rFonts w:cs="Times New Roman"/>
          <w:lang w:val="es-CO"/>
        </w:rPr>
      </w:pPr>
    </w:p>
    <w:p w14:paraId="0A0078B9" w14:textId="77777777" w:rsidR="00022887" w:rsidRPr="00606E51" w:rsidRDefault="00F875FF" w:rsidP="00684143">
      <w:pPr>
        <w:pStyle w:val="Heading1"/>
        <w:rPr>
          <w:lang w:val="es-CO"/>
        </w:rPr>
      </w:pPr>
      <w:bookmarkStart w:id="119" w:name="_Toc481101246"/>
      <w:bookmarkStart w:id="120" w:name="_Toc505090960"/>
      <w:r w:rsidRPr="00606E51">
        <w:rPr>
          <w:lang w:val="es-CO"/>
        </w:rPr>
        <w:t>Anexos</w:t>
      </w:r>
      <w:bookmarkEnd w:id="119"/>
      <w:bookmarkEnd w:id="120"/>
    </w:p>
    <w:p w14:paraId="4F240A60" w14:textId="77777777" w:rsidR="00B97DC4" w:rsidRPr="00606E51" w:rsidRDefault="00B97DC4" w:rsidP="008A61FD">
      <w:pPr>
        <w:pStyle w:val="Heading2"/>
        <w:rPr>
          <w:lang w:val="es-CO"/>
        </w:rPr>
      </w:pPr>
      <w:bookmarkStart w:id="121" w:name="_Toc481101251"/>
      <w:r w:rsidRPr="00606E51">
        <w:rPr>
          <w:lang w:val="es-CO"/>
        </w:rPr>
        <w:t xml:space="preserve"> </w:t>
      </w:r>
      <w:bookmarkStart w:id="122" w:name="_Toc505090961"/>
      <w:bookmarkEnd w:id="121"/>
      <w:r w:rsidRPr="00606E51">
        <w:rPr>
          <w:lang w:val="es-CO"/>
        </w:rPr>
        <w:t>Términos de referencia</w:t>
      </w:r>
      <w:bookmarkEnd w:id="122"/>
    </w:p>
    <w:p w14:paraId="34AEF56B" w14:textId="77777777" w:rsidR="00B97DC4" w:rsidRPr="00606E51" w:rsidRDefault="00B97DC4" w:rsidP="0022109F">
      <w:pPr>
        <w:pStyle w:val="Heading2"/>
        <w:rPr>
          <w:lang w:val="es-CO"/>
        </w:rPr>
      </w:pPr>
      <w:r w:rsidRPr="00606E51">
        <w:rPr>
          <w:lang w:val="es-CO"/>
        </w:rPr>
        <w:t xml:space="preserve"> </w:t>
      </w:r>
      <w:bookmarkStart w:id="123" w:name="_Ref485186125"/>
      <w:bookmarkStart w:id="124" w:name="_Ref485186183"/>
      <w:bookmarkStart w:id="125" w:name="_Ref485186266"/>
      <w:bookmarkStart w:id="126" w:name="_Toc505090962"/>
      <w:r w:rsidRPr="00606E51">
        <w:rPr>
          <w:lang w:val="es-CO"/>
        </w:rPr>
        <w:t>Instrumentos cualitativos</w:t>
      </w:r>
      <w:bookmarkEnd w:id="123"/>
      <w:bookmarkEnd w:id="124"/>
      <w:bookmarkEnd w:id="125"/>
      <w:bookmarkEnd w:id="126"/>
    </w:p>
    <w:p w14:paraId="3709DCF8" w14:textId="77777777" w:rsidR="00B97DC4" w:rsidRPr="00606E51" w:rsidRDefault="00B97DC4" w:rsidP="00720146">
      <w:pPr>
        <w:pStyle w:val="Heading2"/>
        <w:rPr>
          <w:lang w:val="es-CO"/>
        </w:rPr>
      </w:pPr>
      <w:r w:rsidRPr="00606E51">
        <w:rPr>
          <w:lang w:val="es-CO"/>
        </w:rPr>
        <w:t xml:space="preserve"> </w:t>
      </w:r>
      <w:bookmarkStart w:id="127" w:name="_Ref485186282"/>
      <w:bookmarkStart w:id="128" w:name="_Toc505090963"/>
      <w:r w:rsidRPr="00606E51">
        <w:rPr>
          <w:lang w:val="es-CO"/>
        </w:rPr>
        <w:t>Informe de salida de campo</w:t>
      </w:r>
      <w:bookmarkEnd w:id="127"/>
      <w:bookmarkEnd w:id="128"/>
    </w:p>
    <w:p w14:paraId="106EDA6E" w14:textId="77777777" w:rsidR="00D70F3B" w:rsidRPr="00606E51" w:rsidRDefault="00B97DC4" w:rsidP="00720146">
      <w:pPr>
        <w:pStyle w:val="Heading2"/>
        <w:rPr>
          <w:lang w:val="es-CO"/>
        </w:rPr>
      </w:pPr>
      <w:r w:rsidRPr="00606E51">
        <w:rPr>
          <w:lang w:val="es-CO"/>
        </w:rPr>
        <w:t xml:space="preserve"> </w:t>
      </w:r>
      <w:bookmarkStart w:id="129" w:name="_Ref485186224"/>
      <w:bookmarkStart w:id="130" w:name="_Toc505090964"/>
      <w:r w:rsidRPr="00606E51">
        <w:rPr>
          <w:lang w:val="es-CO"/>
        </w:rPr>
        <w:t>Matriz de evaluación</w:t>
      </w:r>
      <w:bookmarkEnd w:id="129"/>
      <w:bookmarkEnd w:id="130"/>
    </w:p>
    <w:p w14:paraId="07BE7A9E" w14:textId="77777777" w:rsidR="00D70F3B" w:rsidRPr="00606E51" w:rsidRDefault="00D70F3B" w:rsidP="00720146">
      <w:pPr>
        <w:pStyle w:val="Heading2"/>
        <w:rPr>
          <w:lang w:val="es-CO"/>
        </w:rPr>
      </w:pPr>
      <w:r w:rsidRPr="00606E51">
        <w:rPr>
          <w:lang w:val="es-CO"/>
        </w:rPr>
        <w:t xml:space="preserve"> </w:t>
      </w:r>
      <w:bookmarkStart w:id="131" w:name="_Ref486287987"/>
      <w:bookmarkStart w:id="132" w:name="_Toc505090965"/>
      <w:r w:rsidRPr="00606E51">
        <w:rPr>
          <w:lang w:val="es-CO"/>
        </w:rPr>
        <w:t>Análisis de sensibilidad</w:t>
      </w:r>
      <w:bookmarkEnd w:id="131"/>
      <w:bookmarkEnd w:id="132"/>
    </w:p>
    <w:p w14:paraId="3172ABE8" w14:textId="77777777" w:rsidR="00365F02" w:rsidRPr="00606E51" w:rsidRDefault="00B97DC4" w:rsidP="00720146">
      <w:pPr>
        <w:pStyle w:val="Heading2"/>
        <w:rPr>
          <w:lang w:val="es-CO"/>
        </w:rPr>
      </w:pPr>
      <w:r w:rsidRPr="00606E51">
        <w:rPr>
          <w:lang w:val="es-CO"/>
        </w:rPr>
        <w:t xml:space="preserve"> </w:t>
      </w:r>
      <w:bookmarkStart w:id="133" w:name="_Ref486288672"/>
      <w:bookmarkStart w:id="134" w:name="_Toc505090966"/>
      <w:r w:rsidR="00365F02" w:rsidRPr="00606E51">
        <w:rPr>
          <w:lang w:val="es-CO"/>
        </w:rPr>
        <w:t>Herramienta parametrizada</w:t>
      </w:r>
      <w:bookmarkEnd w:id="133"/>
      <w:bookmarkEnd w:id="134"/>
    </w:p>
    <w:p w14:paraId="1739B914" w14:textId="77777777" w:rsidR="00365F02" w:rsidRPr="00606E51" w:rsidRDefault="00365F02" w:rsidP="00720146">
      <w:pPr>
        <w:pStyle w:val="Heading2"/>
        <w:rPr>
          <w:lang w:val="es-CO"/>
        </w:rPr>
      </w:pPr>
      <w:r w:rsidRPr="00606E51">
        <w:rPr>
          <w:lang w:val="es-CO"/>
        </w:rPr>
        <w:t xml:space="preserve"> </w:t>
      </w:r>
      <w:bookmarkStart w:id="135" w:name="_Toc505090967"/>
      <w:r w:rsidRPr="00606E51">
        <w:rPr>
          <w:lang w:val="es-CO"/>
        </w:rPr>
        <w:t>Revisión de la literatura criterio costo-efectividad</w:t>
      </w:r>
      <w:bookmarkEnd w:id="135"/>
    </w:p>
    <w:p w14:paraId="1C7DE6EB" w14:textId="77777777" w:rsidR="00C43666" w:rsidRPr="00606E51" w:rsidRDefault="00B97DC4" w:rsidP="00720146">
      <w:pPr>
        <w:pStyle w:val="Heading2"/>
        <w:numPr>
          <w:ilvl w:val="0"/>
          <w:numId w:val="0"/>
        </w:numPr>
        <w:rPr>
          <w:lang w:val="es-CO"/>
        </w:rPr>
      </w:pPr>
      <w:r w:rsidRPr="00606E51">
        <w:rPr>
          <w:lang w:val="es-CO"/>
        </w:rPr>
        <w:t xml:space="preserve"> </w:t>
      </w:r>
    </w:p>
    <w:p w14:paraId="2510971F" w14:textId="77777777" w:rsidR="00B97DC4" w:rsidRPr="00606E51" w:rsidRDefault="00B97DC4" w:rsidP="00B97DC4">
      <w:pPr>
        <w:rPr>
          <w:lang w:val="es-CO"/>
        </w:rPr>
      </w:pPr>
    </w:p>
    <w:sectPr w:rsidR="00B97DC4" w:rsidRPr="00606E51" w:rsidSect="00961280">
      <w:headerReference w:type="default" r:id="rId20"/>
      <w:footerReference w:type="default" r:id="rId21"/>
      <w:type w:val="continuous"/>
      <w:pgSz w:w="12240" w:h="15840"/>
      <w:pgMar w:top="1440" w:right="1727" w:bottom="1440" w:left="172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4D97D" w14:textId="77777777" w:rsidR="00F16AAB" w:rsidRDefault="00F16AAB" w:rsidP="00FC31CE">
      <w:r>
        <w:separator/>
      </w:r>
    </w:p>
  </w:endnote>
  <w:endnote w:type="continuationSeparator" w:id="0">
    <w:p w14:paraId="10BDA9A2" w14:textId="77777777" w:rsidR="00F16AAB" w:rsidRDefault="00F16AAB" w:rsidP="00FC3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533886"/>
      <w:docPartObj>
        <w:docPartGallery w:val="Page Numbers (Bottom of Page)"/>
        <w:docPartUnique/>
      </w:docPartObj>
    </w:sdtPr>
    <w:sdtContent>
      <w:p w14:paraId="1A9C90A8" w14:textId="2FE944C4" w:rsidR="00F16AAB" w:rsidRDefault="00F16AAB">
        <w:pPr>
          <w:pStyle w:val="Footer"/>
          <w:jc w:val="right"/>
        </w:pPr>
        <w:r>
          <w:fldChar w:fldCharType="begin"/>
        </w:r>
        <w:r>
          <w:instrText>PAGE   \* MERGEFORMAT</w:instrText>
        </w:r>
        <w:r>
          <w:fldChar w:fldCharType="separate"/>
        </w:r>
        <w:r w:rsidR="001E7E37">
          <w:rPr>
            <w:noProof/>
          </w:rPr>
          <w:t>17</w:t>
        </w:r>
        <w:r>
          <w:fldChar w:fldCharType="end"/>
        </w:r>
      </w:p>
    </w:sdtContent>
  </w:sdt>
  <w:p w14:paraId="03663E26" w14:textId="77777777" w:rsidR="00F16AAB" w:rsidRDefault="00F16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231560"/>
      <w:docPartObj>
        <w:docPartGallery w:val="Page Numbers (Bottom of Page)"/>
        <w:docPartUnique/>
      </w:docPartObj>
    </w:sdtPr>
    <w:sdtContent>
      <w:p w14:paraId="139E3760" w14:textId="18096F75" w:rsidR="00F16AAB" w:rsidRDefault="00F16AAB">
        <w:pPr>
          <w:pStyle w:val="Footer"/>
          <w:jc w:val="right"/>
        </w:pPr>
        <w:r>
          <w:fldChar w:fldCharType="begin"/>
        </w:r>
        <w:r>
          <w:instrText>PAGE   \* MERGEFORMAT</w:instrText>
        </w:r>
        <w:r>
          <w:fldChar w:fldCharType="separate"/>
        </w:r>
        <w:r w:rsidR="001E7E37">
          <w:rPr>
            <w:noProof/>
          </w:rPr>
          <w:t>18</w:t>
        </w:r>
        <w:r>
          <w:fldChar w:fldCharType="end"/>
        </w:r>
      </w:p>
    </w:sdtContent>
  </w:sdt>
  <w:p w14:paraId="37BF2BCD" w14:textId="77777777" w:rsidR="00F16AAB" w:rsidRDefault="00F16A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0157264"/>
      <w:docPartObj>
        <w:docPartGallery w:val="Page Numbers (Bottom of Page)"/>
        <w:docPartUnique/>
      </w:docPartObj>
    </w:sdtPr>
    <w:sdtContent>
      <w:p w14:paraId="1A6F3614" w14:textId="3913B0CE" w:rsidR="00F16AAB" w:rsidRDefault="00F16AAB">
        <w:pPr>
          <w:pStyle w:val="Footer"/>
          <w:jc w:val="right"/>
        </w:pPr>
        <w:r>
          <w:fldChar w:fldCharType="begin"/>
        </w:r>
        <w:r>
          <w:instrText>PAGE   \* MERGEFORMAT</w:instrText>
        </w:r>
        <w:r>
          <w:fldChar w:fldCharType="separate"/>
        </w:r>
        <w:r w:rsidR="001E7E37">
          <w:rPr>
            <w:noProof/>
          </w:rPr>
          <w:t>35</w:t>
        </w:r>
        <w:r>
          <w:fldChar w:fldCharType="end"/>
        </w:r>
      </w:p>
    </w:sdtContent>
  </w:sdt>
  <w:p w14:paraId="377A60DA" w14:textId="77777777" w:rsidR="00F16AAB" w:rsidRDefault="00F16A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5893840"/>
      <w:docPartObj>
        <w:docPartGallery w:val="Page Numbers (Bottom of Page)"/>
        <w:docPartUnique/>
      </w:docPartObj>
    </w:sdtPr>
    <w:sdtContent>
      <w:p w14:paraId="79EA6DC9" w14:textId="29CD0261" w:rsidR="00F16AAB" w:rsidRDefault="00F16AAB">
        <w:pPr>
          <w:pStyle w:val="Footer"/>
          <w:jc w:val="right"/>
        </w:pPr>
        <w:r>
          <w:fldChar w:fldCharType="begin"/>
        </w:r>
        <w:r>
          <w:instrText>PAGE   \* MERGEFORMAT</w:instrText>
        </w:r>
        <w:r>
          <w:fldChar w:fldCharType="separate"/>
        </w:r>
        <w:r w:rsidR="001E7E37">
          <w:rPr>
            <w:noProof/>
          </w:rPr>
          <w:t>42</w:t>
        </w:r>
        <w:r>
          <w:fldChar w:fldCharType="end"/>
        </w:r>
      </w:p>
    </w:sdtContent>
  </w:sdt>
  <w:p w14:paraId="3182AC16" w14:textId="77777777" w:rsidR="00F16AAB" w:rsidRDefault="00F16AAB">
    <w:pPr>
      <w:pStyle w:val="Footer"/>
    </w:pPr>
  </w:p>
  <w:p w14:paraId="7D108967" w14:textId="77777777" w:rsidR="00F16AAB" w:rsidRDefault="00F16A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53E16" w14:textId="77777777" w:rsidR="00F16AAB" w:rsidRDefault="00F16AAB" w:rsidP="00FC31CE">
      <w:r>
        <w:separator/>
      </w:r>
    </w:p>
  </w:footnote>
  <w:footnote w:type="continuationSeparator" w:id="0">
    <w:p w14:paraId="1B811F6A" w14:textId="77777777" w:rsidR="00F16AAB" w:rsidRDefault="00F16AAB" w:rsidP="00FC31CE">
      <w:r>
        <w:continuationSeparator/>
      </w:r>
    </w:p>
  </w:footnote>
  <w:footnote w:id="1">
    <w:p w14:paraId="714FAABB" w14:textId="77777777" w:rsidR="00F16AAB" w:rsidRDefault="00F16AAB" w:rsidP="00935D26">
      <w:pPr>
        <w:pStyle w:val="FootnoteText"/>
      </w:pPr>
      <w:r>
        <w:rPr>
          <w:rStyle w:val="FootnoteReference"/>
        </w:rPr>
        <w:footnoteRef/>
      </w:r>
      <w:r>
        <w:t xml:space="preserve"> En la primera etapa de la evaluación se contó con el apoyo de Laura Liévano Karim y María Andrea Rueda Páramo.</w:t>
      </w:r>
    </w:p>
  </w:footnote>
  <w:footnote w:id="2">
    <w:p w14:paraId="1855BE2C" w14:textId="77777777" w:rsidR="00F16AAB" w:rsidRPr="00FD3315" w:rsidRDefault="00F16AAB" w:rsidP="00935D26">
      <w:pPr>
        <w:pStyle w:val="FootnoteText"/>
      </w:pPr>
      <w:r>
        <w:rPr>
          <w:rStyle w:val="FootnoteReference"/>
        </w:rPr>
        <w:footnoteRef/>
      </w:r>
      <w:r>
        <w:t xml:space="preserve"> Según se describe en el Anexo de la </w:t>
      </w:r>
      <w:r w:rsidRPr="00FD3315">
        <w:t>Resolución 5406 de 2015</w:t>
      </w:r>
      <w:r>
        <w:t xml:space="preserve"> del Ministerio de Salud y Protección Social.</w:t>
      </w:r>
    </w:p>
  </w:footnote>
  <w:footnote w:id="3">
    <w:p w14:paraId="2C6D69BD" w14:textId="77777777" w:rsidR="00F16AAB" w:rsidRPr="00E3278C" w:rsidRDefault="00F16AAB" w:rsidP="00935D26">
      <w:pPr>
        <w:pStyle w:val="FootnoteText"/>
      </w:pPr>
      <w:r>
        <w:rPr>
          <w:rStyle w:val="FootnoteReference"/>
        </w:rPr>
        <w:footnoteRef/>
      </w:r>
      <w:r>
        <w:t xml:space="preserve"> </w:t>
      </w:r>
      <w:r w:rsidRPr="00E3278C">
        <w:t>Los AVAD son los años de vida saludable perdidos como consecuencia de la desnutrición aguda</w:t>
      </w:r>
    </w:p>
  </w:footnote>
  <w:footnote w:id="4">
    <w:p w14:paraId="7C7E43A2" w14:textId="7F09702D" w:rsidR="00F16AAB" w:rsidRPr="001752D9" w:rsidRDefault="00F16AAB" w:rsidP="00935D26">
      <w:pPr>
        <w:pStyle w:val="FootnoteText"/>
      </w:pPr>
      <w:r>
        <w:rPr>
          <w:rStyle w:val="FootnoteReference"/>
        </w:rPr>
        <w:footnoteRef/>
      </w:r>
      <w:r>
        <w:t xml:space="preserve"> Dicha información incluye, los </w:t>
      </w:r>
      <w:r w:rsidRPr="001752D9">
        <w:t xml:space="preserve">datos de efectividad reportados por los equipos extramurales contratados </w:t>
      </w:r>
      <w:r>
        <w:t xml:space="preserve">por el </w:t>
      </w:r>
      <w:r w:rsidRPr="001752D9">
        <w:t xml:space="preserve">MSPS </w:t>
      </w:r>
      <w:r>
        <w:t xml:space="preserve">para implementar </w:t>
      </w:r>
      <w:r w:rsidRPr="001752D9">
        <w:t>el Programa de Atención Integral en Salud y Nutrición con Enfoque Comunitario</w:t>
      </w:r>
      <w:r>
        <w:t>; la</w:t>
      </w:r>
      <w:r w:rsidRPr="001752D9">
        <w:t xml:space="preserve"> observación de campo y los resultados de las entrevistas y los grupos de discusión dirigida</w:t>
      </w:r>
      <w:r>
        <w:t>, tanto en el nivel local como en el nivel nacional central.</w:t>
      </w:r>
    </w:p>
  </w:footnote>
  <w:footnote w:id="5">
    <w:p w14:paraId="12F5A51A" w14:textId="77777777" w:rsidR="00F16AAB" w:rsidRPr="00DF6E03" w:rsidRDefault="00F16AAB" w:rsidP="00935D26">
      <w:pPr>
        <w:pStyle w:val="FootnoteText"/>
      </w:pPr>
      <w:r>
        <w:rPr>
          <w:rStyle w:val="FootnoteReference"/>
        </w:rPr>
        <w:footnoteRef/>
      </w:r>
      <w:r>
        <w:t xml:space="preserve"> También se priorizó La Guajira, considerando que en la Resolución se informa en el artículo 13.4: “</w:t>
      </w:r>
      <w:r w:rsidRPr="00DF6E03">
        <w:t>lmplementar gradual y progresivamente en todo el territorio nacional a partir de 2016 los lineamientos para la atención integrada de la DNT aguda en niños y niñas menores de 5 años a los que hace referencia la presente resolución, priorizando inicialmente los departamentos con mayores tasas de mortalidad infantil por y asociada a la DNT tales como La Guajira,</w:t>
      </w:r>
      <w:r>
        <w:t xml:space="preserve"> Chocó, Guainía, Vichada y Meta”</w:t>
      </w:r>
    </w:p>
  </w:footnote>
  <w:footnote w:id="6">
    <w:p w14:paraId="2A4A1ED3" w14:textId="77777777" w:rsidR="00F16AAB" w:rsidRDefault="00F16AAB" w:rsidP="00935D26">
      <w:pPr>
        <w:pStyle w:val="FootnoteText"/>
        <w:rPr>
          <w:lang w:val="es-CO"/>
        </w:rPr>
      </w:pPr>
      <w:r>
        <w:rPr>
          <w:rStyle w:val="FootnoteReference"/>
        </w:rPr>
        <w:footnoteRef/>
      </w:r>
      <w:r>
        <w:t xml:space="preserve"> </w:t>
      </w:r>
      <w:r>
        <w:rPr>
          <w:lang w:val="es-CO"/>
        </w:rPr>
        <w:t>Los considerandos de la Resolución indican “…</w:t>
      </w:r>
      <w:r w:rsidRPr="00695CCB">
        <w:rPr>
          <w:lang w:val="es-CO"/>
        </w:rPr>
        <w:t>Que el articulo 6 de la Ley Estatutaria 1751 de 2015, establece que el derecho fundamental a la salud comporta principios, como la prevalencia de derechos, de tal manera que el Estado debe implementar medidas concretas y específicas para garantizar la atención integral a niñas, niños y adolescentes.</w:t>
      </w:r>
      <w:r>
        <w:rPr>
          <w:lang w:val="es-CO"/>
        </w:rPr>
        <w:t xml:space="preserve">” </w:t>
      </w:r>
    </w:p>
    <w:p w14:paraId="788D5F03" w14:textId="77777777" w:rsidR="00F16AAB" w:rsidRDefault="00F16AAB" w:rsidP="00935D26">
      <w:pPr>
        <w:pStyle w:val="FootnoteText"/>
        <w:rPr>
          <w:lang w:val="es-CO"/>
        </w:rPr>
      </w:pPr>
      <w:r>
        <w:rPr>
          <w:lang w:val="es-CO"/>
        </w:rPr>
        <w:t xml:space="preserve">En esta misma sección de la Resolución se informa “Que, </w:t>
      </w:r>
      <w:r w:rsidRPr="002138A0">
        <w:rPr>
          <w:lang w:val="es-CO"/>
        </w:rPr>
        <w:t>dentro de las estrategias definidas por este Ministerio, se considera necesario definir un Modelo Integral de Atención en Salud para ser aplicado por los integrantes del Sistema General de Seguridad</w:t>
      </w:r>
      <w:r>
        <w:rPr>
          <w:lang w:val="es-CO"/>
        </w:rPr>
        <w:t xml:space="preserve"> Social en Salud (SGSSS) </w:t>
      </w:r>
      <w:r w:rsidRPr="002138A0">
        <w:rPr>
          <w:lang w:val="es-CO"/>
        </w:rPr>
        <w:t>y las</w:t>
      </w:r>
      <w:r>
        <w:rPr>
          <w:lang w:val="es-CO"/>
        </w:rPr>
        <w:t xml:space="preserve"> </w:t>
      </w:r>
      <w:r w:rsidRPr="002138A0">
        <w:rPr>
          <w:lang w:val="es-CO"/>
        </w:rPr>
        <w:t>dem</w:t>
      </w:r>
      <w:r>
        <w:rPr>
          <w:lang w:val="es-CO"/>
        </w:rPr>
        <w:t>á</w:t>
      </w:r>
      <w:r w:rsidRPr="002138A0">
        <w:rPr>
          <w:lang w:val="es-CO"/>
        </w:rPr>
        <w:t>s entidades que tengan a su cargo acciones en salud, en el marco de sus competencias y funciones</w:t>
      </w:r>
      <w:r>
        <w:rPr>
          <w:lang w:val="es-CO"/>
        </w:rPr>
        <w:t>.”</w:t>
      </w:r>
    </w:p>
    <w:p w14:paraId="6282F88A" w14:textId="77777777" w:rsidR="00F16AAB" w:rsidRPr="00695CCB" w:rsidRDefault="00F16AAB" w:rsidP="00935D26">
      <w:pPr>
        <w:pStyle w:val="FootnoteText"/>
        <w:rPr>
          <w:lang w:val="es-CO"/>
        </w:rPr>
      </w:pPr>
    </w:p>
  </w:footnote>
  <w:footnote w:id="7">
    <w:p w14:paraId="5585A91D" w14:textId="77777777" w:rsidR="00F16AAB" w:rsidRDefault="00F16AAB" w:rsidP="00935D26">
      <w:pPr>
        <w:pStyle w:val="FootnoteText"/>
      </w:pPr>
      <w:r>
        <w:rPr>
          <w:rStyle w:val="FootnoteReference"/>
        </w:rPr>
        <w:footnoteRef/>
      </w:r>
      <w:r>
        <w:t xml:space="preserve"> Adicionalmente, producto de la inestabilidad política de la región el nivel nacional central del Estado colombiano ordenó </w:t>
      </w:r>
      <w:r w:rsidRPr="003F5B75">
        <w:t xml:space="preserve">asumir de manera temporal el manejo de los recursos de salud, </w:t>
      </w:r>
      <w:r>
        <w:t>educación y agua potable en el d</w:t>
      </w:r>
      <w:r w:rsidRPr="003F5B75">
        <w:t>epartamento de la Guajira</w:t>
      </w:r>
      <w:r>
        <w:t xml:space="preserve"> (Conpes 3883 de 2017). Por otra parte, la </w:t>
      </w:r>
      <w:r w:rsidRPr="003F5B75">
        <w:t xml:space="preserve">Comisión de Interamericana de Derecho Humanos </w:t>
      </w:r>
      <w:r>
        <w:t xml:space="preserve">(CIDH) emitió unas medidas cautelares en diciembre de 2015 para proteger los derechos de los niños, niñas, adolescentes y madres gestantes del departamento. </w:t>
      </w:r>
    </w:p>
  </w:footnote>
  <w:footnote w:id="8">
    <w:p w14:paraId="03B5955B" w14:textId="77777777" w:rsidR="00F16AAB" w:rsidRPr="008A61FD" w:rsidRDefault="00F16AAB" w:rsidP="00935D26">
      <w:pPr>
        <w:pStyle w:val="FootnoteText"/>
      </w:pPr>
      <w:r>
        <w:rPr>
          <w:rStyle w:val="FootnoteReference"/>
        </w:rPr>
        <w:footnoteRef/>
      </w:r>
      <w:r>
        <w:t xml:space="preserve"> </w:t>
      </w:r>
      <w:r w:rsidRPr="007F6E5D">
        <w:t>En Colombia</w:t>
      </w:r>
      <w:r>
        <w:t>,</w:t>
      </w:r>
      <w:r w:rsidRPr="007F6E5D">
        <w:t xml:space="preserve"> a partir de la Ley 100 de 1993, se </w:t>
      </w:r>
      <w:r>
        <w:t>busca</w:t>
      </w:r>
      <w:r w:rsidRPr="007F6E5D">
        <w:t xml:space="preserve"> una cobertura </w:t>
      </w:r>
      <w:r>
        <w:t>universal</w:t>
      </w:r>
      <w:r w:rsidRPr="007F6E5D">
        <w:t xml:space="preserve"> a través de un sistema de aseguramie</w:t>
      </w:r>
      <w:r>
        <w:t>nto nacional y obligatorio. Uno de los pilares del</w:t>
      </w:r>
      <w:r w:rsidRPr="007F6E5D">
        <w:t xml:space="preserve"> sistema de aseguramiento obligatorio </w:t>
      </w:r>
      <w:r>
        <w:t>es</w:t>
      </w:r>
      <w:r w:rsidRPr="007F6E5D">
        <w:t xml:space="preserve"> la solidaridad, </w:t>
      </w:r>
      <w:r w:rsidRPr="00101D3A">
        <w:t xml:space="preserve">en donde </w:t>
      </w:r>
      <w:r w:rsidRPr="00720146">
        <w:t>las personas con capacidad de pago y el Gobierno subsidian a personas con menos recurso</w:t>
      </w:r>
      <w:r w:rsidRPr="00101D3A">
        <w:t xml:space="preserve">s. Esto configura dos tipos de regímenes dentro del sistema obligatorio, uno contributivo y otro subsidiado. Las coberturas de los dos tipos de regímenes se encuentran </w:t>
      </w:r>
      <w:r w:rsidRPr="008A61FD">
        <w:t>definidas en el Plan de Beneficios de Salud (PBS).</w:t>
      </w:r>
    </w:p>
  </w:footnote>
  <w:footnote w:id="9">
    <w:p w14:paraId="682F7309" w14:textId="77777777" w:rsidR="00F16AAB" w:rsidRPr="004917DF" w:rsidRDefault="00F16AAB" w:rsidP="00935D26">
      <w:pPr>
        <w:pStyle w:val="FootnoteText"/>
      </w:pPr>
      <w:r w:rsidRPr="00101D3A">
        <w:rPr>
          <w:rStyle w:val="FootnoteReference"/>
        </w:rPr>
        <w:footnoteRef/>
      </w:r>
      <w:r w:rsidRPr="00101D3A">
        <w:t xml:space="preserve"> El artículo 11 de la Resolución informa que las </w:t>
      </w:r>
      <w:r w:rsidRPr="00720146">
        <w:t>responsabilidades de las EAPB</w:t>
      </w:r>
      <w:r w:rsidRPr="00101D3A">
        <w:t xml:space="preserve"> son: “11.1. Garantizar</w:t>
      </w:r>
      <w:r w:rsidRPr="004917DF">
        <w:t xml:space="preserve"> la calidad y oportunidad en la atención integral en salud y nutrición de la población a cargo, implementando estrategias de atención</w:t>
      </w:r>
      <w:r>
        <w:t xml:space="preserve"> extramural en salud y nutrición que incluya busqueda activa comunitaria para la detección y atención de niños y niñas menores de cinco (5) años con desnutrición aguda. 11.2. Realizar seguimiento individual y familiar a nivel comunitario/ intrahospitalario. 11.3. Garantizar la disponibilidad y capacidad resolutiva de su red de prestadores de servicios para la atención de la DNT aguda, segun lo establecido en el lineamiento tecnico establecido en el Anexo 1., que hace parte integral de la presente resolución. 11.4. Realizar el seguimiento a las acciones complementarias en SAN con otros sectores.”</w:t>
      </w:r>
    </w:p>
  </w:footnote>
  <w:footnote w:id="10">
    <w:p w14:paraId="7F5D1C33" w14:textId="77777777" w:rsidR="00F16AAB" w:rsidRDefault="00F16AAB" w:rsidP="00935D26">
      <w:pPr>
        <w:pStyle w:val="FootnoteText"/>
      </w:pPr>
      <w:r>
        <w:rPr>
          <w:rStyle w:val="FootnoteReference"/>
        </w:rPr>
        <w:footnoteRef/>
      </w:r>
      <w:r>
        <w:t xml:space="preserve"> Los datos de cobertura para este municipio indican que las proyecciones de población del DANE están por debajo de los datos observados en las bases de datos de afiliados reportadas por SISPRO. </w:t>
      </w:r>
    </w:p>
  </w:footnote>
  <w:footnote w:id="11">
    <w:p w14:paraId="320FBB00" w14:textId="77777777" w:rsidR="00F16AAB" w:rsidRDefault="00F16AAB" w:rsidP="00935D26">
      <w:pPr>
        <w:pStyle w:val="FootnoteText"/>
      </w:pPr>
      <w:r>
        <w:rPr>
          <w:rStyle w:val="FootnoteReference"/>
        </w:rPr>
        <w:footnoteRef/>
      </w:r>
      <w:r>
        <w:t xml:space="preserve"> </w:t>
      </w:r>
      <w:r>
        <w:rPr>
          <w:lang w:val="es-CO"/>
        </w:rPr>
        <w:t>S</w:t>
      </w:r>
      <w:r w:rsidRPr="008F2004">
        <w:rPr>
          <w:lang w:val="es-CO"/>
        </w:rPr>
        <w:t>e define un caso de desnutrición aguda al menor de cinco años que en su indicador peso para la talla tiene un puntaje Z por debajo de -2DE</w:t>
      </w:r>
      <w:r>
        <w:rPr>
          <w:lang w:val="es-CO"/>
        </w:rPr>
        <w:t>.</w:t>
      </w:r>
    </w:p>
  </w:footnote>
  <w:footnote w:id="12">
    <w:p w14:paraId="2085CD30" w14:textId="77777777" w:rsidR="00F16AAB" w:rsidRPr="0061401C" w:rsidRDefault="00F16AAB" w:rsidP="00935D26">
      <w:pPr>
        <w:pStyle w:val="FootnoteText"/>
      </w:pPr>
      <w:r>
        <w:rPr>
          <w:rStyle w:val="FootnoteReference"/>
        </w:rPr>
        <w:footnoteRef/>
      </w:r>
      <w:r>
        <w:t xml:space="preserve"> Esto no indica que los niños debieron ser hospitalizados. La Resolución informa los lineamientos para el tratamiento de la DNT aguda bajo la modalidad de atención ambulatoria con grupos extramurales y los cuidadores en el hogar. </w:t>
      </w:r>
    </w:p>
  </w:footnote>
  <w:footnote w:id="13">
    <w:p w14:paraId="481D6A47" w14:textId="77777777" w:rsidR="00F16AAB" w:rsidRDefault="00F16AAB" w:rsidP="00935D26">
      <w:pPr>
        <w:pStyle w:val="FootnoteText"/>
      </w:pPr>
      <w:r>
        <w:rPr>
          <w:rStyle w:val="FootnoteReference"/>
        </w:rPr>
        <w:footnoteRef/>
      </w:r>
      <w:r>
        <w:t xml:space="preserve"> </w:t>
      </w:r>
      <w:r>
        <w:rPr>
          <w:lang w:val="es-CO"/>
        </w:rPr>
        <w:t>Según la metodología de SIVIGILA es t</w:t>
      </w:r>
      <w:r w:rsidRPr="00B356EA">
        <w:rPr>
          <w:lang w:val="es-CO"/>
        </w:rPr>
        <w:t>oda defunción de un niño o niña menor de cinco años cuya causa o causas de muerte incluyan la desnutrición y/o deficiencias nutricionales. Se excluye dentro de esta clasificación las muertes en la que la desnutrición se presenta como patología secundaria</w:t>
      </w:r>
      <w:r>
        <w:rPr>
          <w:lang w:val="es-CO"/>
        </w:rPr>
        <w:t>.</w:t>
      </w:r>
    </w:p>
  </w:footnote>
  <w:footnote w:id="14">
    <w:p w14:paraId="2B82F658" w14:textId="77777777" w:rsidR="00F16AAB" w:rsidRPr="004C4E88" w:rsidRDefault="00F16AAB" w:rsidP="00935D26">
      <w:pPr>
        <w:pStyle w:val="FootnoteText"/>
        <w:rPr>
          <w:lang w:val="es-CO"/>
        </w:rPr>
      </w:pPr>
      <w:r>
        <w:rPr>
          <w:rStyle w:val="FootnoteReference"/>
        </w:rPr>
        <w:footnoteRef/>
      </w:r>
      <w:r>
        <w:t xml:space="preserve"> </w:t>
      </w:r>
      <w:r w:rsidRPr="00514A99">
        <w:rPr>
          <w:lang w:val="es-CO"/>
        </w:rPr>
        <w:t>De acuerdo a SIVIGILA, el municipio de residencia y notificación de un caso pueden ser diferentes. Por ejemplo, del total de casos notificados, que residían en Maicao, el 73% fueron notificados en Maicao y el restante 27% fueron notificados en Riohacha</w:t>
      </w:r>
      <w:r>
        <w:rPr>
          <w:lang w:val="es-CO"/>
        </w:rPr>
        <w:t>.</w:t>
      </w:r>
    </w:p>
  </w:footnote>
  <w:footnote w:id="15">
    <w:p w14:paraId="5A314B8F" w14:textId="77777777" w:rsidR="00F16AAB" w:rsidRPr="00A34BB6" w:rsidRDefault="00F16AAB" w:rsidP="00935D26">
      <w:pPr>
        <w:pStyle w:val="FootnoteText"/>
      </w:pPr>
      <w:r>
        <w:rPr>
          <w:rStyle w:val="FootnoteReference"/>
        </w:rPr>
        <w:footnoteRef/>
      </w:r>
      <w:r>
        <w:t xml:space="preserve"> Los estudios sobre los efectos adversos del cambio climático en la alta Guajira se pueden consultar en el sitio de internet del </w:t>
      </w:r>
      <w:r w:rsidRPr="00A34BB6">
        <w:t>Instituto de Hidrología, Meteorología y Estudios Ambientales</w:t>
      </w:r>
      <w:r>
        <w:t xml:space="preserve"> (IDEAM). Para un resumen de los efectos negativos de la inestabilidad de la administración del departamento de La Guajira ver la sección de antecedentes del Conpes 3883 de 2017.</w:t>
      </w:r>
    </w:p>
  </w:footnote>
  <w:footnote w:id="16">
    <w:p w14:paraId="302C92A1" w14:textId="77777777" w:rsidR="00F16AAB" w:rsidRDefault="00F16AAB" w:rsidP="00935D26">
      <w:pPr>
        <w:pStyle w:val="FootnoteText"/>
      </w:pPr>
      <w:r w:rsidRPr="008372B9">
        <w:rPr>
          <w:rStyle w:val="FootnoteReference"/>
          <w:szCs w:val="16"/>
        </w:rPr>
        <w:footnoteRef/>
      </w:r>
      <w:r w:rsidRPr="008372B9">
        <w:t xml:space="preserve"> Tomando del propósito del lineamiento.</w:t>
      </w:r>
    </w:p>
  </w:footnote>
  <w:footnote w:id="17">
    <w:p w14:paraId="3901F09F" w14:textId="77777777" w:rsidR="00F16AAB" w:rsidRDefault="00F16AAB" w:rsidP="00935D26">
      <w:pPr>
        <w:pStyle w:val="FootnoteText"/>
      </w:pPr>
      <w:r>
        <w:rPr>
          <w:rStyle w:val="FootnoteReference"/>
        </w:rPr>
        <w:footnoteRef/>
      </w:r>
      <w:r>
        <w:t xml:space="preserve"> </w:t>
      </w:r>
      <w:r w:rsidRPr="008372B9">
        <w:t>A pesar de que no se encuentren explícitamente en la ilustración, la transición a cada situación está sujeta a los valores de los indicadores antropométricos y la valoración médica de cada niño o niña.</w:t>
      </w:r>
    </w:p>
  </w:footnote>
  <w:footnote w:id="18">
    <w:p w14:paraId="1A78DE34" w14:textId="77777777" w:rsidR="00F16AAB" w:rsidRDefault="00F16AAB" w:rsidP="00935D26">
      <w:pPr>
        <w:pStyle w:val="FootnoteText"/>
      </w:pPr>
      <w:r>
        <w:rPr>
          <w:rStyle w:val="FootnoteReference"/>
        </w:rPr>
        <w:footnoteRef/>
      </w:r>
      <w:r>
        <w:t xml:space="preserve"> </w:t>
      </w:r>
      <w:r w:rsidRPr="008372B9">
        <w:t xml:space="preserve">De acuerdo a lo observado en los municipios de </w:t>
      </w:r>
      <w:r>
        <w:t xml:space="preserve">Maicao, </w:t>
      </w:r>
      <w:r w:rsidRPr="008372B9">
        <w:t xml:space="preserve">Manaure, </w:t>
      </w:r>
      <w:r>
        <w:t xml:space="preserve">Riohacha y </w:t>
      </w:r>
      <w:r w:rsidRPr="008372B9">
        <w:t xml:space="preserve">Uribia, los </w:t>
      </w:r>
      <w:r>
        <w:t xml:space="preserve">equipos </w:t>
      </w:r>
      <w:r w:rsidRPr="008372B9">
        <w:t>extramurales atienden en su gran mayoría a los niños que cumplen los criterios para atención en el hogar. De esta manera, a pesar de que reciben la atención en el hogar se encuentran bajo el seguimiento de una IPS.</w:t>
      </w:r>
    </w:p>
  </w:footnote>
  <w:footnote w:id="19">
    <w:p w14:paraId="29F12D96" w14:textId="77777777" w:rsidR="00F16AAB" w:rsidRPr="00A36950" w:rsidRDefault="00F16AAB" w:rsidP="00935D26">
      <w:pPr>
        <w:pStyle w:val="FootnoteText"/>
        <w:rPr>
          <w:lang w:val="es-CO"/>
        </w:rPr>
      </w:pPr>
      <w:r>
        <w:rPr>
          <w:rStyle w:val="FootnoteReference"/>
        </w:rPr>
        <w:footnoteRef/>
      </w:r>
      <w:r>
        <w:t xml:space="preserve"> La Figura es una elaboraci</w:t>
      </w:r>
      <w:r>
        <w:rPr>
          <w:lang w:val="es-CO"/>
        </w:rPr>
        <w:t>ón de los autores con fines ilustrativos para esta evaluación. Para una descripción detallada y exacta del Lineamiento ver el anexo 1 de la Resolución.</w:t>
      </w:r>
    </w:p>
  </w:footnote>
  <w:footnote w:id="20">
    <w:p w14:paraId="246E8BEA" w14:textId="77777777" w:rsidR="00F16AAB" w:rsidRDefault="00F16AAB" w:rsidP="00935D26">
      <w:pPr>
        <w:pStyle w:val="FootnoteText"/>
      </w:pPr>
      <w:r>
        <w:rPr>
          <w:rStyle w:val="FootnoteReference"/>
        </w:rPr>
        <w:footnoteRef/>
      </w:r>
      <w:r>
        <w:t xml:space="preserve"> En particular, a las secretarías de salud municipal y departamental y al MSPS.</w:t>
      </w:r>
    </w:p>
  </w:footnote>
  <w:footnote w:id="21">
    <w:p w14:paraId="7EA5FA65" w14:textId="77777777" w:rsidR="00F16AAB" w:rsidRDefault="00F16AAB" w:rsidP="006004FA">
      <w:pPr>
        <w:pStyle w:val="FootnoteText"/>
      </w:pPr>
      <w:r>
        <w:rPr>
          <w:rStyle w:val="FootnoteReference"/>
        </w:rPr>
        <w:footnoteRef/>
      </w:r>
      <w:r>
        <w:t xml:space="preserve"> Los conceptos de adherencia y efectividad están íntimamente relacionados y dado que la evaluación no corresponde a una auditoria médica ni a un ejercicio antropológico con las comunidades de los municipios objeto de esta evaluación, los resultados de efectividad del tratamiento se usaron como “medida proxy” para determinar si los médicos aplicaron adecuadamente el protocolo contenido en el Lineamiento y si los cuidadores siguieron las instrucciones para la atención en el hogar.</w:t>
      </w:r>
    </w:p>
  </w:footnote>
  <w:footnote w:id="22">
    <w:p w14:paraId="3FFA613B" w14:textId="77777777" w:rsidR="00F16AAB" w:rsidRDefault="00F16AAB" w:rsidP="00935D26">
      <w:pPr>
        <w:pStyle w:val="FootnoteText"/>
      </w:pPr>
      <w:r>
        <w:rPr>
          <w:rStyle w:val="FootnoteReference"/>
        </w:rPr>
        <w:footnoteRef/>
      </w:r>
      <w:r>
        <w:t xml:space="preserve"> En esta sección se incluyen algunas consideraciones metodológicas para resaltar las limitaciones de disponibilidad de información para el criterio de costo-efectividad y para informar que el criterio de adherencia uso información cualitativa.</w:t>
      </w:r>
    </w:p>
  </w:footnote>
  <w:footnote w:id="23">
    <w:p w14:paraId="3933B9F3" w14:textId="77777777" w:rsidR="00F16AAB" w:rsidRPr="00773324" w:rsidRDefault="00F16AAB" w:rsidP="008A61FD">
      <w:pPr>
        <w:pStyle w:val="FootnoteText"/>
      </w:pPr>
      <w:r>
        <w:rPr>
          <w:rStyle w:val="FootnoteReference"/>
        </w:rPr>
        <w:footnoteRef/>
      </w:r>
      <w:r>
        <w:t xml:space="preserve"> </w:t>
      </w:r>
      <w:r w:rsidRPr="00773324">
        <w:t>De acuerdo con la información revisada en apartados anteriores, el 20% de los casos de desnutrición aguda se ubican en la cabecera, el 10% en el centro poblado y el 70% en la zona rural de estos municipios.</w:t>
      </w:r>
    </w:p>
  </w:footnote>
  <w:footnote w:id="24">
    <w:p w14:paraId="7E78F33D" w14:textId="4656E6C7" w:rsidR="00F16AAB" w:rsidRPr="0022109F" w:rsidRDefault="00F16AAB">
      <w:pPr>
        <w:pStyle w:val="FootnoteText"/>
      </w:pPr>
      <w:r>
        <w:rPr>
          <w:rStyle w:val="FootnoteReference"/>
        </w:rPr>
        <w:footnoteRef/>
      </w:r>
      <w:r>
        <w:t xml:space="preserve"> </w:t>
      </w:r>
      <w:r>
        <w:rPr>
          <w:bCs w:val="0"/>
          <w:lang w:val="es-CO"/>
        </w:rPr>
        <w:t>Tampoco se plantearon preguntas en torno a los temas de sostenibilidad o relevancia, considerando que el Lineamiento hace parte de un marco normativo que es de obligatorio cumplimiento, que asume el compromiso permanente de los actores del sistema de salud colombiano, para que aquel se ejecute, según lo que establezca la Ley.</w:t>
      </w:r>
    </w:p>
  </w:footnote>
  <w:footnote w:id="25">
    <w:p w14:paraId="4F87BE0B" w14:textId="77777777" w:rsidR="00F16AAB" w:rsidRDefault="00F16AAB" w:rsidP="00710630">
      <w:pPr>
        <w:pStyle w:val="FootnoteText"/>
      </w:pPr>
      <w:r>
        <w:rPr>
          <w:rStyle w:val="FootnoteReference"/>
        </w:rPr>
        <w:footnoteRef/>
      </w:r>
      <w:r>
        <w:t xml:space="preserve"> El cálculo de la UPC del sistema de salud colombiano consiste en determinar la suficiencia del pago, ajustado</w:t>
      </w:r>
      <w:r w:rsidRPr="00FD3F03">
        <w:t xml:space="preserve"> por el perfil de riesgo, por cada afiliado </w:t>
      </w:r>
      <w:r>
        <w:t>de cada EPS ó EAPB ó aseguradora</w:t>
      </w:r>
      <w:r w:rsidRPr="00FD3F03">
        <w:t xml:space="preserve">, </w:t>
      </w:r>
      <w:r>
        <w:t>para</w:t>
      </w:r>
      <w:r w:rsidRPr="00FD3F03">
        <w:t xml:space="preserve"> financiar los gastos en salud de sus afiliados que utilizan los </w:t>
      </w:r>
      <w:r>
        <w:t xml:space="preserve">tratamientos incluidos en el plan de beneficios del sistema. </w:t>
      </w:r>
    </w:p>
  </w:footnote>
  <w:footnote w:id="26">
    <w:p w14:paraId="4FA3CB67" w14:textId="77777777" w:rsidR="00F16AAB" w:rsidRDefault="00F16AAB" w:rsidP="00A634DC">
      <w:pPr>
        <w:pStyle w:val="FootnoteText"/>
      </w:pPr>
      <w:r>
        <w:rPr>
          <w:rStyle w:val="FootnoteReference"/>
        </w:rPr>
        <w:footnoteRef/>
      </w:r>
      <w:r>
        <w:t xml:space="preserve"> Los conceptos de adherencia y efectividad están íntimamente relacionados y dado que la evaluación no corresponde a una auditoria médica ni a un ejercicio antropológico con las comunidades de los municipios objeto de esta evaluación, los resultados de efectividad del tratamiento se usaron como “medida proxy” para determinar si los médicos aplicaron adecuadamente el protocolo contenido en el Lineamiento y si los cuidadores siguieron las instrucciones para la atención en el hogar.</w:t>
      </w:r>
    </w:p>
  </w:footnote>
  <w:footnote w:id="27">
    <w:p w14:paraId="2755CD86" w14:textId="77777777" w:rsidR="00F16AAB" w:rsidRDefault="00F16AAB" w:rsidP="00935D26">
      <w:pPr>
        <w:pStyle w:val="FootnoteText"/>
      </w:pPr>
      <w:r>
        <w:rPr>
          <w:rStyle w:val="FootnoteReference"/>
        </w:rPr>
        <w:footnoteRef/>
      </w:r>
      <w:r>
        <w:t xml:space="preserve"> </w:t>
      </w:r>
      <w:r w:rsidRPr="00A276A7">
        <w:t>Lopez Romero L.A. et</w:t>
      </w:r>
      <w:r>
        <w:t>.</w:t>
      </w:r>
      <w:r w:rsidRPr="00A276A7">
        <w:t xml:space="preserve"> </w:t>
      </w:r>
      <w:r>
        <w:t>a</w:t>
      </w:r>
      <w:r w:rsidRPr="00A276A7">
        <w:t>l</w:t>
      </w:r>
      <w:r>
        <w:t>.</w:t>
      </w:r>
      <w:r w:rsidRPr="00A276A7">
        <w:t xml:space="preserve"> (2016)</w:t>
      </w:r>
      <w:r>
        <w:t>.</w:t>
      </w:r>
    </w:p>
  </w:footnote>
  <w:footnote w:id="28">
    <w:p w14:paraId="21BA486D" w14:textId="77777777" w:rsidR="00F16AAB" w:rsidRDefault="00F16AAB" w:rsidP="00935D26">
      <w:pPr>
        <w:pStyle w:val="FootnoteText"/>
      </w:pPr>
      <w:r>
        <w:rPr>
          <w:rStyle w:val="FootnoteReference"/>
        </w:rPr>
        <w:footnoteRef/>
      </w:r>
      <w:r>
        <w:t xml:space="preserve"> </w:t>
      </w:r>
      <w:r w:rsidRPr="00DE4A9A">
        <w:t>Organización Mundial de la Salud. Adherencia a los tratamientos a largo plazo: Pruebas para la acción. Ginebra: Organización Panamericana de la Salud. 2004</w:t>
      </w:r>
      <w:r>
        <w:t>.</w:t>
      </w:r>
    </w:p>
  </w:footnote>
  <w:footnote w:id="29">
    <w:p w14:paraId="027940AA" w14:textId="77777777" w:rsidR="00F16AAB" w:rsidRDefault="00F16AAB" w:rsidP="00935D26">
      <w:pPr>
        <w:pStyle w:val="FootnoteText"/>
      </w:pPr>
      <w:r>
        <w:rPr>
          <w:rStyle w:val="FootnoteReference"/>
        </w:rPr>
        <w:footnoteRef/>
      </w:r>
      <w:r>
        <w:t xml:space="preserve"> </w:t>
      </w:r>
      <w:r w:rsidRPr="00BC13E8">
        <w:rPr>
          <w:lang w:val="es-CO"/>
        </w:rPr>
        <w:t xml:space="preserve">En estos estudios se informa que uno de los mayores problemas que afectan a las guías y a los tratamientos es la falta de adherencia </w:t>
      </w:r>
      <w:r w:rsidRPr="00783AA4">
        <w:rPr>
          <w:lang w:val="es-CO"/>
        </w:rPr>
        <w:t>(Múnera y Piedrahita, 2008)</w:t>
      </w:r>
      <w:r>
        <w:rPr>
          <w:lang w:val="es-CO"/>
        </w:rPr>
        <w:t>.</w:t>
      </w:r>
    </w:p>
  </w:footnote>
  <w:footnote w:id="30">
    <w:p w14:paraId="43DBB999" w14:textId="77777777" w:rsidR="00F16AAB" w:rsidRDefault="00F16AAB" w:rsidP="008634BA">
      <w:pPr>
        <w:pStyle w:val="FootnoteText"/>
      </w:pPr>
      <w:r>
        <w:rPr>
          <w:rStyle w:val="FootnoteReference"/>
        </w:rPr>
        <w:footnoteRef/>
      </w:r>
      <w:r>
        <w:t xml:space="preserve"> Para los detalles de este documento ver </w:t>
      </w:r>
      <w:hyperlink r:id="rId1" w:history="1">
        <w:r w:rsidRPr="003A0060">
          <w:rPr>
            <w:rStyle w:val="Hyperlink"/>
          </w:rPr>
          <w:t>http://unevaluation.org/document/detail/1914</w:t>
        </w:r>
      </w:hyperlink>
    </w:p>
  </w:footnote>
  <w:footnote w:id="31">
    <w:p w14:paraId="158C4A26" w14:textId="77777777" w:rsidR="00F16AAB" w:rsidRDefault="00F16AAB" w:rsidP="00935D26">
      <w:pPr>
        <w:pStyle w:val="FootnoteText"/>
      </w:pPr>
      <w:r>
        <w:rPr>
          <w:rStyle w:val="FootnoteReference"/>
        </w:rPr>
        <w:footnoteRef/>
      </w:r>
      <w:r>
        <w:t xml:space="preserve"> Bases PND (2014-2018), Todos por un nuevo país, pág. 231. </w:t>
      </w:r>
    </w:p>
  </w:footnote>
  <w:footnote w:id="32">
    <w:p w14:paraId="42053FCA" w14:textId="77777777" w:rsidR="00F16AAB" w:rsidRDefault="00F16AAB" w:rsidP="00935D26">
      <w:pPr>
        <w:pStyle w:val="FootnoteText"/>
      </w:pPr>
      <w:r>
        <w:rPr>
          <w:rStyle w:val="FootnoteReference"/>
        </w:rPr>
        <w:footnoteRef/>
      </w:r>
      <w:r>
        <w:t xml:space="preserve"> Reglamentada a partir de la resolución 429 del 17 de febrero de 2016.</w:t>
      </w:r>
    </w:p>
  </w:footnote>
  <w:footnote w:id="33">
    <w:p w14:paraId="5E6CF3C2" w14:textId="77777777" w:rsidR="00F16AAB" w:rsidRDefault="00F16AAB" w:rsidP="00935D26">
      <w:pPr>
        <w:pStyle w:val="FootnoteText"/>
      </w:pPr>
      <w:r>
        <w:rPr>
          <w:rStyle w:val="FootnoteReference"/>
        </w:rPr>
        <w:footnoteRef/>
      </w:r>
      <w:r>
        <w:t xml:space="preserve"> En la política PAIS se parte de la heterogeneidad territorial y poblacional del país que contrasta con un aseguramiento que interviene los riesgos de la población de manera homogénea, sin considerar los condicionantes de la dispersión poblacional y territorial sobre los desenlaces en la prestación de los servicios. Es evidente que la mayor concentración de la carga de enfermedad y problemas nutricionales se encuentra en zonas apartadas y con mayor concentración étnica. El esquema de competencia en el aseguramiento ha permitido una micro-segmentación de los pooles poblacionales en dichas comunidades haciendo imposible la generación de escalas efectivas y eficientes para la intervención integral de riesgos comunes en dichas comunidades.</w:t>
      </w:r>
    </w:p>
  </w:footnote>
  <w:footnote w:id="34">
    <w:p w14:paraId="14D04F57" w14:textId="77777777" w:rsidR="00F16AAB" w:rsidRPr="00130F99" w:rsidRDefault="00F16AAB" w:rsidP="00935D26">
      <w:pPr>
        <w:pStyle w:val="FootnoteText"/>
        <w:rPr>
          <w:lang w:val="es-CO"/>
        </w:rPr>
      </w:pPr>
      <w:r>
        <w:rPr>
          <w:rStyle w:val="FootnoteReference"/>
        </w:rPr>
        <w:footnoteRef/>
      </w:r>
      <w:r>
        <w:t xml:space="preserve"> </w:t>
      </w:r>
      <w:r w:rsidRPr="00130F99">
        <w:t>La investigación cualitativa está caracterizada por el método inductivo que permite comprender y desarrollar conceptos a partir de la aplicación de técnicas de recolección de información flexibles y adaptables a las necesidades de la evaluación. Por lo anterior, en la investigación cualitativa, los investigadores leen los discursos dentro de un marco de referencia propio de su contexto, tratando de identificarse con los sujetos que estudia para comprender su realidad desde la forma en la que es experimentada por ellos mismos (Quecedo y Castaño, 2002).</w:t>
      </w:r>
    </w:p>
  </w:footnote>
  <w:footnote w:id="35">
    <w:p w14:paraId="16808BBC" w14:textId="77777777" w:rsidR="00F16AAB" w:rsidRPr="008372B9" w:rsidRDefault="00F16AAB" w:rsidP="00935D26">
      <w:pPr>
        <w:pStyle w:val="FootnoteText"/>
      </w:pPr>
      <w:r w:rsidRPr="008372B9">
        <w:rPr>
          <w:rStyle w:val="FootnoteReference"/>
          <w:szCs w:val="16"/>
        </w:rPr>
        <w:footnoteRef/>
      </w:r>
      <w:r w:rsidRPr="008372B9">
        <w:t xml:space="preserve"> Si bien el ACE permite comparar diferentes intervenciones para determinar cuál de ellas resulta más costo-efectiva, también es posible utilizar este tipo de análisis para determinar el nivel </w:t>
      </w:r>
      <w:r w:rsidRPr="00577699">
        <w:rPr>
          <w:highlight w:val="yellow"/>
        </w:rPr>
        <w:t>de costo-efectividad</w:t>
      </w:r>
      <w:r w:rsidRPr="008372B9">
        <w:t xml:space="preserve"> de aplicar una intervención </w:t>
      </w:r>
      <w:r w:rsidRPr="00577699">
        <w:rPr>
          <w:highlight w:val="yellow"/>
        </w:rPr>
        <w:t>frente a no hacerlo</w:t>
      </w:r>
      <w:r w:rsidRPr="008372B9">
        <w:t>, sin que sea necesario comparar dos alternativas de intervención que compartan el mismo objetivo y que sean potencialmente excluyentes. En estos casos, el ACE permite identificar el costo incurrido (o evitado en algunos casos) por cada unidad de la variable de efectividad; por ejemplo, el costo de evitar una muerte o el costo de evitar un caso nuevo de determinada patología</w:t>
      </w:r>
      <w:r>
        <w:t>.</w:t>
      </w:r>
    </w:p>
  </w:footnote>
  <w:footnote w:id="36">
    <w:p w14:paraId="5C7D5794" w14:textId="77777777" w:rsidR="00F16AAB" w:rsidRPr="00957056" w:rsidRDefault="00F16AAB" w:rsidP="00935D26">
      <w:pPr>
        <w:pStyle w:val="FootnoteText"/>
      </w:pPr>
      <w:r w:rsidRPr="00957056">
        <w:rPr>
          <w:rStyle w:val="FootnoteReference"/>
          <w:szCs w:val="16"/>
        </w:rPr>
        <w:footnoteRef/>
      </w:r>
      <w:r w:rsidRPr="00957056">
        <w:t xml:space="preserve"> En el anexo se presentan tablas y gráficos de resultado del análisis de cada una de las bases de datos.</w:t>
      </w:r>
    </w:p>
  </w:footnote>
  <w:footnote w:id="37">
    <w:p w14:paraId="4F95B004" w14:textId="77777777" w:rsidR="00F16AAB" w:rsidRDefault="00F16AAB" w:rsidP="00935D26">
      <w:pPr>
        <w:pStyle w:val="FootnoteText"/>
      </w:pPr>
      <w:r>
        <w:rPr>
          <w:rStyle w:val="FootnoteReference"/>
        </w:rPr>
        <w:footnoteRef/>
      </w:r>
      <w:r>
        <w:t xml:space="preserve"> Estos elementos se explican con mayor profundidad en la sección </w:t>
      </w:r>
      <w:r>
        <w:fldChar w:fldCharType="begin"/>
      </w:r>
      <w:r>
        <w:instrText xml:space="preserve"> REF _Ref479152329 \r \h </w:instrText>
      </w:r>
      <w:r>
        <w:fldChar w:fldCharType="separate"/>
      </w:r>
      <w:r>
        <w:t>4.3</w:t>
      </w:r>
      <w:r>
        <w:fldChar w:fldCharType="end"/>
      </w:r>
      <w:r>
        <w:t>.</w:t>
      </w:r>
    </w:p>
  </w:footnote>
  <w:footnote w:id="38">
    <w:p w14:paraId="3C8E6ED5" w14:textId="77777777" w:rsidR="00F16AAB" w:rsidRPr="00957056" w:rsidRDefault="00F16AAB" w:rsidP="00935D26">
      <w:pPr>
        <w:pStyle w:val="FootnoteText"/>
      </w:pPr>
      <w:r w:rsidRPr="00957056">
        <w:rPr>
          <w:rStyle w:val="FootnoteReference"/>
          <w:szCs w:val="16"/>
        </w:rPr>
        <w:footnoteRef/>
      </w:r>
      <w:r>
        <w:t xml:space="preserve"> Los cubos son</w:t>
      </w:r>
      <w:r w:rsidRPr="00957056">
        <w:t xml:space="preserve"> una herramienta que permite obtener resultados/informes agregados en término de atenciones prestadas, costos totales, promedio por atención, días de hospitalización, costo total en procedimientos, etc., con la posibilidad de limitar los reportes a los municipios estudiados en La Guajira y para los códigos CIE-10 correspondientes a desnutrición aguda.</w:t>
      </w:r>
    </w:p>
  </w:footnote>
  <w:footnote w:id="39">
    <w:p w14:paraId="3F3EB201" w14:textId="77777777" w:rsidR="00F16AAB" w:rsidRDefault="00F16AAB" w:rsidP="00935D26">
      <w:pPr>
        <w:pStyle w:val="FootnoteText"/>
      </w:pPr>
      <w:r>
        <w:rPr>
          <w:rStyle w:val="FootnoteReference"/>
        </w:rPr>
        <w:footnoteRef/>
      </w:r>
      <w:r>
        <w:t xml:space="preserve"> Estos elementos se explican con mayor profundidad en la sección </w:t>
      </w:r>
      <w:r>
        <w:fldChar w:fldCharType="begin"/>
      </w:r>
      <w:r>
        <w:instrText xml:space="preserve"> REF _Ref479152329 \r \h </w:instrText>
      </w:r>
      <w:r>
        <w:fldChar w:fldCharType="separate"/>
      </w:r>
      <w:r>
        <w:t>4.3</w:t>
      </w:r>
      <w:r>
        <w:fldChar w:fldCharType="end"/>
      </w:r>
      <w:r>
        <w:t>.</w:t>
      </w:r>
    </w:p>
  </w:footnote>
  <w:footnote w:id="40">
    <w:p w14:paraId="633F94EC" w14:textId="77777777" w:rsidR="00F16AAB" w:rsidRPr="00BA6068" w:rsidRDefault="00F16AAB" w:rsidP="00935D26">
      <w:pPr>
        <w:pStyle w:val="FootnoteText"/>
        <w:rPr>
          <w:lang w:val="es-CO"/>
        </w:rPr>
      </w:pPr>
      <w:r>
        <w:rPr>
          <w:rStyle w:val="FootnoteReference"/>
        </w:rPr>
        <w:footnoteRef/>
      </w:r>
      <w:r>
        <w:t xml:space="preserve"> Esto fue </w:t>
      </w:r>
      <w:r w:rsidRPr="00BA6068">
        <w:t>consecuencia de la falta de acceso al micro-dato de la base de medicamentos de los RIPS</w:t>
      </w:r>
      <w:r>
        <w:t xml:space="preserve">; </w:t>
      </w:r>
      <w:r w:rsidRPr="00BA6068">
        <w:t>dichos reportes no se encuentran en los cubos.</w:t>
      </w:r>
    </w:p>
  </w:footnote>
  <w:footnote w:id="41">
    <w:p w14:paraId="1941034B" w14:textId="77777777" w:rsidR="00F16AAB" w:rsidRPr="00AE1A95" w:rsidRDefault="00F16AAB" w:rsidP="00935D26">
      <w:pPr>
        <w:pStyle w:val="FootnoteText"/>
      </w:pPr>
      <w:r>
        <w:rPr>
          <w:rStyle w:val="FootnoteReference"/>
        </w:rPr>
        <w:footnoteRef/>
      </w:r>
      <w:r>
        <w:t xml:space="preserve"> Por ejemplo, no se pudo acceder a información certera sobre la repetición de </w:t>
      </w:r>
      <w:r w:rsidRPr="00AE1A95">
        <w:t>visitas a las rancherías para hacer seguimientos específicos a los niños con desnutrición aguda.</w:t>
      </w:r>
    </w:p>
  </w:footnote>
  <w:footnote w:id="42">
    <w:p w14:paraId="6E281AC0" w14:textId="77777777" w:rsidR="00F16AAB" w:rsidRDefault="00F16AAB" w:rsidP="00935D26">
      <w:pPr>
        <w:pStyle w:val="FootnoteText"/>
      </w:pPr>
      <w:r>
        <w:rPr>
          <w:rStyle w:val="FootnoteReference"/>
        </w:rPr>
        <w:footnoteRef/>
      </w:r>
      <w:r>
        <w:t xml:space="preserve"> Estos elementos se explican con mayor profundidad en la sección </w:t>
      </w:r>
      <w:r>
        <w:fldChar w:fldCharType="begin"/>
      </w:r>
      <w:r>
        <w:instrText xml:space="preserve"> REF _Ref479152329 \r \h </w:instrText>
      </w:r>
      <w:r>
        <w:fldChar w:fldCharType="separate"/>
      </w:r>
      <w:r>
        <w:t>4.3</w:t>
      </w:r>
      <w:r>
        <w:fldChar w:fldCharType="end"/>
      </w:r>
      <w:r>
        <w:t>.</w:t>
      </w:r>
    </w:p>
  </w:footnote>
  <w:footnote w:id="43">
    <w:p w14:paraId="13973508" w14:textId="77777777" w:rsidR="00F16AAB" w:rsidRPr="00DE7A3F" w:rsidRDefault="00F16AAB" w:rsidP="00935D26">
      <w:pPr>
        <w:pStyle w:val="FootnoteText"/>
      </w:pPr>
      <w:r>
        <w:rPr>
          <w:rStyle w:val="FootnoteReference"/>
        </w:rPr>
        <w:footnoteRef/>
      </w:r>
      <w:r>
        <w:t xml:space="preserve"> De acuerdo a SIVIGILA, el municipio de residencia y notificación de un caso pueden ser diferentes. Por ejemplo, del total de casos notificados, que residían en Maicao, el 73% fueron notificados en Maicao y el restante 27% fueron notificados en Riohacha.</w:t>
      </w:r>
    </w:p>
  </w:footnote>
  <w:footnote w:id="44">
    <w:p w14:paraId="2ADA425C" w14:textId="77777777" w:rsidR="00F16AAB" w:rsidRPr="00644C3C" w:rsidRDefault="00F16AAB" w:rsidP="00935D26">
      <w:pPr>
        <w:pStyle w:val="FootnoteText"/>
      </w:pPr>
      <w:r>
        <w:rPr>
          <w:rStyle w:val="FootnoteReference"/>
        </w:rPr>
        <w:footnoteRef/>
      </w:r>
      <w:r>
        <w:t xml:space="preserve"> La información recolectada por el MSPS no contiene componentes exclusivos sobre la implementación del lineamiento, ya que fue recolectada en el marco </w:t>
      </w:r>
      <w:bookmarkStart w:id="49" w:name="_Hlk482202735"/>
      <w:r>
        <w:t xml:space="preserve">del </w:t>
      </w:r>
      <w:r w:rsidRPr="00644C3C">
        <w:t>Programa de Atención Integral en Salud y Nu</w:t>
      </w:r>
      <w:r>
        <w:t>trición con Enfoque Comunitario</w:t>
      </w:r>
      <w:bookmarkEnd w:id="49"/>
      <w:r>
        <w:t xml:space="preserve"> del MSPS. A pesar de esto, para el ACE solamente resulta relevante la información sobre la atención brindada a los niños y niñas con desnutrición aguda. </w:t>
      </w:r>
    </w:p>
  </w:footnote>
  <w:footnote w:id="45">
    <w:p w14:paraId="12307DB8" w14:textId="77777777" w:rsidR="00F16AAB" w:rsidRDefault="00F16AAB" w:rsidP="00935D26">
      <w:pPr>
        <w:pStyle w:val="FootnoteText"/>
      </w:pPr>
      <w:r w:rsidRPr="00884B05">
        <w:rPr>
          <w:rStyle w:val="FootnoteReference"/>
          <w:szCs w:val="16"/>
        </w:rPr>
        <w:footnoteRef/>
      </w:r>
      <w:r w:rsidRPr="00884B05">
        <w:t xml:space="preserve"> La base de datos permite identificar si se dio un manejo en el hogar o si por el contrario fue necesario una remisión a un hospital de II nivel</w:t>
      </w:r>
      <w:r>
        <w:t xml:space="preserve"> (manejo intrahospitalario).</w:t>
      </w:r>
    </w:p>
  </w:footnote>
  <w:footnote w:id="46">
    <w:p w14:paraId="6953BB75" w14:textId="77777777" w:rsidR="00F16AAB" w:rsidRDefault="00F16AAB" w:rsidP="00935D26">
      <w:pPr>
        <w:pStyle w:val="FootnoteText"/>
      </w:pPr>
      <w:r>
        <w:rPr>
          <w:rStyle w:val="FootnoteReference"/>
        </w:rPr>
        <w:footnoteRef/>
      </w:r>
      <w:r>
        <w:t xml:space="preserve"> Como lo muestra la siguiente sección, </w:t>
      </w:r>
      <w:r w:rsidRPr="007C6AC3">
        <w:t>los costos de entrenamiento no son tomados como costos promedio</w:t>
      </w:r>
      <w:r>
        <w:t xml:space="preserve"> por atención sino costos fijos ó </w:t>
      </w:r>
      <w:r w:rsidRPr="007C6AC3">
        <w:t>hundidos de la implementación del Lineamiento, por lo tanto, el costo total de entrenamiento no cambiará si el número de niños o niñas atendidos cambia</w:t>
      </w:r>
      <w:r>
        <w:t>.</w:t>
      </w:r>
    </w:p>
  </w:footnote>
  <w:footnote w:id="47">
    <w:p w14:paraId="4C4B5982" w14:textId="77777777" w:rsidR="00F16AAB" w:rsidRDefault="00F16AAB" w:rsidP="00935D26">
      <w:pPr>
        <w:pStyle w:val="FootnoteText"/>
      </w:pPr>
      <w:r>
        <w:rPr>
          <w:rStyle w:val="FootnoteReference"/>
        </w:rPr>
        <w:footnoteRef/>
      </w:r>
      <w:r>
        <w:t xml:space="preserve"> </w:t>
      </w:r>
      <w:r w:rsidRPr="009871DF">
        <w:t>La revisión y desarrollo de la estimación de los costos utilizados para</w:t>
      </w:r>
      <w:r>
        <w:t xml:space="preserve"> el cálculo de</w:t>
      </w:r>
      <w:r w:rsidRPr="009871DF">
        <w:t xml:space="preserve"> los resultados se presenta en la siguiente sección (</w:t>
      </w:r>
      <w:r w:rsidRPr="0070078F">
        <w:t>Metodología de análisis costo-efectividad</w:t>
      </w:r>
      <w:r w:rsidRPr="009871DF">
        <w:t>)</w:t>
      </w:r>
      <w:r>
        <w:t xml:space="preserve">; asimismo, en el anexo </w:t>
      </w:r>
      <w:r>
        <w:fldChar w:fldCharType="begin"/>
      </w:r>
      <w:r>
        <w:instrText xml:space="preserve"> REF _Ref486288672 \r \h </w:instrText>
      </w:r>
      <w:r>
        <w:fldChar w:fldCharType="separate"/>
      </w:r>
      <w:r>
        <w:t>8.6</w:t>
      </w:r>
      <w:r>
        <w:fldChar w:fldCharType="end"/>
      </w:r>
      <w:r>
        <w:t xml:space="preserve"> se presentan en detalle los componentes de cada uno de los costos por casos presentados en las </w:t>
      </w:r>
      <w:r w:rsidRPr="00B63DA0">
        <w:t xml:space="preserve">filas del </w:t>
      </w:r>
      <w:r w:rsidRPr="00B63DA0">
        <w:fldChar w:fldCharType="begin"/>
      </w:r>
      <w:r w:rsidRPr="00B63DA0">
        <w:instrText xml:space="preserve"> REF _Ref478026816 \h  \* MERGEFORMAT </w:instrText>
      </w:r>
      <w:r w:rsidRPr="00B63DA0">
        <w:fldChar w:fldCharType="separate"/>
      </w:r>
      <w:r w:rsidRPr="00B63DA0">
        <w:t xml:space="preserve">Cuadro </w:t>
      </w:r>
      <w:r w:rsidRPr="00B63DA0">
        <w:rPr>
          <w:noProof/>
        </w:rPr>
        <w:t>4</w:t>
      </w:r>
      <w:r w:rsidRPr="00B63DA0">
        <w:noBreakHyphen/>
      </w:r>
      <w:r w:rsidRPr="00B63DA0">
        <w:rPr>
          <w:noProof/>
        </w:rPr>
        <w:t>12</w:t>
      </w:r>
      <w:r w:rsidRPr="00B63DA0">
        <w:fldChar w:fldCharType="end"/>
      </w:r>
      <w:r>
        <w:t>.</w:t>
      </w:r>
    </w:p>
  </w:footnote>
  <w:footnote w:id="48">
    <w:p w14:paraId="01B5C08C" w14:textId="77777777" w:rsidR="00F16AAB" w:rsidRPr="008372B9" w:rsidRDefault="00F16AAB" w:rsidP="00935D26">
      <w:pPr>
        <w:pStyle w:val="FootnoteText"/>
      </w:pPr>
      <w:r w:rsidRPr="008372B9">
        <w:rPr>
          <w:rStyle w:val="FootnoteReference"/>
          <w:szCs w:val="16"/>
        </w:rPr>
        <w:footnoteRef/>
      </w:r>
      <w:r w:rsidRPr="008372B9">
        <w:t xml:space="preserve"> El costo de referencia para los medicamentos e insumos con lineamiento se construyó tomando como referencia un escenario hipotético de tratamiento intrahospitalaria a partir del protocolo establecido en el lineamiento y los precios de referencias del SISMED.</w:t>
      </w:r>
    </w:p>
  </w:footnote>
  <w:footnote w:id="49">
    <w:p w14:paraId="34A8790D" w14:textId="77777777" w:rsidR="00F16AAB" w:rsidRPr="00CB45A6" w:rsidRDefault="00F16AAB" w:rsidP="00935D26">
      <w:pPr>
        <w:pStyle w:val="FootnoteText"/>
      </w:pPr>
      <w:r>
        <w:rPr>
          <w:rStyle w:val="FootnoteReference"/>
        </w:rPr>
        <w:footnoteRef/>
      </w:r>
      <w:r>
        <w:t xml:space="preserve"> </w:t>
      </w:r>
      <w:r w:rsidRPr="00CB45A6">
        <w:t>No toma en cuenta, entonces, una población más amplia que incluya a los niños y niñas con desnutrición aguda que recibieron atención ambulatoria dentro de una IPS de baja, mediana o alta complejidad</w:t>
      </w:r>
      <w:r>
        <w:t>.</w:t>
      </w:r>
    </w:p>
  </w:footnote>
  <w:footnote w:id="50">
    <w:p w14:paraId="3E38B86C" w14:textId="77777777" w:rsidR="00F16AAB" w:rsidRDefault="00F16AAB" w:rsidP="00935D26">
      <w:pPr>
        <w:pStyle w:val="FootnoteText"/>
      </w:pPr>
      <w:r>
        <w:rPr>
          <w:rStyle w:val="FootnoteReference"/>
        </w:rPr>
        <w:footnoteRef/>
      </w:r>
      <w:r>
        <w:t xml:space="preserve"> </w:t>
      </w:r>
      <w:r w:rsidRPr="0071787C">
        <w:t xml:space="preserve">En particular, la reducción </w:t>
      </w:r>
      <w:r>
        <w:t xml:space="preserve">esperada </w:t>
      </w:r>
      <w:r w:rsidRPr="0071787C">
        <w:t>de la mortalidad</w:t>
      </w:r>
      <w:r>
        <w:t xml:space="preserve"> por desnutrición aguda se presenta debido al efecto del lineamiento sobre la tasa de remisión a atención intrahospitalaria y a la implementación de un manejo adecuado de los casos de desnutrición aguda.</w:t>
      </w:r>
    </w:p>
  </w:footnote>
  <w:footnote w:id="51">
    <w:p w14:paraId="2107E9C4" w14:textId="77777777" w:rsidR="00F16AAB" w:rsidRPr="00280881" w:rsidRDefault="00F16AAB" w:rsidP="00935D26">
      <w:pPr>
        <w:pStyle w:val="FootnoteText"/>
      </w:pPr>
      <w:r w:rsidRPr="00280881">
        <w:rPr>
          <w:rStyle w:val="FootnoteReference"/>
          <w:szCs w:val="16"/>
        </w:rPr>
        <w:footnoteRef/>
      </w:r>
      <w:r w:rsidRPr="00280881">
        <w:t xml:space="preserve"> </w:t>
      </w:r>
      <w:r>
        <w:t xml:space="preserve">Aunque </w:t>
      </w:r>
      <w:r w:rsidRPr="00280881">
        <w:t>inicialmente se había considera</w:t>
      </w:r>
      <w:r>
        <w:t>do</w:t>
      </w:r>
      <w:r w:rsidRPr="00280881">
        <w:t xml:space="preserve"> la posibilidad de incluir la perspectiva social en el análisis de costos, a partir de evidencia empírica (evaluación de procesos de los equipos extramurales desarrollada por el MSPS) y lo que se espera del lineamiento, se han descartado los elementos adicionales que ésta incluiría. Se ha identificado que la atención tradicional (curanderos y medicina tradicional) de los casos de desnutrición no generan ningún costo para los hogares; por otro lado, el transporte hacia el centro de salud de los cuidadores y los niños lo suele hacer el mismo equipo extramural, debido a las condiciones socioeconómicas de la población atendida.</w:t>
      </w:r>
    </w:p>
  </w:footnote>
  <w:footnote w:id="52">
    <w:p w14:paraId="479FD892" w14:textId="77777777" w:rsidR="00F16AAB" w:rsidRPr="00280881" w:rsidRDefault="00F16AAB" w:rsidP="00935D26">
      <w:pPr>
        <w:pStyle w:val="FootnoteText"/>
      </w:pPr>
      <w:r w:rsidRPr="00280881">
        <w:rPr>
          <w:rStyle w:val="FootnoteReference"/>
          <w:szCs w:val="16"/>
        </w:rPr>
        <w:footnoteRef/>
      </w:r>
      <w:r w:rsidRPr="00280881">
        <w:t xml:space="preserve"> Tomando del lineamiento.</w:t>
      </w:r>
    </w:p>
  </w:footnote>
  <w:footnote w:id="53">
    <w:p w14:paraId="5A44471C" w14:textId="77777777" w:rsidR="00F16AAB" w:rsidRDefault="00F16AAB" w:rsidP="00935D26">
      <w:pPr>
        <w:pStyle w:val="FootnoteText"/>
      </w:pPr>
      <w:r w:rsidRPr="00DE149F">
        <w:rPr>
          <w:rStyle w:val="FootnoteReference"/>
          <w:szCs w:val="16"/>
        </w:rPr>
        <w:footnoteRef/>
      </w:r>
      <w:r w:rsidRPr="00DE149F">
        <w:t xml:space="preserve"> Se estima el costo para el Sistema de Salud, sin considerar la sostenibilidad o las fuentes de financiamiento de éste, ya que, aunque no es un elemento trivial, estarían por fuera del alcance del análisis costo-efectividad</w:t>
      </w:r>
      <w:r>
        <w:t xml:space="preserve">. </w:t>
      </w:r>
    </w:p>
  </w:footnote>
  <w:footnote w:id="54">
    <w:p w14:paraId="0868D07F" w14:textId="77777777" w:rsidR="00F16AAB" w:rsidRPr="004E3BA1" w:rsidRDefault="00F16AAB" w:rsidP="00935D26">
      <w:pPr>
        <w:pStyle w:val="FootnoteText"/>
      </w:pPr>
      <w:r>
        <w:rPr>
          <w:rStyle w:val="FootnoteReference"/>
        </w:rPr>
        <w:footnoteRef/>
      </w:r>
      <w:r>
        <w:t xml:space="preserve"> </w:t>
      </w:r>
      <w:r w:rsidRPr="004E3BA1">
        <w:t>El lineamiento establece, de acuerdo a las características antropométricas del niño o la niña con desnutrición aguda y de los resultados obtenidos de pruebas de laboratorio, la atención que dicho niño o niña debe recibir. Tomando como referencia este protocolo de atención, se han supuesto los procedimientos e insumos que un niño o niña con con diarrea, deshidratación y anemia debería recibir</w:t>
      </w:r>
      <w:r>
        <w:t xml:space="preserve">, en los que se incluye la </w:t>
      </w:r>
      <w:r w:rsidRPr="006037ED">
        <w:t>aplicación de glóbulos rojos en paciente hospitalizado</w:t>
      </w:r>
      <w:r>
        <w:t>.</w:t>
      </w:r>
    </w:p>
  </w:footnote>
  <w:footnote w:id="55">
    <w:p w14:paraId="38134B04" w14:textId="77777777" w:rsidR="00F16AAB" w:rsidRPr="00DE149F" w:rsidRDefault="00F16AAB" w:rsidP="00935D26">
      <w:pPr>
        <w:pStyle w:val="FootnoteText"/>
      </w:pPr>
      <w:r w:rsidRPr="00DE149F">
        <w:rPr>
          <w:rStyle w:val="FootnoteReference"/>
          <w:szCs w:val="16"/>
        </w:rPr>
        <w:footnoteRef/>
      </w:r>
      <w:r w:rsidRPr="00DE149F">
        <w:t xml:space="preserve"> Se limita la temporalidad de la discapacidad al tiempo en el que el niño se encuentra con desnutrición aguda moderada o severa; de esta manera se excluye alguna medida de discapacidad futura después de que el niño o niña se haya recuperado.</w:t>
      </w:r>
    </w:p>
  </w:footnote>
  <w:footnote w:id="56">
    <w:p w14:paraId="573198BE" w14:textId="77777777" w:rsidR="00F16AAB" w:rsidRDefault="00F16AAB">
      <w:pPr>
        <w:pStyle w:val="FootnoteText"/>
      </w:pPr>
      <w:r>
        <w:rPr>
          <w:rStyle w:val="FootnoteReference"/>
        </w:rPr>
        <w:footnoteRef/>
      </w:r>
      <w:r>
        <w:t xml:space="preserve"> </w:t>
      </w:r>
      <w:r w:rsidRPr="00CD5182">
        <w:t>Todos los participantes afirmaron que existe una nueva forma de tratar la desnutrición aguda. Al describir los cambios que se han presentado respecto al tratamiento a la desnutrición aguda antes de la expedición de la Resolución que contiene el Lineamiento, resaltaron que la desnutrición se considera una urgencia vital y que el cuerpo médico ha empezado a entender la desnutrición como una patología. Agregaron que como no existía el reporte de morbilidad y mortalidad por desnutrición a SIVIGILA, antes no se evidenciaban estas variables, a pesar de que el problema sí existía.</w:t>
      </w:r>
    </w:p>
  </w:footnote>
  <w:footnote w:id="57">
    <w:p w14:paraId="24BD8505" w14:textId="77777777" w:rsidR="00F16AAB" w:rsidRDefault="00F16AAB" w:rsidP="00935D26">
      <w:pPr>
        <w:pStyle w:val="FootnoteText"/>
      </w:pPr>
      <w:r>
        <w:rPr>
          <w:rStyle w:val="FootnoteReference"/>
        </w:rPr>
        <w:footnoteRef/>
      </w:r>
      <w:r>
        <w:t xml:space="preserve"> </w:t>
      </w:r>
      <w:r w:rsidRPr="00C91512">
        <w:t>Conforme al artículo 4 del Decreto 859 de 2014, la Comisión Intersectorial de Salud Pública tiene entre sus funciones las de: “1. Recomendar los lineamientos técnicos para identificar e intervenir los determinantes en salud y coordinar el rol de cada sector en los mismos. 2. Adoptar un Plan de trabajo para que las entidades que forman parte de la Comisión, conforme a sus competencias, actúen de forma coordinada sobre los determinantes en salud y desarrollen políticas que impacten positivamente los mismos.”</w:t>
      </w:r>
    </w:p>
  </w:footnote>
  <w:footnote w:id="58">
    <w:p w14:paraId="15A4DC0C" w14:textId="77777777" w:rsidR="00F16AAB" w:rsidRDefault="00F16AAB" w:rsidP="00935D26">
      <w:pPr>
        <w:pStyle w:val="FootnoteText"/>
      </w:pPr>
      <w:r>
        <w:rPr>
          <w:rStyle w:val="FootnoteReference"/>
        </w:rPr>
        <w:footnoteRef/>
      </w:r>
      <w:r>
        <w:t xml:space="preserve"> Los funcionarios entrevistados informan que sólo se reunieron una vez al comienzo de la administración de uno de los gobernadores del Departamento.</w:t>
      </w:r>
    </w:p>
  </w:footnote>
  <w:footnote w:id="59">
    <w:p w14:paraId="709A79EB" w14:textId="77777777" w:rsidR="00F16AAB" w:rsidRDefault="00F16AAB" w:rsidP="00935D26">
      <w:pPr>
        <w:pStyle w:val="FootnoteText"/>
      </w:pPr>
      <w:r>
        <w:rPr>
          <w:rStyle w:val="FootnoteReference"/>
        </w:rPr>
        <w:footnoteRef/>
      </w:r>
      <w:r>
        <w:t xml:space="preserve"> T</w:t>
      </w:r>
      <w:r w:rsidRPr="006F4A17">
        <w:t>omando como referencia el puntaje Z P/T</w:t>
      </w:r>
      <w:r>
        <w:t>.</w:t>
      </w:r>
    </w:p>
  </w:footnote>
  <w:footnote w:id="60">
    <w:p w14:paraId="71442A19" w14:textId="77777777" w:rsidR="00F16AAB" w:rsidRDefault="00F16AAB" w:rsidP="00935D26">
      <w:pPr>
        <w:pStyle w:val="FootnoteText"/>
      </w:pPr>
      <w:r>
        <w:rPr>
          <w:rStyle w:val="FootnoteReference"/>
        </w:rPr>
        <w:footnoteRef/>
      </w:r>
      <w:r>
        <w:t xml:space="preserve"> Las entrevistas no permiten conocer el número exacto de IPS que tienen grupos extramurales. Las EPS entrevistadas se referían a los equipos que buscan afiliados como equipos extramurales que hacen labores tipo misiones de salud. </w:t>
      </w:r>
    </w:p>
  </w:footnote>
  <w:footnote w:id="61">
    <w:p w14:paraId="5F0FF97D" w14:textId="77777777" w:rsidR="00F16AAB" w:rsidRDefault="00F16AAB" w:rsidP="00935D26">
      <w:pPr>
        <w:pStyle w:val="FootnoteText"/>
      </w:pPr>
      <w:r>
        <w:rPr>
          <w:rStyle w:val="FootnoteReference"/>
        </w:rPr>
        <w:footnoteRef/>
      </w:r>
      <w:r>
        <w:t xml:space="preserve"> La EAPB le entrega a la IPS una suma fija por persona para un determinado período de tiempo (mensual o anual) para que el prestador cubra las necesidades de atención en salud que requiera el afiliado durante el período de tiempo pactado y preste un conjunto de atenciones y entregue los medicamentos pactados en el contrato. </w:t>
      </w:r>
    </w:p>
  </w:footnote>
  <w:footnote w:id="62">
    <w:p w14:paraId="02E32CB8" w14:textId="77777777" w:rsidR="00F16AAB" w:rsidRDefault="00F16AAB" w:rsidP="00935D26">
      <w:pPr>
        <w:pStyle w:val="FootnoteText"/>
      </w:pPr>
      <w:r>
        <w:rPr>
          <w:rStyle w:val="FootnoteReference"/>
        </w:rPr>
        <w:footnoteRef/>
      </w:r>
      <w:r>
        <w:t xml:space="preserve"> MSPS (2016).</w:t>
      </w:r>
    </w:p>
  </w:footnote>
  <w:footnote w:id="63">
    <w:p w14:paraId="60374F6E" w14:textId="77777777" w:rsidR="00F16AAB" w:rsidRDefault="00F16AAB" w:rsidP="00935D26">
      <w:pPr>
        <w:pStyle w:val="FootnoteText"/>
      </w:pPr>
      <w:r>
        <w:rPr>
          <w:rStyle w:val="FootnoteReference"/>
        </w:rPr>
        <w:footnoteRef/>
      </w:r>
      <w:r>
        <w:t xml:space="preserve"> Como ya se informón, el equipo de médicos y enfermeras mejor capacitados son los que pertenecían a los grupos extramurales contratados por el MSPS. </w:t>
      </w:r>
    </w:p>
  </w:footnote>
  <w:footnote w:id="64">
    <w:p w14:paraId="44EF1ED5" w14:textId="77777777" w:rsidR="00F16AAB" w:rsidRPr="008B5E28" w:rsidRDefault="00F16AAB" w:rsidP="00935D26">
      <w:pPr>
        <w:pStyle w:val="FootnoteText"/>
      </w:pPr>
      <w:r w:rsidRPr="008B5E28">
        <w:rPr>
          <w:rStyle w:val="FootnoteReference"/>
          <w:szCs w:val="16"/>
        </w:rPr>
        <w:footnoteRef/>
      </w:r>
      <w:r w:rsidRPr="008B5E28">
        <w:t xml:space="preserve"> El costo de referencia para los medicamentos e insumos con lineamiento se construyó tomando como referencia un escenario hipotético de tratamiento intrahospitalaria a partir del protocolo establecido en el lineamiento y los precios de referencias del SISMED.</w:t>
      </w:r>
    </w:p>
  </w:footnote>
  <w:footnote w:id="65">
    <w:p w14:paraId="247EA321" w14:textId="77777777" w:rsidR="00F16AAB" w:rsidRPr="008B5E28" w:rsidRDefault="00F16AAB" w:rsidP="00935D26">
      <w:pPr>
        <w:pStyle w:val="FootnoteText"/>
      </w:pPr>
      <w:r w:rsidRPr="008B5E28">
        <w:rPr>
          <w:rStyle w:val="FootnoteReference"/>
          <w:szCs w:val="16"/>
        </w:rPr>
        <w:footnoteRef/>
      </w:r>
      <w:r w:rsidRPr="008B5E28">
        <w:t xml:space="preserve"> Es importante recordad que, los niños y niñas recuperados son aquellos que pasaron de estar en condición de desnutrición aguda y pasaron a estar en riesgo de desnutrición aguda o en P/T adecuado.</w:t>
      </w:r>
    </w:p>
  </w:footnote>
  <w:footnote w:id="66">
    <w:p w14:paraId="2944E2FC" w14:textId="77777777" w:rsidR="00F16AAB" w:rsidRPr="008B5E28" w:rsidRDefault="00F16AAB" w:rsidP="00935D26">
      <w:pPr>
        <w:pStyle w:val="FootnoteText"/>
      </w:pPr>
      <w:r w:rsidRPr="008B5E28">
        <w:rPr>
          <w:rStyle w:val="FootnoteReference"/>
          <w:szCs w:val="16"/>
        </w:rPr>
        <w:footnoteRef/>
      </w:r>
      <w:r w:rsidRPr="008B5E28">
        <w:t xml:space="preserve"> Para la estimación de los AVAD se ha considerado una tasa de descuento inter</w:t>
      </w:r>
      <w:r>
        <w:t>-</w:t>
      </w:r>
      <w:r w:rsidRPr="008B5E28">
        <w:t>temporal igual a 0% y sin realizar ajuste por edades.</w:t>
      </w:r>
    </w:p>
  </w:footnote>
  <w:footnote w:id="67">
    <w:p w14:paraId="52C4A7A6" w14:textId="77777777" w:rsidR="00F16AAB" w:rsidRDefault="00F16AAB" w:rsidP="00935D26">
      <w:pPr>
        <w:pStyle w:val="FootnoteText"/>
      </w:pPr>
      <w:r>
        <w:rPr>
          <w:rStyle w:val="FootnoteReference"/>
        </w:rPr>
        <w:footnoteRef/>
      </w:r>
      <w:r>
        <w:t xml:space="preserve"> Castaño, R. A. (2014), informa que esta forma de contratación promueve barreras de acceso, genera transferencia de costos al paciente o a otros prestadores para las atenciones que no estén cubiertas, genera incentivos para incrementar las hospitalizaciones, reduce la calidad porque usa insumos y personal médico más baratos y produce negación de servicios médicamente necesarios. Estas características hacen que este tipo de contratación no reduzca apropiadamente la morbilidad para los servicios que se contratan.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470E1" w14:textId="77777777" w:rsidR="00F16AAB" w:rsidRDefault="00F16AAB" w:rsidP="008340B2">
    <w:pPr>
      <w:pStyle w:val="Header"/>
      <w:rPr>
        <w:b/>
      </w:rPr>
    </w:pPr>
    <w:r>
      <w:rPr>
        <w:b/>
      </w:rPr>
      <w:t xml:space="preserve">                         </w:t>
    </w:r>
    <w:r>
      <w:rPr>
        <w:b/>
      </w:rPr>
      <w:tab/>
    </w:r>
    <w:r>
      <w:rPr>
        <w:b/>
      </w:rPr>
      <w:tab/>
    </w:r>
  </w:p>
  <w:p w14:paraId="31FB36A4" w14:textId="77777777" w:rsidR="00F16AAB" w:rsidRDefault="00F16AAB" w:rsidP="008340B2">
    <w:pPr>
      <w:pStyle w:val="Header"/>
      <w:rPr>
        <w:b/>
      </w:rPr>
    </w:pPr>
  </w:p>
  <w:p w14:paraId="0D6BEF53" w14:textId="77777777" w:rsidR="00F16AAB" w:rsidRDefault="00F16AAB" w:rsidP="008340B2">
    <w:pPr>
      <w:pStyle w:val="Header"/>
      <w:rPr>
        <w:b/>
      </w:rPr>
    </w:pPr>
    <w:r>
      <w:rPr>
        <w:b/>
      </w:rPr>
      <w:t xml:space="preserve">                          </w:t>
    </w:r>
  </w:p>
  <w:p w14:paraId="00C8EA0B" w14:textId="77777777" w:rsidR="00F16AAB" w:rsidRDefault="00F16A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B6576" w14:textId="77777777" w:rsidR="00F16AAB" w:rsidRDefault="00F16AAB" w:rsidP="008340B2">
    <w:pPr>
      <w:pStyle w:val="Header"/>
      <w:rPr>
        <w:b/>
      </w:rPr>
    </w:pPr>
    <w:r>
      <w:rPr>
        <w:b/>
      </w:rPr>
      <w:t xml:space="preserve">                         </w:t>
    </w:r>
    <w:r>
      <w:rPr>
        <w:b/>
      </w:rPr>
      <w:tab/>
    </w:r>
    <w:r>
      <w:rPr>
        <w:b/>
      </w:rPr>
      <w:tab/>
    </w:r>
  </w:p>
  <w:p w14:paraId="01300E67" w14:textId="77777777" w:rsidR="00F16AAB" w:rsidRDefault="00F16AAB" w:rsidP="008340B2">
    <w:pPr>
      <w:pStyle w:val="Header"/>
      <w:rPr>
        <w:b/>
      </w:rPr>
    </w:pPr>
  </w:p>
  <w:p w14:paraId="2BA5312D" w14:textId="77777777" w:rsidR="00F16AAB" w:rsidRDefault="00F16AAB" w:rsidP="008340B2">
    <w:pPr>
      <w:pStyle w:val="Header"/>
      <w:rPr>
        <w:b/>
      </w:rPr>
    </w:pPr>
    <w:r>
      <w:rPr>
        <w:b/>
      </w:rPr>
      <w:t xml:space="preserve">                          </w:t>
    </w:r>
  </w:p>
  <w:p w14:paraId="7B5C682F" w14:textId="77777777" w:rsidR="00F16AAB" w:rsidRDefault="00F16A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DE50C" w14:textId="77777777" w:rsidR="00F16AAB" w:rsidRDefault="00F16AAB" w:rsidP="00BA4E60">
    <w:pPr>
      <w:pStyle w:val="Header"/>
      <w:rPr>
        <w:b/>
      </w:rPr>
    </w:pPr>
    <w:r>
      <w:rPr>
        <w:b/>
      </w:rPr>
      <w:t xml:space="preserve">                         </w:t>
    </w:r>
    <w:r>
      <w:rPr>
        <w:b/>
      </w:rPr>
      <w:tab/>
    </w:r>
    <w:r>
      <w:rPr>
        <w:b/>
      </w:rPr>
      <w:tab/>
    </w:r>
  </w:p>
  <w:p w14:paraId="2878C30B" w14:textId="77777777" w:rsidR="00F16AAB" w:rsidRDefault="00F16AAB" w:rsidP="00BA4E60">
    <w:pPr>
      <w:pStyle w:val="Header"/>
      <w:rPr>
        <w:b/>
      </w:rPr>
    </w:pPr>
  </w:p>
  <w:p w14:paraId="3BDF53FD" w14:textId="77777777" w:rsidR="00F16AAB" w:rsidRDefault="00F16AAB" w:rsidP="00BA4E60">
    <w:pPr>
      <w:pStyle w:val="Header"/>
      <w:rPr>
        <w:b/>
      </w:rPr>
    </w:pPr>
    <w:r>
      <w:rPr>
        <w:b/>
      </w:rPr>
      <w:t xml:space="preserve">                          </w:t>
    </w:r>
  </w:p>
  <w:p w14:paraId="01A5E655" w14:textId="77777777" w:rsidR="00F16AAB" w:rsidRDefault="00F16A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F268C" w14:textId="77777777" w:rsidR="00F16AAB" w:rsidRPr="000E4574" w:rsidRDefault="00F16AAB">
    <w:pPr>
      <w:pStyle w:val="Header"/>
      <w:rPr>
        <w:b/>
      </w:rPr>
    </w:pPr>
  </w:p>
  <w:p w14:paraId="34569AE8" w14:textId="77777777" w:rsidR="00F16AAB" w:rsidRDefault="00F16A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F47CA"/>
    <w:multiLevelType w:val="hybridMultilevel"/>
    <w:tmpl w:val="C4BAAA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2702C"/>
    <w:multiLevelType w:val="hybridMultilevel"/>
    <w:tmpl w:val="1B8C34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1F5EE6"/>
    <w:multiLevelType w:val="hybridMultilevel"/>
    <w:tmpl w:val="B24488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C2E37EA"/>
    <w:multiLevelType w:val="hybridMultilevel"/>
    <w:tmpl w:val="8A3A5138"/>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5940A3"/>
    <w:multiLevelType w:val="hybridMultilevel"/>
    <w:tmpl w:val="EE1C534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6D78E1"/>
    <w:multiLevelType w:val="hybridMultilevel"/>
    <w:tmpl w:val="7E6C74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702E80"/>
    <w:multiLevelType w:val="multilevel"/>
    <w:tmpl w:val="0409001F"/>
    <w:styleLink w:val="111111"/>
    <w:lvl w:ilvl="0">
      <w:start w:val="1"/>
      <w:numFmt w:val="decimal"/>
      <w:pStyle w:val="Heading1"/>
      <w:lvlText w:val="%1."/>
      <w:lvlJc w:val="left"/>
      <w:pPr>
        <w:ind w:left="360" w:hanging="360"/>
      </w:pPr>
    </w:lvl>
    <w:lvl w:ilvl="1">
      <w:start w:val="1"/>
      <w:numFmt w:val="decimal"/>
      <w:pStyle w:val="Heading2"/>
      <w:lvlText w:val="%1.%2."/>
      <w:lvlJc w:val="left"/>
      <w:pPr>
        <w:ind w:left="5394"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pStyle w:val="Heading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B162B1"/>
    <w:multiLevelType w:val="hybridMultilevel"/>
    <w:tmpl w:val="C444FC64"/>
    <w:lvl w:ilvl="0" w:tplc="40268110">
      <w:start w:val="1"/>
      <w:numFmt w:val="decimal"/>
      <w:lvlText w:val="%1."/>
      <w:lvlJc w:val="left"/>
      <w:pPr>
        <w:ind w:left="360" w:hanging="360"/>
      </w:pPr>
      <w:rPr>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D39232D"/>
    <w:multiLevelType w:val="hybridMultilevel"/>
    <w:tmpl w:val="7DD25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174E1F"/>
    <w:multiLevelType w:val="hybridMultilevel"/>
    <w:tmpl w:val="2E32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187ADF"/>
    <w:multiLevelType w:val="hybridMultilevel"/>
    <w:tmpl w:val="462EB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52B70BC"/>
    <w:multiLevelType w:val="multilevel"/>
    <w:tmpl w:val="0409001F"/>
    <w:numStyleLink w:val="111111"/>
  </w:abstractNum>
  <w:abstractNum w:abstractNumId="12" w15:restartNumberingAfterBreak="0">
    <w:nsid w:val="3BA1597B"/>
    <w:multiLevelType w:val="hybridMultilevel"/>
    <w:tmpl w:val="BCDE2E30"/>
    <w:lvl w:ilvl="0" w:tplc="4D0E77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D0532A"/>
    <w:multiLevelType w:val="hybridMultilevel"/>
    <w:tmpl w:val="C74683EA"/>
    <w:lvl w:ilvl="0" w:tplc="0EA2C13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661143"/>
    <w:multiLevelType w:val="hybridMultilevel"/>
    <w:tmpl w:val="44E68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E53CEB"/>
    <w:multiLevelType w:val="multilevel"/>
    <w:tmpl w:val="0409001F"/>
    <w:numStyleLink w:val="111111"/>
  </w:abstractNum>
  <w:abstractNum w:abstractNumId="16" w15:restartNumberingAfterBreak="0">
    <w:nsid w:val="5475566C"/>
    <w:multiLevelType w:val="hybridMultilevel"/>
    <w:tmpl w:val="B2E4502A"/>
    <w:lvl w:ilvl="0" w:tplc="E9EA3A66">
      <w:start w:val="5"/>
      <w:numFmt w:val="bullet"/>
      <w:lvlText w:val="-"/>
      <w:lvlJc w:val="left"/>
      <w:pPr>
        <w:ind w:left="720" w:hanging="360"/>
      </w:pPr>
      <w:rPr>
        <w:rFonts w:ascii="Times New Roman" w:eastAsiaTheme="maj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312D4"/>
    <w:multiLevelType w:val="hybridMultilevel"/>
    <w:tmpl w:val="09822ADC"/>
    <w:lvl w:ilvl="0" w:tplc="D70ECDC2">
      <w:start w:val="1"/>
      <w:numFmt w:val="decimal"/>
      <w:lvlText w:val="%1."/>
      <w:lvlJc w:val="left"/>
      <w:pPr>
        <w:ind w:left="1776" w:hanging="360"/>
      </w:pPr>
    </w:lvl>
    <w:lvl w:ilvl="1" w:tplc="240A0019" w:tentative="1">
      <w:start w:val="1"/>
      <w:numFmt w:val="lowerLetter"/>
      <w:pStyle w:val="Estilo1"/>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92B74FB"/>
    <w:multiLevelType w:val="hybridMultilevel"/>
    <w:tmpl w:val="10107B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93E3638"/>
    <w:multiLevelType w:val="hybridMultilevel"/>
    <w:tmpl w:val="A5BEF9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E1818"/>
    <w:multiLevelType w:val="hybridMultilevel"/>
    <w:tmpl w:val="422AC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5E2BAE"/>
    <w:multiLevelType w:val="hybridMultilevel"/>
    <w:tmpl w:val="B3DEC6D8"/>
    <w:lvl w:ilvl="0" w:tplc="193099E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79172C"/>
    <w:multiLevelType w:val="multilevel"/>
    <w:tmpl w:val="637C14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64051A5"/>
    <w:multiLevelType w:val="hybridMultilevel"/>
    <w:tmpl w:val="A01A7D52"/>
    <w:lvl w:ilvl="0" w:tplc="7C8EEAA6">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6AA3275"/>
    <w:multiLevelType w:val="hybridMultilevel"/>
    <w:tmpl w:val="0EC27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80CDF"/>
    <w:multiLevelType w:val="hybridMultilevel"/>
    <w:tmpl w:val="B2C481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303CB5"/>
    <w:multiLevelType w:val="hybridMultilevel"/>
    <w:tmpl w:val="50B6ADDE"/>
    <w:lvl w:ilvl="0" w:tplc="A5EA6A2E">
      <w:start w:val="1"/>
      <w:numFmt w:val="bullet"/>
      <w:lvlText w:val=""/>
      <w:lvlJc w:val="left"/>
      <w:pPr>
        <w:ind w:left="360" w:hanging="360"/>
      </w:pPr>
      <w:rPr>
        <w:rFonts w:ascii="Symbol" w:hAnsi="Symbol" w:hint="default"/>
        <w:sz w:val="20"/>
        <w:szCs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ECE05B5"/>
    <w:multiLevelType w:val="hybridMultilevel"/>
    <w:tmpl w:val="D730C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3"/>
  </w:num>
  <w:num w:numId="3">
    <w:abstractNumId w:val="26"/>
  </w:num>
  <w:num w:numId="4">
    <w:abstractNumId w:val="10"/>
  </w:num>
  <w:num w:numId="5">
    <w:abstractNumId w:val="7"/>
  </w:num>
  <w:num w:numId="6">
    <w:abstractNumId w:val="18"/>
  </w:num>
  <w:num w:numId="7">
    <w:abstractNumId w:val="17"/>
  </w:num>
  <w:num w:numId="8">
    <w:abstractNumId w:val="22"/>
  </w:num>
  <w:num w:numId="9">
    <w:abstractNumId w:val="6"/>
  </w:num>
  <w:num w:numId="10">
    <w:abstractNumId w:val="20"/>
  </w:num>
  <w:num w:numId="11">
    <w:abstractNumId w:val="2"/>
  </w:num>
  <w:num w:numId="12">
    <w:abstractNumId w:val="25"/>
  </w:num>
  <w:num w:numId="13">
    <w:abstractNumId w:val="0"/>
  </w:num>
  <w:num w:numId="14">
    <w:abstractNumId w:val="19"/>
  </w:num>
  <w:num w:numId="15">
    <w:abstractNumId w:val="1"/>
  </w:num>
  <w:num w:numId="16">
    <w:abstractNumId w:val="5"/>
  </w:num>
  <w:num w:numId="17">
    <w:abstractNumId w:val="8"/>
  </w:num>
  <w:num w:numId="18">
    <w:abstractNumId w:val="15"/>
    <w:lvlOverride w:ilvl="2">
      <w:lvl w:ilvl="2">
        <w:start w:val="1"/>
        <w:numFmt w:val="decimal"/>
        <w:pStyle w:val="Heading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ind w:left="3059" w:hanging="648"/>
        </w:pPr>
      </w:lvl>
    </w:lvlOverride>
  </w:num>
  <w:num w:numId="19">
    <w:abstractNumId w:val="11"/>
  </w:num>
  <w:num w:numId="20">
    <w:abstractNumId w:val="9"/>
  </w:num>
  <w:num w:numId="21">
    <w:abstractNumId w:val="12"/>
  </w:num>
  <w:num w:numId="22">
    <w:abstractNumId w:val="27"/>
  </w:num>
  <w:num w:numId="23">
    <w:abstractNumId w:val="13"/>
  </w:num>
  <w:num w:numId="24">
    <w:abstractNumId w:val="24"/>
  </w:num>
  <w:num w:numId="25">
    <w:abstractNumId w:val="16"/>
  </w:num>
  <w:num w:numId="26">
    <w:abstractNumId w:val="14"/>
  </w:num>
  <w:num w:numId="27">
    <w:abstractNumId w:val="4"/>
  </w:num>
  <w:num w:numId="28">
    <w:abstractNumId w:val="3"/>
  </w:num>
  <w:num w:numId="29">
    <w:abstractNumId w:val="15"/>
    <w:lvlOverride w:ilvl="2">
      <w:lvl w:ilvl="2">
        <w:start w:val="1"/>
        <w:numFmt w:val="decimal"/>
        <w:pStyle w:val="Heading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ind w:left="3059" w:hanging="648"/>
        </w:pPr>
      </w:lvl>
    </w:lvlOverride>
  </w:num>
  <w:num w:numId="30">
    <w:abstractNumId w:val="15"/>
    <w:lvlOverride w:ilvl="2">
      <w:lvl w:ilvl="2">
        <w:start w:val="1"/>
        <w:numFmt w:val="decimal"/>
        <w:pStyle w:val="Heading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ind w:left="3059" w:hanging="648"/>
        </w:pPr>
      </w:lvl>
    </w:lvlOverride>
  </w:num>
  <w:num w:numId="31">
    <w:abstractNumId w:val="15"/>
    <w:lvlOverride w:ilvl="2">
      <w:lvl w:ilvl="2">
        <w:start w:val="1"/>
        <w:numFmt w:val="decimal"/>
        <w:pStyle w:val="Heading3"/>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ind w:left="3059" w:hanging="648"/>
        </w:p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EAD"/>
    <w:rsid w:val="00000708"/>
    <w:rsid w:val="00001C0D"/>
    <w:rsid w:val="00001F3D"/>
    <w:rsid w:val="00002BF8"/>
    <w:rsid w:val="00002CFD"/>
    <w:rsid w:val="0000349F"/>
    <w:rsid w:val="00003F23"/>
    <w:rsid w:val="0000419E"/>
    <w:rsid w:val="000044D9"/>
    <w:rsid w:val="00005751"/>
    <w:rsid w:val="00010022"/>
    <w:rsid w:val="0001185D"/>
    <w:rsid w:val="0001436D"/>
    <w:rsid w:val="000147B2"/>
    <w:rsid w:val="00015870"/>
    <w:rsid w:val="00015C4D"/>
    <w:rsid w:val="00016163"/>
    <w:rsid w:val="00017504"/>
    <w:rsid w:val="0002133A"/>
    <w:rsid w:val="00021B46"/>
    <w:rsid w:val="000221FC"/>
    <w:rsid w:val="00022385"/>
    <w:rsid w:val="00022887"/>
    <w:rsid w:val="00023055"/>
    <w:rsid w:val="00023F13"/>
    <w:rsid w:val="000246B0"/>
    <w:rsid w:val="000258BB"/>
    <w:rsid w:val="00025A2E"/>
    <w:rsid w:val="00025C08"/>
    <w:rsid w:val="00026FB0"/>
    <w:rsid w:val="00027AB9"/>
    <w:rsid w:val="00027E1B"/>
    <w:rsid w:val="00030286"/>
    <w:rsid w:val="00033267"/>
    <w:rsid w:val="00033429"/>
    <w:rsid w:val="00033A7B"/>
    <w:rsid w:val="00033D3F"/>
    <w:rsid w:val="00035BB1"/>
    <w:rsid w:val="00037533"/>
    <w:rsid w:val="00037ED8"/>
    <w:rsid w:val="00040F28"/>
    <w:rsid w:val="0004304A"/>
    <w:rsid w:val="00043646"/>
    <w:rsid w:val="00044E6F"/>
    <w:rsid w:val="00045A6F"/>
    <w:rsid w:val="00045C1A"/>
    <w:rsid w:val="00045FC0"/>
    <w:rsid w:val="000468AE"/>
    <w:rsid w:val="00050F3B"/>
    <w:rsid w:val="00051AA7"/>
    <w:rsid w:val="0005340F"/>
    <w:rsid w:val="00053477"/>
    <w:rsid w:val="00054376"/>
    <w:rsid w:val="00054E78"/>
    <w:rsid w:val="00054FBF"/>
    <w:rsid w:val="000558A1"/>
    <w:rsid w:val="00055C71"/>
    <w:rsid w:val="00057DA1"/>
    <w:rsid w:val="00060FAD"/>
    <w:rsid w:val="00061124"/>
    <w:rsid w:val="00061313"/>
    <w:rsid w:val="00061863"/>
    <w:rsid w:val="00062739"/>
    <w:rsid w:val="00065F36"/>
    <w:rsid w:val="00066E06"/>
    <w:rsid w:val="00066F29"/>
    <w:rsid w:val="00067A43"/>
    <w:rsid w:val="00067DE3"/>
    <w:rsid w:val="00070782"/>
    <w:rsid w:val="00070E9A"/>
    <w:rsid w:val="000737ED"/>
    <w:rsid w:val="00074BCE"/>
    <w:rsid w:val="00074C66"/>
    <w:rsid w:val="00076187"/>
    <w:rsid w:val="00076932"/>
    <w:rsid w:val="00076A0C"/>
    <w:rsid w:val="000801ED"/>
    <w:rsid w:val="00080F33"/>
    <w:rsid w:val="00081991"/>
    <w:rsid w:val="00081A57"/>
    <w:rsid w:val="0008200A"/>
    <w:rsid w:val="0008232D"/>
    <w:rsid w:val="00083EF1"/>
    <w:rsid w:val="00084290"/>
    <w:rsid w:val="000845CC"/>
    <w:rsid w:val="00084905"/>
    <w:rsid w:val="0008558A"/>
    <w:rsid w:val="00090126"/>
    <w:rsid w:val="000918B9"/>
    <w:rsid w:val="00092660"/>
    <w:rsid w:val="00092D90"/>
    <w:rsid w:val="0009366D"/>
    <w:rsid w:val="0009370C"/>
    <w:rsid w:val="00094839"/>
    <w:rsid w:val="00094905"/>
    <w:rsid w:val="00094D1F"/>
    <w:rsid w:val="00096176"/>
    <w:rsid w:val="00096B1F"/>
    <w:rsid w:val="00097877"/>
    <w:rsid w:val="000A09B9"/>
    <w:rsid w:val="000A4827"/>
    <w:rsid w:val="000A4B6E"/>
    <w:rsid w:val="000A4C58"/>
    <w:rsid w:val="000A576D"/>
    <w:rsid w:val="000A5B78"/>
    <w:rsid w:val="000A5DBC"/>
    <w:rsid w:val="000A5E0A"/>
    <w:rsid w:val="000A6B12"/>
    <w:rsid w:val="000A6DF8"/>
    <w:rsid w:val="000A7137"/>
    <w:rsid w:val="000B089A"/>
    <w:rsid w:val="000B133B"/>
    <w:rsid w:val="000B1FB0"/>
    <w:rsid w:val="000B26ED"/>
    <w:rsid w:val="000B2C95"/>
    <w:rsid w:val="000B3DEA"/>
    <w:rsid w:val="000B48DD"/>
    <w:rsid w:val="000B4EA4"/>
    <w:rsid w:val="000B6C95"/>
    <w:rsid w:val="000B6E83"/>
    <w:rsid w:val="000B7111"/>
    <w:rsid w:val="000B798B"/>
    <w:rsid w:val="000C0EB0"/>
    <w:rsid w:val="000C150A"/>
    <w:rsid w:val="000C23C8"/>
    <w:rsid w:val="000C2557"/>
    <w:rsid w:val="000C26A8"/>
    <w:rsid w:val="000C318A"/>
    <w:rsid w:val="000C32A4"/>
    <w:rsid w:val="000C3357"/>
    <w:rsid w:val="000C376E"/>
    <w:rsid w:val="000C4921"/>
    <w:rsid w:val="000C4C76"/>
    <w:rsid w:val="000C519D"/>
    <w:rsid w:val="000C6356"/>
    <w:rsid w:val="000C675E"/>
    <w:rsid w:val="000C6AC7"/>
    <w:rsid w:val="000C7FB1"/>
    <w:rsid w:val="000D0A72"/>
    <w:rsid w:val="000D169D"/>
    <w:rsid w:val="000D1F1E"/>
    <w:rsid w:val="000D266C"/>
    <w:rsid w:val="000D333C"/>
    <w:rsid w:val="000D45E5"/>
    <w:rsid w:val="000D4C9D"/>
    <w:rsid w:val="000D4F5F"/>
    <w:rsid w:val="000D5C2E"/>
    <w:rsid w:val="000D5EA6"/>
    <w:rsid w:val="000D60D6"/>
    <w:rsid w:val="000D7571"/>
    <w:rsid w:val="000E12DD"/>
    <w:rsid w:val="000E25C1"/>
    <w:rsid w:val="000E30E9"/>
    <w:rsid w:val="000E3633"/>
    <w:rsid w:val="000E369A"/>
    <w:rsid w:val="000E370C"/>
    <w:rsid w:val="000E3DF6"/>
    <w:rsid w:val="000E4574"/>
    <w:rsid w:val="000E4C37"/>
    <w:rsid w:val="000E767D"/>
    <w:rsid w:val="000F038E"/>
    <w:rsid w:val="000F09E4"/>
    <w:rsid w:val="000F45AC"/>
    <w:rsid w:val="000F57A9"/>
    <w:rsid w:val="000F5BA6"/>
    <w:rsid w:val="000F5E33"/>
    <w:rsid w:val="000F66E4"/>
    <w:rsid w:val="000F6E69"/>
    <w:rsid w:val="000F7C50"/>
    <w:rsid w:val="00100438"/>
    <w:rsid w:val="00101D3A"/>
    <w:rsid w:val="00102EAE"/>
    <w:rsid w:val="00105C28"/>
    <w:rsid w:val="00107113"/>
    <w:rsid w:val="001071ED"/>
    <w:rsid w:val="00111106"/>
    <w:rsid w:val="00111498"/>
    <w:rsid w:val="00111F37"/>
    <w:rsid w:val="001127CE"/>
    <w:rsid w:val="001151E6"/>
    <w:rsid w:val="00116189"/>
    <w:rsid w:val="00116C5A"/>
    <w:rsid w:val="001178D1"/>
    <w:rsid w:val="001206DB"/>
    <w:rsid w:val="00120A3F"/>
    <w:rsid w:val="00120AA4"/>
    <w:rsid w:val="0012204D"/>
    <w:rsid w:val="00122361"/>
    <w:rsid w:val="00122A9D"/>
    <w:rsid w:val="001234DE"/>
    <w:rsid w:val="00123E27"/>
    <w:rsid w:val="0012443F"/>
    <w:rsid w:val="001248CC"/>
    <w:rsid w:val="00125982"/>
    <w:rsid w:val="00125A76"/>
    <w:rsid w:val="00125E66"/>
    <w:rsid w:val="00126EE5"/>
    <w:rsid w:val="00127552"/>
    <w:rsid w:val="0013045E"/>
    <w:rsid w:val="00130F99"/>
    <w:rsid w:val="00131AA3"/>
    <w:rsid w:val="00132733"/>
    <w:rsid w:val="001331D3"/>
    <w:rsid w:val="0013378C"/>
    <w:rsid w:val="001363E0"/>
    <w:rsid w:val="00136CC0"/>
    <w:rsid w:val="0013727E"/>
    <w:rsid w:val="00137401"/>
    <w:rsid w:val="00137FD6"/>
    <w:rsid w:val="0014189F"/>
    <w:rsid w:val="00142184"/>
    <w:rsid w:val="00142359"/>
    <w:rsid w:val="001423FD"/>
    <w:rsid w:val="001426DB"/>
    <w:rsid w:val="0014294D"/>
    <w:rsid w:val="0014302E"/>
    <w:rsid w:val="001435E6"/>
    <w:rsid w:val="001437F2"/>
    <w:rsid w:val="00143E44"/>
    <w:rsid w:val="00145FD7"/>
    <w:rsid w:val="00146EB7"/>
    <w:rsid w:val="0014774F"/>
    <w:rsid w:val="00147BF0"/>
    <w:rsid w:val="00150A75"/>
    <w:rsid w:val="00150C53"/>
    <w:rsid w:val="00150D43"/>
    <w:rsid w:val="00152731"/>
    <w:rsid w:val="0015396A"/>
    <w:rsid w:val="0015397D"/>
    <w:rsid w:val="001546A6"/>
    <w:rsid w:val="00154C19"/>
    <w:rsid w:val="00157928"/>
    <w:rsid w:val="00157CCF"/>
    <w:rsid w:val="001606BA"/>
    <w:rsid w:val="00160F38"/>
    <w:rsid w:val="00162050"/>
    <w:rsid w:val="00162276"/>
    <w:rsid w:val="001626B0"/>
    <w:rsid w:val="001627C0"/>
    <w:rsid w:val="00164755"/>
    <w:rsid w:val="00165B85"/>
    <w:rsid w:val="00165F91"/>
    <w:rsid w:val="00166E4A"/>
    <w:rsid w:val="00170137"/>
    <w:rsid w:val="001711FB"/>
    <w:rsid w:val="001712BB"/>
    <w:rsid w:val="001714CF"/>
    <w:rsid w:val="0017307B"/>
    <w:rsid w:val="001735A7"/>
    <w:rsid w:val="0017465A"/>
    <w:rsid w:val="001747AA"/>
    <w:rsid w:val="001752D9"/>
    <w:rsid w:val="00175595"/>
    <w:rsid w:val="001759A5"/>
    <w:rsid w:val="00176CA2"/>
    <w:rsid w:val="00177606"/>
    <w:rsid w:val="00177A84"/>
    <w:rsid w:val="00180889"/>
    <w:rsid w:val="0018098B"/>
    <w:rsid w:val="00180D25"/>
    <w:rsid w:val="00181079"/>
    <w:rsid w:val="0018231D"/>
    <w:rsid w:val="00182EA7"/>
    <w:rsid w:val="001832C6"/>
    <w:rsid w:val="00184BB1"/>
    <w:rsid w:val="001908D7"/>
    <w:rsid w:val="00191D9B"/>
    <w:rsid w:val="001921FD"/>
    <w:rsid w:val="00192C9F"/>
    <w:rsid w:val="00192D7D"/>
    <w:rsid w:val="00193258"/>
    <w:rsid w:val="00193F5C"/>
    <w:rsid w:val="00194D17"/>
    <w:rsid w:val="00195345"/>
    <w:rsid w:val="00195457"/>
    <w:rsid w:val="0019704D"/>
    <w:rsid w:val="001A0323"/>
    <w:rsid w:val="001A0A09"/>
    <w:rsid w:val="001A0B64"/>
    <w:rsid w:val="001A0F81"/>
    <w:rsid w:val="001A15EA"/>
    <w:rsid w:val="001A174D"/>
    <w:rsid w:val="001A205A"/>
    <w:rsid w:val="001A26D9"/>
    <w:rsid w:val="001A2A74"/>
    <w:rsid w:val="001A2B10"/>
    <w:rsid w:val="001A3B40"/>
    <w:rsid w:val="001A3E15"/>
    <w:rsid w:val="001A507A"/>
    <w:rsid w:val="001A595F"/>
    <w:rsid w:val="001A66FF"/>
    <w:rsid w:val="001A703C"/>
    <w:rsid w:val="001A73E7"/>
    <w:rsid w:val="001B1EFD"/>
    <w:rsid w:val="001B1FF2"/>
    <w:rsid w:val="001B29FF"/>
    <w:rsid w:val="001B3C6E"/>
    <w:rsid w:val="001B3D41"/>
    <w:rsid w:val="001B3FBC"/>
    <w:rsid w:val="001B471F"/>
    <w:rsid w:val="001B4F06"/>
    <w:rsid w:val="001B517C"/>
    <w:rsid w:val="001B5600"/>
    <w:rsid w:val="001B78B6"/>
    <w:rsid w:val="001B7C8E"/>
    <w:rsid w:val="001C03EF"/>
    <w:rsid w:val="001C0498"/>
    <w:rsid w:val="001C0A40"/>
    <w:rsid w:val="001C0C56"/>
    <w:rsid w:val="001C100F"/>
    <w:rsid w:val="001C2E0E"/>
    <w:rsid w:val="001C3088"/>
    <w:rsid w:val="001C3B7A"/>
    <w:rsid w:val="001C3E4D"/>
    <w:rsid w:val="001C40D3"/>
    <w:rsid w:val="001C4740"/>
    <w:rsid w:val="001C6B10"/>
    <w:rsid w:val="001C6E34"/>
    <w:rsid w:val="001C72C0"/>
    <w:rsid w:val="001C7A09"/>
    <w:rsid w:val="001C7AC0"/>
    <w:rsid w:val="001D09F6"/>
    <w:rsid w:val="001D1DF3"/>
    <w:rsid w:val="001D1F7D"/>
    <w:rsid w:val="001D3079"/>
    <w:rsid w:val="001D3E40"/>
    <w:rsid w:val="001D4DA9"/>
    <w:rsid w:val="001D5381"/>
    <w:rsid w:val="001D61C3"/>
    <w:rsid w:val="001D6B4C"/>
    <w:rsid w:val="001E2702"/>
    <w:rsid w:val="001E2FD6"/>
    <w:rsid w:val="001E374D"/>
    <w:rsid w:val="001E3D7A"/>
    <w:rsid w:val="001E5044"/>
    <w:rsid w:val="001E5201"/>
    <w:rsid w:val="001E57AD"/>
    <w:rsid w:val="001E7342"/>
    <w:rsid w:val="001E7E37"/>
    <w:rsid w:val="001F04F1"/>
    <w:rsid w:val="001F0941"/>
    <w:rsid w:val="001F0A09"/>
    <w:rsid w:val="001F1B7F"/>
    <w:rsid w:val="001F42DD"/>
    <w:rsid w:val="001F4BE4"/>
    <w:rsid w:val="001F5A11"/>
    <w:rsid w:val="001F6632"/>
    <w:rsid w:val="001F67F9"/>
    <w:rsid w:val="001F7734"/>
    <w:rsid w:val="00200138"/>
    <w:rsid w:val="00200191"/>
    <w:rsid w:val="002002ED"/>
    <w:rsid w:val="00200FDC"/>
    <w:rsid w:val="00201277"/>
    <w:rsid w:val="00201729"/>
    <w:rsid w:val="00201A44"/>
    <w:rsid w:val="002021D2"/>
    <w:rsid w:val="002023A6"/>
    <w:rsid w:val="00202403"/>
    <w:rsid w:val="002028BC"/>
    <w:rsid w:val="00203295"/>
    <w:rsid w:val="002039C6"/>
    <w:rsid w:val="0020639C"/>
    <w:rsid w:val="002069E0"/>
    <w:rsid w:val="00206DA9"/>
    <w:rsid w:val="002104B8"/>
    <w:rsid w:val="00210DDF"/>
    <w:rsid w:val="0021129C"/>
    <w:rsid w:val="00211A43"/>
    <w:rsid w:val="00211E26"/>
    <w:rsid w:val="00211F84"/>
    <w:rsid w:val="0021201E"/>
    <w:rsid w:val="00212497"/>
    <w:rsid w:val="00212627"/>
    <w:rsid w:val="00212D37"/>
    <w:rsid w:val="002138A0"/>
    <w:rsid w:val="0021422E"/>
    <w:rsid w:val="0021490D"/>
    <w:rsid w:val="00215732"/>
    <w:rsid w:val="0022109F"/>
    <w:rsid w:val="0022175D"/>
    <w:rsid w:val="00221A47"/>
    <w:rsid w:val="00221AE0"/>
    <w:rsid w:val="00221FBA"/>
    <w:rsid w:val="00222F5C"/>
    <w:rsid w:val="0022308C"/>
    <w:rsid w:val="00223AAB"/>
    <w:rsid w:val="00223F6C"/>
    <w:rsid w:val="00224194"/>
    <w:rsid w:val="002246A1"/>
    <w:rsid w:val="00224AE8"/>
    <w:rsid w:val="002250C4"/>
    <w:rsid w:val="0022586E"/>
    <w:rsid w:val="002262A5"/>
    <w:rsid w:val="0022634C"/>
    <w:rsid w:val="0022726E"/>
    <w:rsid w:val="0023035D"/>
    <w:rsid w:val="00230768"/>
    <w:rsid w:val="00231F1E"/>
    <w:rsid w:val="0023261B"/>
    <w:rsid w:val="0023364F"/>
    <w:rsid w:val="0023428A"/>
    <w:rsid w:val="00234BC1"/>
    <w:rsid w:val="00235469"/>
    <w:rsid w:val="00235D4D"/>
    <w:rsid w:val="00235F57"/>
    <w:rsid w:val="00236496"/>
    <w:rsid w:val="00236D14"/>
    <w:rsid w:val="00236E41"/>
    <w:rsid w:val="00236EE7"/>
    <w:rsid w:val="0023750A"/>
    <w:rsid w:val="002378B7"/>
    <w:rsid w:val="002401E4"/>
    <w:rsid w:val="0024294A"/>
    <w:rsid w:val="00242B90"/>
    <w:rsid w:val="00242BCD"/>
    <w:rsid w:val="00243388"/>
    <w:rsid w:val="00243EAD"/>
    <w:rsid w:val="00243F9E"/>
    <w:rsid w:val="002448E5"/>
    <w:rsid w:val="00244CB4"/>
    <w:rsid w:val="00244FFC"/>
    <w:rsid w:val="00245709"/>
    <w:rsid w:val="0024595F"/>
    <w:rsid w:val="002459D8"/>
    <w:rsid w:val="00245D03"/>
    <w:rsid w:val="002466EC"/>
    <w:rsid w:val="002468EE"/>
    <w:rsid w:val="002500EB"/>
    <w:rsid w:val="002503C1"/>
    <w:rsid w:val="0025061B"/>
    <w:rsid w:val="0025074E"/>
    <w:rsid w:val="00250E0D"/>
    <w:rsid w:val="00251C64"/>
    <w:rsid w:val="002533C2"/>
    <w:rsid w:val="0025347F"/>
    <w:rsid w:val="002541AB"/>
    <w:rsid w:val="00255469"/>
    <w:rsid w:val="00257091"/>
    <w:rsid w:val="00260607"/>
    <w:rsid w:val="00260B82"/>
    <w:rsid w:val="00260C06"/>
    <w:rsid w:val="00260D28"/>
    <w:rsid w:val="00261A91"/>
    <w:rsid w:val="00261EE9"/>
    <w:rsid w:val="002623E3"/>
    <w:rsid w:val="00262C8A"/>
    <w:rsid w:val="00264858"/>
    <w:rsid w:val="002652A4"/>
    <w:rsid w:val="00265749"/>
    <w:rsid w:val="00266C6E"/>
    <w:rsid w:val="00270985"/>
    <w:rsid w:val="0027121F"/>
    <w:rsid w:val="0027146D"/>
    <w:rsid w:val="00271945"/>
    <w:rsid w:val="00271AA7"/>
    <w:rsid w:val="00272813"/>
    <w:rsid w:val="00274011"/>
    <w:rsid w:val="002741EF"/>
    <w:rsid w:val="00274412"/>
    <w:rsid w:val="00275E50"/>
    <w:rsid w:val="00280044"/>
    <w:rsid w:val="002802CE"/>
    <w:rsid w:val="00280348"/>
    <w:rsid w:val="0028076F"/>
    <w:rsid w:val="00281968"/>
    <w:rsid w:val="00281A59"/>
    <w:rsid w:val="0028241E"/>
    <w:rsid w:val="002825EC"/>
    <w:rsid w:val="0028327C"/>
    <w:rsid w:val="00285C40"/>
    <w:rsid w:val="0028641E"/>
    <w:rsid w:val="00286A88"/>
    <w:rsid w:val="00286BD3"/>
    <w:rsid w:val="0028741E"/>
    <w:rsid w:val="00287766"/>
    <w:rsid w:val="00290242"/>
    <w:rsid w:val="002905B2"/>
    <w:rsid w:val="00292D15"/>
    <w:rsid w:val="00293F92"/>
    <w:rsid w:val="00294023"/>
    <w:rsid w:val="00294D47"/>
    <w:rsid w:val="002956C4"/>
    <w:rsid w:val="002966A7"/>
    <w:rsid w:val="00297FBF"/>
    <w:rsid w:val="002A0E9E"/>
    <w:rsid w:val="002A13F6"/>
    <w:rsid w:val="002A4800"/>
    <w:rsid w:val="002A556F"/>
    <w:rsid w:val="002A5922"/>
    <w:rsid w:val="002A5BAF"/>
    <w:rsid w:val="002A6B2D"/>
    <w:rsid w:val="002B2022"/>
    <w:rsid w:val="002B3231"/>
    <w:rsid w:val="002B411B"/>
    <w:rsid w:val="002B5E09"/>
    <w:rsid w:val="002B63CB"/>
    <w:rsid w:val="002B6878"/>
    <w:rsid w:val="002B6AC0"/>
    <w:rsid w:val="002B6F2F"/>
    <w:rsid w:val="002C0080"/>
    <w:rsid w:val="002C00AF"/>
    <w:rsid w:val="002C02B0"/>
    <w:rsid w:val="002C087D"/>
    <w:rsid w:val="002C0A6C"/>
    <w:rsid w:val="002C0BA8"/>
    <w:rsid w:val="002C0EC5"/>
    <w:rsid w:val="002C13FE"/>
    <w:rsid w:val="002C34BF"/>
    <w:rsid w:val="002C3B10"/>
    <w:rsid w:val="002C47B9"/>
    <w:rsid w:val="002C6B48"/>
    <w:rsid w:val="002D1CD6"/>
    <w:rsid w:val="002D253A"/>
    <w:rsid w:val="002D25BB"/>
    <w:rsid w:val="002D2B36"/>
    <w:rsid w:val="002D3199"/>
    <w:rsid w:val="002D3289"/>
    <w:rsid w:val="002D3D80"/>
    <w:rsid w:val="002D43DF"/>
    <w:rsid w:val="002D4EB2"/>
    <w:rsid w:val="002D504D"/>
    <w:rsid w:val="002D52D8"/>
    <w:rsid w:val="002D589D"/>
    <w:rsid w:val="002D6A05"/>
    <w:rsid w:val="002D74F9"/>
    <w:rsid w:val="002D791C"/>
    <w:rsid w:val="002D79DE"/>
    <w:rsid w:val="002D7A1A"/>
    <w:rsid w:val="002E00CF"/>
    <w:rsid w:val="002E0AA5"/>
    <w:rsid w:val="002E1B25"/>
    <w:rsid w:val="002E1D6C"/>
    <w:rsid w:val="002E318F"/>
    <w:rsid w:val="002E3EFE"/>
    <w:rsid w:val="002E4329"/>
    <w:rsid w:val="002E44F1"/>
    <w:rsid w:val="002E4FAD"/>
    <w:rsid w:val="002E5879"/>
    <w:rsid w:val="002E58A8"/>
    <w:rsid w:val="002E7684"/>
    <w:rsid w:val="002F1221"/>
    <w:rsid w:val="002F194D"/>
    <w:rsid w:val="002F1B5F"/>
    <w:rsid w:val="002F1ECF"/>
    <w:rsid w:val="002F2114"/>
    <w:rsid w:val="002F322C"/>
    <w:rsid w:val="002F48E7"/>
    <w:rsid w:val="002F558C"/>
    <w:rsid w:val="002F567A"/>
    <w:rsid w:val="002F6629"/>
    <w:rsid w:val="002F7236"/>
    <w:rsid w:val="00300378"/>
    <w:rsid w:val="00302407"/>
    <w:rsid w:val="003030B8"/>
    <w:rsid w:val="00303726"/>
    <w:rsid w:val="00305210"/>
    <w:rsid w:val="0030570A"/>
    <w:rsid w:val="00306A63"/>
    <w:rsid w:val="0031255A"/>
    <w:rsid w:val="003125DC"/>
    <w:rsid w:val="003127AC"/>
    <w:rsid w:val="00312E22"/>
    <w:rsid w:val="003156F5"/>
    <w:rsid w:val="003157BC"/>
    <w:rsid w:val="003178A3"/>
    <w:rsid w:val="0032009C"/>
    <w:rsid w:val="003203D0"/>
    <w:rsid w:val="00320BFE"/>
    <w:rsid w:val="00321148"/>
    <w:rsid w:val="0032195F"/>
    <w:rsid w:val="003223C4"/>
    <w:rsid w:val="003237E9"/>
    <w:rsid w:val="00324F6D"/>
    <w:rsid w:val="00327E21"/>
    <w:rsid w:val="0033030A"/>
    <w:rsid w:val="00330501"/>
    <w:rsid w:val="00330693"/>
    <w:rsid w:val="00330FEB"/>
    <w:rsid w:val="00331812"/>
    <w:rsid w:val="00331991"/>
    <w:rsid w:val="003321DF"/>
    <w:rsid w:val="003341EC"/>
    <w:rsid w:val="0033422E"/>
    <w:rsid w:val="00334E95"/>
    <w:rsid w:val="003369CE"/>
    <w:rsid w:val="00336EEE"/>
    <w:rsid w:val="00337368"/>
    <w:rsid w:val="0034069D"/>
    <w:rsid w:val="00340C9F"/>
    <w:rsid w:val="00340FF7"/>
    <w:rsid w:val="00342614"/>
    <w:rsid w:val="0034342F"/>
    <w:rsid w:val="003434B1"/>
    <w:rsid w:val="00343DA5"/>
    <w:rsid w:val="00346843"/>
    <w:rsid w:val="003468BD"/>
    <w:rsid w:val="003469D1"/>
    <w:rsid w:val="0034742F"/>
    <w:rsid w:val="003478F0"/>
    <w:rsid w:val="003479D8"/>
    <w:rsid w:val="00347D74"/>
    <w:rsid w:val="00347E9A"/>
    <w:rsid w:val="00350522"/>
    <w:rsid w:val="00352A50"/>
    <w:rsid w:val="00353554"/>
    <w:rsid w:val="003536D8"/>
    <w:rsid w:val="003561EB"/>
    <w:rsid w:val="0035627E"/>
    <w:rsid w:val="00356AB5"/>
    <w:rsid w:val="00360B88"/>
    <w:rsid w:val="0036195C"/>
    <w:rsid w:val="003641AC"/>
    <w:rsid w:val="0036456B"/>
    <w:rsid w:val="00364C4F"/>
    <w:rsid w:val="00365F02"/>
    <w:rsid w:val="00367264"/>
    <w:rsid w:val="003674D7"/>
    <w:rsid w:val="00371369"/>
    <w:rsid w:val="003716D1"/>
    <w:rsid w:val="00371AE5"/>
    <w:rsid w:val="00371B49"/>
    <w:rsid w:val="00371C5C"/>
    <w:rsid w:val="003726AC"/>
    <w:rsid w:val="00372B20"/>
    <w:rsid w:val="00372CB1"/>
    <w:rsid w:val="00373556"/>
    <w:rsid w:val="00374B6B"/>
    <w:rsid w:val="0037614F"/>
    <w:rsid w:val="003762BF"/>
    <w:rsid w:val="003767F6"/>
    <w:rsid w:val="00376FB9"/>
    <w:rsid w:val="00377AB8"/>
    <w:rsid w:val="00380F8D"/>
    <w:rsid w:val="0038219F"/>
    <w:rsid w:val="00382423"/>
    <w:rsid w:val="00382643"/>
    <w:rsid w:val="003828A4"/>
    <w:rsid w:val="003831F1"/>
    <w:rsid w:val="00383428"/>
    <w:rsid w:val="00383BFE"/>
    <w:rsid w:val="003840CE"/>
    <w:rsid w:val="00384E26"/>
    <w:rsid w:val="003875EA"/>
    <w:rsid w:val="003879C5"/>
    <w:rsid w:val="00391F0B"/>
    <w:rsid w:val="003937BA"/>
    <w:rsid w:val="00394278"/>
    <w:rsid w:val="003959E0"/>
    <w:rsid w:val="0039670A"/>
    <w:rsid w:val="00396718"/>
    <w:rsid w:val="00396875"/>
    <w:rsid w:val="003A2AA7"/>
    <w:rsid w:val="003A37C5"/>
    <w:rsid w:val="003A3BBE"/>
    <w:rsid w:val="003A4009"/>
    <w:rsid w:val="003A421F"/>
    <w:rsid w:val="003A49E1"/>
    <w:rsid w:val="003A5B5C"/>
    <w:rsid w:val="003A61DA"/>
    <w:rsid w:val="003A65E3"/>
    <w:rsid w:val="003A6E0D"/>
    <w:rsid w:val="003A76C9"/>
    <w:rsid w:val="003B075E"/>
    <w:rsid w:val="003B1EF6"/>
    <w:rsid w:val="003B28EC"/>
    <w:rsid w:val="003B2A8F"/>
    <w:rsid w:val="003B2C52"/>
    <w:rsid w:val="003B33E9"/>
    <w:rsid w:val="003B382F"/>
    <w:rsid w:val="003B3A54"/>
    <w:rsid w:val="003B49FC"/>
    <w:rsid w:val="003B5415"/>
    <w:rsid w:val="003B5B08"/>
    <w:rsid w:val="003B5DFD"/>
    <w:rsid w:val="003B70AF"/>
    <w:rsid w:val="003B79AD"/>
    <w:rsid w:val="003C0137"/>
    <w:rsid w:val="003C0C4E"/>
    <w:rsid w:val="003C14B6"/>
    <w:rsid w:val="003C1B8C"/>
    <w:rsid w:val="003C248E"/>
    <w:rsid w:val="003C2D63"/>
    <w:rsid w:val="003C2D65"/>
    <w:rsid w:val="003C2DF6"/>
    <w:rsid w:val="003C3A30"/>
    <w:rsid w:val="003C40CA"/>
    <w:rsid w:val="003C6D59"/>
    <w:rsid w:val="003C7431"/>
    <w:rsid w:val="003C7C1B"/>
    <w:rsid w:val="003D1281"/>
    <w:rsid w:val="003D138F"/>
    <w:rsid w:val="003D1805"/>
    <w:rsid w:val="003D1C02"/>
    <w:rsid w:val="003D1D22"/>
    <w:rsid w:val="003D52B5"/>
    <w:rsid w:val="003D6A68"/>
    <w:rsid w:val="003E01EF"/>
    <w:rsid w:val="003E122F"/>
    <w:rsid w:val="003E1AE4"/>
    <w:rsid w:val="003E1B39"/>
    <w:rsid w:val="003E27F5"/>
    <w:rsid w:val="003E2E0F"/>
    <w:rsid w:val="003E37DE"/>
    <w:rsid w:val="003E4290"/>
    <w:rsid w:val="003E4D25"/>
    <w:rsid w:val="003E5DE7"/>
    <w:rsid w:val="003E5F20"/>
    <w:rsid w:val="003E6CB7"/>
    <w:rsid w:val="003E77DF"/>
    <w:rsid w:val="003E7C43"/>
    <w:rsid w:val="003F0DDA"/>
    <w:rsid w:val="003F1B6F"/>
    <w:rsid w:val="003F1FCE"/>
    <w:rsid w:val="003F5B75"/>
    <w:rsid w:val="003F6079"/>
    <w:rsid w:val="003F6C3C"/>
    <w:rsid w:val="003F79BC"/>
    <w:rsid w:val="003F7AA7"/>
    <w:rsid w:val="003F7E21"/>
    <w:rsid w:val="00400589"/>
    <w:rsid w:val="00400872"/>
    <w:rsid w:val="00401608"/>
    <w:rsid w:val="00401DDC"/>
    <w:rsid w:val="00402A61"/>
    <w:rsid w:val="0040343F"/>
    <w:rsid w:val="004038E6"/>
    <w:rsid w:val="00404197"/>
    <w:rsid w:val="00404BF4"/>
    <w:rsid w:val="00405473"/>
    <w:rsid w:val="00405843"/>
    <w:rsid w:val="00405C06"/>
    <w:rsid w:val="004101AB"/>
    <w:rsid w:val="00410D2E"/>
    <w:rsid w:val="00410DE5"/>
    <w:rsid w:val="00410EA9"/>
    <w:rsid w:val="00412A84"/>
    <w:rsid w:val="00413B60"/>
    <w:rsid w:val="00413E10"/>
    <w:rsid w:val="00414036"/>
    <w:rsid w:val="00414E27"/>
    <w:rsid w:val="004151C4"/>
    <w:rsid w:val="00415ED5"/>
    <w:rsid w:val="004172C4"/>
    <w:rsid w:val="004178FF"/>
    <w:rsid w:val="00417EBF"/>
    <w:rsid w:val="00417FF2"/>
    <w:rsid w:val="004209AB"/>
    <w:rsid w:val="004216C1"/>
    <w:rsid w:val="0042199D"/>
    <w:rsid w:val="00422116"/>
    <w:rsid w:val="00422B69"/>
    <w:rsid w:val="0042310A"/>
    <w:rsid w:val="004246F0"/>
    <w:rsid w:val="004249D7"/>
    <w:rsid w:val="0042507F"/>
    <w:rsid w:val="00425805"/>
    <w:rsid w:val="00425FC4"/>
    <w:rsid w:val="00425FEF"/>
    <w:rsid w:val="00427A85"/>
    <w:rsid w:val="00427EB0"/>
    <w:rsid w:val="0043024F"/>
    <w:rsid w:val="00430CE0"/>
    <w:rsid w:val="00431225"/>
    <w:rsid w:val="00432670"/>
    <w:rsid w:val="00435EDA"/>
    <w:rsid w:val="0043637D"/>
    <w:rsid w:val="00436F71"/>
    <w:rsid w:val="00437BA2"/>
    <w:rsid w:val="00440058"/>
    <w:rsid w:val="004402A0"/>
    <w:rsid w:val="004403D7"/>
    <w:rsid w:val="0044080A"/>
    <w:rsid w:val="0044146B"/>
    <w:rsid w:val="00441714"/>
    <w:rsid w:val="00442198"/>
    <w:rsid w:val="0044260B"/>
    <w:rsid w:val="00446178"/>
    <w:rsid w:val="004464FA"/>
    <w:rsid w:val="00447148"/>
    <w:rsid w:val="00447708"/>
    <w:rsid w:val="004478DC"/>
    <w:rsid w:val="00450A3E"/>
    <w:rsid w:val="00451230"/>
    <w:rsid w:val="00451D2B"/>
    <w:rsid w:val="00451EB9"/>
    <w:rsid w:val="00452531"/>
    <w:rsid w:val="00453D4D"/>
    <w:rsid w:val="00454766"/>
    <w:rsid w:val="004549DB"/>
    <w:rsid w:val="00456D69"/>
    <w:rsid w:val="004571C6"/>
    <w:rsid w:val="0045794C"/>
    <w:rsid w:val="00461089"/>
    <w:rsid w:val="00461A5C"/>
    <w:rsid w:val="00463076"/>
    <w:rsid w:val="0046363B"/>
    <w:rsid w:val="00466BC3"/>
    <w:rsid w:val="00466C0C"/>
    <w:rsid w:val="004670FB"/>
    <w:rsid w:val="004671A9"/>
    <w:rsid w:val="00467A3C"/>
    <w:rsid w:val="004723A5"/>
    <w:rsid w:val="00472EAF"/>
    <w:rsid w:val="00473097"/>
    <w:rsid w:val="004731ED"/>
    <w:rsid w:val="00474C7F"/>
    <w:rsid w:val="00475277"/>
    <w:rsid w:val="00475B58"/>
    <w:rsid w:val="00475E4C"/>
    <w:rsid w:val="0048098C"/>
    <w:rsid w:val="00480CCE"/>
    <w:rsid w:val="004818B0"/>
    <w:rsid w:val="00481CED"/>
    <w:rsid w:val="00481D9F"/>
    <w:rsid w:val="00482467"/>
    <w:rsid w:val="0048262C"/>
    <w:rsid w:val="00484448"/>
    <w:rsid w:val="0048490E"/>
    <w:rsid w:val="00484C39"/>
    <w:rsid w:val="00484E9B"/>
    <w:rsid w:val="00486928"/>
    <w:rsid w:val="004870D5"/>
    <w:rsid w:val="0048730B"/>
    <w:rsid w:val="004877DB"/>
    <w:rsid w:val="00487ED2"/>
    <w:rsid w:val="0049070F"/>
    <w:rsid w:val="00490DA4"/>
    <w:rsid w:val="00491591"/>
    <w:rsid w:val="004917DF"/>
    <w:rsid w:val="00491BD8"/>
    <w:rsid w:val="00491DCB"/>
    <w:rsid w:val="00492459"/>
    <w:rsid w:val="00492B02"/>
    <w:rsid w:val="0049350D"/>
    <w:rsid w:val="00493D51"/>
    <w:rsid w:val="004941FD"/>
    <w:rsid w:val="00494665"/>
    <w:rsid w:val="00494D53"/>
    <w:rsid w:val="00495F11"/>
    <w:rsid w:val="0049691B"/>
    <w:rsid w:val="00496D14"/>
    <w:rsid w:val="004A1045"/>
    <w:rsid w:val="004A1271"/>
    <w:rsid w:val="004A13C9"/>
    <w:rsid w:val="004A1493"/>
    <w:rsid w:val="004A2074"/>
    <w:rsid w:val="004A3826"/>
    <w:rsid w:val="004A3C54"/>
    <w:rsid w:val="004A4406"/>
    <w:rsid w:val="004A45AC"/>
    <w:rsid w:val="004A4B94"/>
    <w:rsid w:val="004A5529"/>
    <w:rsid w:val="004A593E"/>
    <w:rsid w:val="004A5BA7"/>
    <w:rsid w:val="004A6770"/>
    <w:rsid w:val="004A6DFE"/>
    <w:rsid w:val="004A751E"/>
    <w:rsid w:val="004A7E0A"/>
    <w:rsid w:val="004B00BE"/>
    <w:rsid w:val="004B0A69"/>
    <w:rsid w:val="004B2A29"/>
    <w:rsid w:val="004B3A34"/>
    <w:rsid w:val="004B4EB1"/>
    <w:rsid w:val="004B4EB6"/>
    <w:rsid w:val="004B544E"/>
    <w:rsid w:val="004B5A87"/>
    <w:rsid w:val="004B6462"/>
    <w:rsid w:val="004B7AEC"/>
    <w:rsid w:val="004C3651"/>
    <w:rsid w:val="004C439D"/>
    <w:rsid w:val="004C47CE"/>
    <w:rsid w:val="004C4E88"/>
    <w:rsid w:val="004C5775"/>
    <w:rsid w:val="004C5C94"/>
    <w:rsid w:val="004C75A5"/>
    <w:rsid w:val="004D0735"/>
    <w:rsid w:val="004D1440"/>
    <w:rsid w:val="004D1871"/>
    <w:rsid w:val="004D34CD"/>
    <w:rsid w:val="004D3DCC"/>
    <w:rsid w:val="004D409C"/>
    <w:rsid w:val="004D4337"/>
    <w:rsid w:val="004D4883"/>
    <w:rsid w:val="004D60F7"/>
    <w:rsid w:val="004D6750"/>
    <w:rsid w:val="004D68B2"/>
    <w:rsid w:val="004D7136"/>
    <w:rsid w:val="004E10FB"/>
    <w:rsid w:val="004E1590"/>
    <w:rsid w:val="004E26B2"/>
    <w:rsid w:val="004E2EF6"/>
    <w:rsid w:val="004E3243"/>
    <w:rsid w:val="004E47EA"/>
    <w:rsid w:val="004E4E23"/>
    <w:rsid w:val="004E5941"/>
    <w:rsid w:val="004E6F9C"/>
    <w:rsid w:val="004E7E7A"/>
    <w:rsid w:val="004F0702"/>
    <w:rsid w:val="004F251A"/>
    <w:rsid w:val="004F2B2F"/>
    <w:rsid w:val="004F31AF"/>
    <w:rsid w:val="004F3AF5"/>
    <w:rsid w:val="004F5F50"/>
    <w:rsid w:val="004F6A6D"/>
    <w:rsid w:val="005006A3"/>
    <w:rsid w:val="0050128A"/>
    <w:rsid w:val="0050273A"/>
    <w:rsid w:val="00502D55"/>
    <w:rsid w:val="00503482"/>
    <w:rsid w:val="0050356E"/>
    <w:rsid w:val="00504A17"/>
    <w:rsid w:val="005054C1"/>
    <w:rsid w:val="00505F35"/>
    <w:rsid w:val="00506638"/>
    <w:rsid w:val="005079ED"/>
    <w:rsid w:val="00507E40"/>
    <w:rsid w:val="00507F22"/>
    <w:rsid w:val="00510672"/>
    <w:rsid w:val="005106AF"/>
    <w:rsid w:val="005117F5"/>
    <w:rsid w:val="00511F71"/>
    <w:rsid w:val="00513B14"/>
    <w:rsid w:val="00514A99"/>
    <w:rsid w:val="00515803"/>
    <w:rsid w:val="0051608B"/>
    <w:rsid w:val="005161BA"/>
    <w:rsid w:val="00521412"/>
    <w:rsid w:val="005222B6"/>
    <w:rsid w:val="00522CEE"/>
    <w:rsid w:val="00525A31"/>
    <w:rsid w:val="00525AF9"/>
    <w:rsid w:val="00526BC3"/>
    <w:rsid w:val="00527170"/>
    <w:rsid w:val="0052724F"/>
    <w:rsid w:val="00527389"/>
    <w:rsid w:val="005307BF"/>
    <w:rsid w:val="005315B2"/>
    <w:rsid w:val="00532655"/>
    <w:rsid w:val="005336C2"/>
    <w:rsid w:val="00534B0F"/>
    <w:rsid w:val="00535574"/>
    <w:rsid w:val="0053626B"/>
    <w:rsid w:val="00536299"/>
    <w:rsid w:val="005368D9"/>
    <w:rsid w:val="00540C62"/>
    <w:rsid w:val="00540C85"/>
    <w:rsid w:val="00540FCB"/>
    <w:rsid w:val="00542489"/>
    <w:rsid w:val="00543036"/>
    <w:rsid w:val="0054416F"/>
    <w:rsid w:val="00544F2C"/>
    <w:rsid w:val="00545E91"/>
    <w:rsid w:val="00546858"/>
    <w:rsid w:val="00547049"/>
    <w:rsid w:val="0055471F"/>
    <w:rsid w:val="00555EAA"/>
    <w:rsid w:val="0055628D"/>
    <w:rsid w:val="005579E3"/>
    <w:rsid w:val="00557B9C"/>
    <w:rsid w:val="0056082D"/>
    <w:rsid w:val="00562D43"/>
    <w:rsid w:val="00563022"/>
    <w:rsid w:val="005631BA"/>
    <w:rsid w:val="00564DF4"/>
    <w:rsid w:val="005653CD"/>
    <w:rsid w:val="00567603"/>
    <w:rsid w:val="005728E9"/>
    <w:rsid w:val="00575009"/>
    <w:rsid w:val="00575AE1"/>
    <w:rsid w:val="00576422"/>
    <w:rsid w:val="005764A8"/>
    <w:rsid w:val="0057654C"/>
    <w:rsid w:val="005768A2"/>
    <w:rsid w:val="00577699"/>
    <w:rsid w:val="00580842"/>
    <w:rsid w:val="00580EA5"/>
    <w:rsid w:val="00581B70"/>
    <w:rsid w:val="00581EE8"/>
    <w:rsid w:val="00583252"/>
    <w:rsid w:val="00583CFA"/>
    <w:rsid w:val="00584095"/>
    <w:rsid w:val="0058418F"/>
    <w:rsid w:val="00584332"/>
    <w:rsid w:val="00584B06"/>
    <w:rsid w:val="0058514D"/>
    <w:rsid w:val="0058571A"/>
    <w:rsid w:val="005859CB"/>
    <w:rsid w:val="005867B3"/>
    <w:rsid w:val="00586D55"/>
    <w:rsid w:val="005877DE"/>
    <w:rsid w:val="005902D7"/>
    <w:rsid w:val="0059059B"/>
    <w:rsid w:val="00590F67"/>
    <w:rsid w:val="005914FD"/>
    <w:rsid w:val="00591691"/>
    <w:rsid w:val="0059268D"/>
    <w:rsid w:val="00596820"/>
    <w:rsid w:val="00596B4F"/>
    <w:rsid w:val="005977B2"/>
    <w:rsid w:val="0059791D"/>
    <w:rsid w:val="005A08DE"/>
    <w:rsid w:val="005A17C3"/>
    <w:rsid w:val="005A1BB7"/>
    <w:rsid w:val="005A2430"/>
    <w:rsid w:val="005A25DC"/>
    <w:rsid w:val="005A2B63"/>
    <w:rsid w:val="005A3597"/>
    <w:rsid w:val="005A3670"/>
    <w:rsid w:val="005A36B1"/>
    <w:rsid w:val="005A37E5"/>
    <w:rsid w:val="005A39A5"/>
    <w:rsid w:val="005A5C1B"/>
    <w:rsid w:val="005A73A7"/>
    <w:rsid w:val="005A77F9"/>
    <w:rsid w:val="005B119B"/>
    <w:rsid w:val="005B2CA1"/>
    <w:rsid w:val="005B2FF1"/>
    <w:rsid w:val="005B3635"/>
    <w:rsid w:val="005B4248"/>
    <w:rsid w:val="005B53C1"/>
    <w:rsid w:val="005B5C35"/>
    <w:rsid w:val="005B6125"/>
    <w:rsid w:val="005B69AE"/>
    <w:rsid w:val="005B7453"/>
    <w:rsid w:val="005B780A"/>
    <w:rsid w:val="005B7BEA"/>
    <w:rsid w:val="005C1061"/>
    <w:rsid w:val="005C17B1"/>
    <w:rsid w:val="005C189B"/>
    <w:rsid w:val="005C1B3C"/>
    <w:rsid w:val="005C36EF"/>
    <w:rsid w:val="005C4797"/>
    <w:rsid w:val="005C48CB"/>
    <w:rsid w:val="005C5E13"/>
    <w:rsid w:val="005C64BB"/>
    <w:rsid w:val="005C65FF"/>
    <w:rsid w:val="005C75F3"/>
    <w:rsid w:val="005C7747"/>
    <w:rsid w:val="005C799B"/>
    <w:rsid w:val="005D0246"/>
    <w:rsid w:val="005D1041"/>
    <w:rsid w:val="005D17DF"/>
    <w:rsid w:val="005D1906"/>
    <w:rsid w:val="005D213C"/>
    <w:rsid w:val="005D307D"/>
    <w:rsid w:val="005D3CBB"/>
    <w:rsid w:val="005D400C"/>
    <w:rsid w:val="005D564C"/>
    <w:rsid w:val="005D5901"/>
    <w:rsid w:val="005D5D64"/>
    <w:rsid w:val="005D66F1"/>
    <w:rsid w:val="005E0B01"/>
    <w:rsid w:val="005E0B80"/>
    <w:rsid w:val="005E1377"/>
    <w:rsid w:val="005E148F"/>
    <w:rsid w:val="005E15A8"/>
    <w:rsid w:val="005E22C9"/>
    <w:rsid w:val="005E32B0"/>
    <w:rsid w:val="005E4563"/>
    <w:rsid w:val="005E53BD"/>
    <w:rsid w:val="005E68CA"/>
    <w:rsid w:val="005E6E67"/>
    <w:rsid w:val="005E702E"/>
    <w:rsid w:val="005E7D1A"/>
    <w:rsid w:val="005F0084"/>
    <w:rsid w:val="005F0461"/>
    <w:rsid w:val="005F3154"/>
    <w:rsid w:val="005F41C8"/>
    <w:rsid w:val="005F4424"/>
    <w:rsid w:val="005F465C"/>
    <w:rsid w:val="005F4AE8"/>
    <w:rsid w:val="005F60CF"/>
    <w:rsid w:val="005F6294"/>
    <w:rsid w:val="005F6697"/>
    <w:rsid w:val="005F78CC"/>
    <w:rsid w:val="00600447"/>
    <w:rsid w:val="006004FA"/>
    <w:rsid w:val="00600628"/>
    <w:rsid w:val="00600F7B"/>
    <w:rsid w:val="0060158F"/>
    <w:rsid w:val="00601D87"/>
    <w:rsid w:val="00601F28"/>
    <w:rsid w:val="006045EB"/>
    <w:rsid w:val="00604D01"/>
    <w:rsid w:val="00605C30"/>
    <w:rsid w:val="00606E51"/>
    <w:rsid w:val="006072C9"/>
    <w:rsid w:val="006077DF"/>
    <w:rsid w:val="00607CDE"/>
    <w:rsid w:val="00607D94"/>
    <w:rsid w:val="00610C11"/>
    <w:rsid w:val="00610D54"/>
    <w:rsid w:val="0061131D"/>
    <w:rsid w:val="00611770"/>
    <w:rsid w:val="00612B6E"/>
    <w:rsid w:val="00613CB6"/>
    <w:rsid w:val="0061401C"/>
    <w:rsid w:val="00614259"/>
    <w:rsid w:val="00615A4E"/>
    <w:rsid w:val="00615ECB"/>
    <w:rsid w:val="00615F28"/>
    <w:rsid w:val="006164E2"/>
    <w:rsid w:val="00616918"/>
    <w:rsid w:val="006200D5"/>
    <w:rsid w:val="00620801"/>
    <w:rsid w:val="0062116B"/>
    <w:rsid w:val="006217C5"/>
    <w:rsid w:val="00624AB6"/>
    <w:rsid w:val="00625144"/>
    <w:rsid w:val="006259C6"/>
    <w:rsid w:val="00625DD8"/>
    <w:rsid w:val="00627FA2"/>
    <w:rsid w:val="006302DF"/>
    <w:rsid w:val="00630C12"/>
    <w:rsid w:val="00631283"/>
    <w:rsid w:val="00631A68"/>
    <w:rsid w:val="00631B9C"/>
    <w:rsid w:val="00631F1A"/>
    <w:rsid w:val="006321AF"/>
    <w:rsid w:val="00632588"/>
    <w:rsid w:val="00632C68"/>
    <w:rsid w:val="00634384"/>
    <w:rsid w:val="00634C30"/>
    <w:rsid w:val="0063544E"/>
    <w:rsid w:val="006355E3"/>
    <w:rsid w:val="0063577F"/>
    <w:rsid w:val="00637553"/>
    <w:rsid w:val="006376B7"/>
    <w:rsid w:val="0064044E"/>
    <w:rsid w:val="0064364C"/>
    <w:rsid w:val="00643AFC"/>
    <w:rsid w:val="00643BFF"/>
    <w:rsid w:val="00644528"/>
    <w:rsid w:val="00644570"/>
    <w:rsid w:val="00644DCD"/>
    <w:rsid w:val="00644DFE"/>
    <w:rsid w:val="00645E9A"/>
    <w:rsid w:val="0064675F"/>
    <w:rsid w:val="00646833"/>
    <w:rsid w:val="00647255"/>
    <w:rsid w:val="00647423"/>
    <w:rsid w:val="006502D5"/>
    <w:rsid w:val="00651911"/>
    <w:rsid w:val="00651B39"/>
    <w:rsid w:val="00651D87"/>
    <w:rsid w:val="00654722"/>
    <w:rsid w:val="00654AA4"/>
    <w:rsid w:val="006552FC"/>
    <w:rsid w:val="006555A1"/>
    <w:rsid w:val="00656FCD"/>
    <w:rsid w:val="0065786F"/>
    <w:rsid w:val="006607E1"/>
    <w:rsid w:val="00660B89"/>
    <w:rsid w:val="00660F00"/>
    <w:rsid w:val="00660F82"/>
    <w:rsid w:val="00661B99"/>
    <w:rsid w:val="0066249F"/>
    <w:rsid w:val="006625CC"/>
    <w:rsid w:val="00662B7B"/>
    <w:rsid w:val="00662F1B"/>
    <w:rsid w:val="00663DE3"/>
    <w:rsid w:val="00665361"/>
    <w:rsid w:val="00665EE3"/>
    <w:rsid w:val="00666896"/>
    <w:rsid w:val="00666CC9"/>
    <w:rsid w:val="0066746F"/>
    <w:rsid w:val="00667E5D"/>
    <w:rsid w:val="00667FA6"/>
    <w:rsid w:val="00671040"/>
    <w:rsid w:val="00671671"/>
    <w:rsid w:val="006718DA"/>
    <w:rsid w:val="006726B0"/>
    <w:rsid w:val="00672EFA"/>
    <w:rsid w:val="0067395F"/>
    <w:rsid w:val="00674514"/>
    <w:rsid w:val="00674821"/>
    <w:rsid w:val="00674F2D"/>
    <w:rsid w:val="00675225"/>
    <w:rsid w:val="0067560D"/>
    <w:rsid w:val="00676AE2"/>
    <w:rsid w:val="00680E6E"/>
    <w:rsid w:val="00681D04"/>
    <w:rsid w:val="0068365D"/>
    <w:rsid w:val="0068382E"/>
    <w:rsid w:val="00684143"/>
    <w:rsid w:val="0068528D"/>
    <w:rsid w:val="00686430"/>
    <w:rsid w:val="00686E3F"/>
    <w:rsid w:val="00687BA5"/>
    <w:rsid w:val="00690F42"/>
    <w:rsid w:val="00692CFE"/>
    <w:rsid w:val="00692D66"/>
    <w:rsid w:val="006941B5"/>
    <w:rsid w:val="00694BAB"/>
    <w:rsid w:val="0069513B"/>
    <w:rsid w:val="00695A88"/>
    <w:rsid w:val="00695CCB"/>
    <w:rsid w:val="00696D40"/>
    <w:rsid w:val="006A1187"/>
    <w:rsid w:val="006A2DFA"/>
    <w:rsid w:val="006A405C"/>
    <w:rsid w:val="006A4BD7"/>
    <w:rsid w:val="006A6A91"/>
    <w:rsid w:val="006A6E75"/>
    <w:rsid w:val="006A7B09"/>
    <w:rsid w:val="006B03A5"/>
    <w:rsid w:val="006B403C"/>
    <w:rsid w:val="006B4A17"/>
    <w:rsid w:val="006B4C54"/>
    <w:rsid w:val="006B5201"/>
    <w:rsid w:val="006B5FD3"/>
    <w:rsid w:val="006B5FF5"/>
    <w:rsid w:val="006B794A"/>
    <w:rsid w:val="006C016D"/>
    <w:rsid w:val="006C0E4E"/>
    <w:rsid w:val="006C1271"/>
    <w:rsid w:val="006C316A"/>
    <w:rsid w:val="006C3C4D"/>
    <w:rsid w:val="006C4154"/>
    <w:rsid w:val="006C5249"/>
    <w:rsid w:val="006C57A0"/>
    <w:rsid w:val="006C5CD5"/>
    <w:rsid w:val="006C5FB7"/>
    <w:rsid w:val="006C786A"/>
    <w:rsid w:val="006C7AFC"/>
    <w:rsid w:val="006D0703"/>
    <w:rsid w:val="006D137A"/>
    <w:rsid w:val="006D1D30"/>
    <w:rsid w:val="006D2877"/>
    <w:rsid w:val="006D340F"/>
    <w:rsid w:val="006D40F7"/>
    <w:rsid w:val="006D4221"/>
    <w:rsid w:val="006D42AC"/>
    <w:rsid w:val="006D5A2F"/>
    <w:rsid w:val="006D62B7"/>
    <w:rsid w:val="006D63D6"/>
    <w:rsid w:val="006E01A5"/>
    <w:rsid w:val="006E0CA1"/>
    <w:rsid w:val="006E0D2D"/>
    <w:rsid w:val="006E17D4"/>
    <w:rsid w:val="006E192E"/>
    <w:rsid w:val="006E255B"/>
    <w:rsid w:val="006E29D6"/>
    <w:rsid w:val="006E2C79"/>
    <w:rsid w:val="006E5A32"/>
    <w:rsid w:val="006E6EB6"/>
    <w:rsid w:val="006E7CAD"/>
    <w:rsid w:val="006F04DF"/>
    <w:rsid w:val="006F05D0"/>
    <w:rsid w:val="006F0637"/>
    <w:rsid w:val="006F146C"/>
    <w:rsid w:val="006F1BBE"/>
    <w:rsid w:val="006F2014"/>
    <w:rsid w:val="006F21AE"/>
    <w:rsid w:val="006F26DC"/>
    <w:rsid w:val="006F30CE"/>
    <w:rsid w:val="006F3A81"/>
    <w:rsid w:val="006F4A17"/>
    <w:rsid w:val="006F4E2F"/>
    <w:rsid w:val="006F74DA"/>
    <w:rsid w:val="006F7650"/>
    <w:rsid w:val="00700455"/>
    <w:rsid w:val="0070078F"/>
    <w:rsid w:val="007008B1"/>
    <w:rsid w:val="007015E8"/>
    <w:rsid w:val="00701CFB"/>
    <w:rsid w:val="00702BB0"/>
    <w:rsid w:val="00703454"/>
    <w:rsid w:val="00705F57"/>
    <w:rsid w:val="00710630"/>
    <w:rsid w:val="00710C08"/>
    <w:rsid w:val="00710CD6"/>
    <w:rsid w:val="00710DF2"/>
    <w:rsid w:val="007119C6"/>
    <w:rsid w:val="00711C17"/>
    <w:rsid w:val="00711DBA"/>
    <w:rsid w:val="00712358"/>
    <w:rsid w:val="00713C41"/>
    <w:rsid w:val="00714021"/>
    <w:rsid w:val="007148D4"/>
    <w:rsid w:val="00714F56"/>
    <w:rsid w:val="0071539B"/>
    <w:rsid w:val="007155CA"/>
    <w:rsid w:val="007155FF"/>
    <w:rsid w:val="00715CF1"/>
    <w:rsid w:val="00716922"/>
    <w:rsid w:val="00717900"/>
    <w:rsid w:val="00717D55"/>
    <w:rsid w:val="00717D57"/>
    <w:rsid w:val="00720146"/>
    <w:rsid w:val="00720B72"/>
    <w:rsid w:val="00721190"/>
    <w:rsid w:val="00722147"/>
    <w:rsid w:val="007224F3"/>
    <w:rsid w:val="00722F3E"/>
    <w:rsid w:val="00722FA3"/>
    <w:rsid w:val="007235E9"/>
    <w:rsid w:val="00723B19"/>
    <w:rsid w:val="00723FD3"/>
    <w:rsid w:val="00724544"/>
    <w:rsid w:val="00724B34"/>
    <w:rsid w:val="00730EB1"/>
    <w:rsid w:val="007311BB"/>
    <w:rsid w:val="00731495"/>
    <w:rsid w:val="007322B5"/>
    <w:rsid w:val="00732854"/>
    <w:rsid w:val="00732CE4"/>
    <w:rsid w:val="00733797"/>
    <w:rsid w:val="00736577"/>
    <w:rsid w:val="007368EE"/>
    <w:rsid w:val="00736BDB"/>
    <w:rsid w:val="007404FC"/>
    <w:rsid w:val="0074083D"/>
    <w:rsid w:val="00740B48"/>
    <w:rsid w:val="00741344"/>
    <w:rsid w:val="00741C27"/>
    <w:rsid w:val="00741EC0"/>
    <w:rsid w:val="007446DE"/>
    <w:rsid w:val="00747484"/>
    <w:rsid w:val="00747878"/>
    <w:rsid w:val="00750DE6"/>
    <w:rsid w:val="007512CE"/>
    <w:rsid w:val="0075226E"/>
    <w:rsid w:val="007523FE"/>
    <w:rsid w:val="0075317C"/>
    <w:rsid w:val="007531FB"/>
    <w:rsid w:val="0075399D"/>
    <w:rsid w:val="00753E84"/>
    <w:rsid w:val="00756D3C"/>
    <w:rsid w:val="00760247"/>
    <w:rsid w:val="00761927"/>
    <w:rsid w:val="00761951"/>
    <w:rsid w:val="0076208E"/>
    <w:rsid w:val="00762961"/>
    <w:rsid w:val="007633D7"/>
    <w:rsid w:val="0076437B"/>
    <w:rsid w:val="00764B70"/>
    <w:rsid w:val="00764EB0"/>
    <w:rsid w:val="00765165"/>
    <w:rsid w:val="00765D7B"/>
    <w:rsid w:val="007665CF"/>
    <w:rsid w:val="007667FC"/>
    <w:rsid w:val="007672EA"/>
    <w:rsid w:val="00767C4B"/>
    <w:rsid w:val="007702A6"/>
    <w:rsid w:val="00770A4B"/>
    <w:rsid w:val="00770FEE"/>
    <w:rsid w:val="0077104B"/>
    <w:rsid w:val="00771254"/>
    <w:rsid w:val="0077143A"/>
    <w:rsid w:val="007720F3"/>
    <w:rsid w:val="0077259C"/>
    <w:rsid w:val="00773324"/>
    <w:rsid w:val="007742A7"/>
    <w:rsid w:val="007753B9"/>
    <w:rsid w:val="007769A3"/>
    <w:rsid w:val="00781E57"/>
    <w:rsid w:val="00782052"/>
    <w:rsid w:val="007837FD"/>
    <w:rsid w:val="00783AA4"/>
    <w:rsid w:val="00784034"/>
    <w:rsid w:val="007849C1"/>
    <w:rsid w:val="00784C9D"/>
    <w:rsid w:val="00785905"/>
    <w:rsid w:val="0078677F"/>
    <w:rsid w:val="00786B98"/>
    <w:rsid w:val="00786C9C"/>
    <w:rsid w:val="007874B8"/>
    <w:rsid w:val="00787755"/>
    <w:rsid w:val="007877F8"/>
    <w:rsid w:val="00787E89"/>
    <w:rsid w:val="00790A20"/>
    <w:rsid w:val="00790FBE"/>
    <w:rsid w:val="007932E9"/>
    <w:rsid w:val="0079351C"/>
    <w:rsid w:val="0079397F"/>
    <w:rsid w:val="00793F35"/>
    <w:rsid w:val="007960E9"/>
    <w:rsid w:val="0079644B"/>
    <w:rsid w:val="007969E8"/>
    <w:rsid w:val="00796E7F"/>
    <w:rsid w:val="0079769E"/>
    <w:rsid w:val="007A0185"/>
    <w:rsid w:val="007A0713"/>
    <w:rsid w:val="007A0E5A"/>
    <w:rsid w:val="007A1113"/>
    <w:rsid w:val="007A13D2"/>
    <w:rsid w:val="007A23DD"/>
    <w:rsid w:val="007A3F22"/>
    <w:rsid w:val="007A43EB"/>
    <w:rsid w:val="007A4BB2"/>
    <w:rsid w:val="007A4D4C"/>
    <w:rsid w:val="007A505C"/>
    <w:rsid w:val="007A5134"/>
    <w:rsid w:val="007A64A8"/>
    <w:rsid w:val="007A6BE8"/>
    <w:rsid w:val="007A6C82"/>
    <w:rsid w:val="007A7435"/>
    <w:rsid w:val="007A7502"/>
    <w:rsid w:val="007B0762"/>
    <w:rsid w:val="007B0DA2"/>
    <w:rsid w:val="007B0FCE"/>
    <w:rsid w:val="007B1DA2"/>
    <w:rsid w:val="007B2068"/>
    <w:rsid w:val="007B27EA"/>
    <w:rsid w:val="007B4632"/>
    <w:rsid w:val="007B46A9"/>
    <w:rsid w:val="007B6BD0"/>
    <w:rsid w:val="007B7868"/>
    <w:rsid w:val="007B7D7B"/>
    <w:rsid w:val="007C050F"/>
    <w:rsid w:val="007C0534"/>
    <w:rsid w:val="007C0746"/>
    <w:rsid w:val="007C08D6"/>
    <w:rsid w:val="007C0A9C"/>
    <w:rsid w:val="007C0AFC"/>
    <w:rsid w:val="007C0FEB"/>
    <w:rsid w:val="007C1048"/>
    <w:rsid w:val="007C3724"/>
    <w:rsid w:val="007C58D8"/>
    <w:rsid w:val="007C62D3"/>
    <w:rsid w:val="007C6AC3"/>
    <w:rsid w:val="007D0269"/>
    <w:rsid w:val="007D0FC0"/>
    <w:rsid w:val="007D2153"/>
    <w:rsid w:val="007D3C62"/>
    <w:rsid w:val="007D406C"/>
    <w:rsid w:val="007D4581"/>
    <w:rsid w:val="007D531E"/>
    <w:rsid w:val="007D57FA"/>
    <w:rsid w:val="007D5FC7"/>
    <w:rsid w:val="007D6B50"/>
    <w:rsid w:val="007D6F68"/>
    <w:rsid w:val="007D70B8"/>
    <w:rsid w:val="007D7F3A"/>
    <w:rsid w:val="007E0E49"/>
    <w:rsid w:val="007E1483"/>
    <w:rsid w:val="007E14DD"/>
    <w:rsid w:val="007E2E89"/>
    <w:rsid w:val="007E4BA8"/>
    <w:rsid w:val="007E5E78"/>
    <w:rsid w:val="007E6795"/>
    <w:rsid w:val="007E6796"/>
    <w:rsid w:val="007E67B3"/>
    <w:rsid w:val="007E6BC7"/>
    <w:rsid w:val="007F01A3"/>
    <w:rsid w:val="007F0235"/>
    <w:rsid w:val="007F0B06"/>
    <w:rsid w:val="007F0C1C"/>
    <w:rsid w:val="007F0D7F"/>
    <w:rsid w:val="007F1E4A"/>
    <w:rsid w:val="007F62C9"/>
    <w:rsid w:val="007F6C60"/>
    <w:rsid w:val="007F6E5D"/>
    <w:rsid w:val="007F70E4"/>
    <w:rsid w:val="00803753"/>
    <w:rsid w:val="0080436E"/>
    <w:rsid w:val="00804CB1"/>
    <w:rsid w:val="00806C94"/>
    <w:rsid w:val="00812A1D"/>
    <w:rsid w:val="00813715"/>
    <w:rsid w:val="00813A19"/>
    <w:rsid w:val="00814C1A"/>
    <w:rsid w:val="00814D29"/>
    <w:rsid w:val="00816907"/>
    <w:rsid w:val="008177B1"/>
    <w:rsid w:val="00817869"/>
    <w:rsid w:val="0082238F"/>
    <w:rsid w:val="00823003"/>
    <w:rsid w:val="00823BAE"/>
    <w:rsid w:val="00824A9F"/>
    <w:rsid w:val="00824D19"/>
    <w:rsid w:val="00825FBE"/>
    <w:rsid w:val="00827289"/>
    <w:rsid w:val="00831256"/>
    <w:rsid w:val="008317E5"/>
    <w:rsid w:val="008321CA"/>
    <w:rsid w:val="008340B2"/>
    <w:rsid w:val="0083501D"/>
    <w:rsid w:val="008360B9"/>
    <w:rsid w:val="008368F8"/>
    <w:rsid w:val="00836DCD"/>
    <w:rsid w:val="00836F38"/>
    <w:rsid w:val="008372FD"/>
    <w:rsid w:val="008403D5"/>
    <w:rsid w:val="00841006"/>
    <w:rsid w:val="008411F8"/>
    <w:rsid w:val="008419A3"/>
    <w:rsid w:val="00842BB5"/>
    <w:rsid w:val="008430D5"/>
    <w:rsid w:val="00843291"/>
    <w:rsid w:val="00843855"/>
    <w:rsid w:val="00843996"/>
    <w:rsid w:val="00843C37"/>
    <w:rsid w:val="00845B30"/>
    <w:rsid w:val="00846094"/>
    <w:rsid w:val="00847014"/>
    <w:rsid w:val="00851238"/>
    <w:rsid w:val="0085148E"/>
    <w:rsid w:val="00853BFE"/>
    <w:rsid w:val="00853CA1"/>
    <w:rsid w:val="00853F46"/>
    <w:rsid w:val="008543FC"/>
    <w:rsid w:val="00854841"/>
    <w:rsid w:val="00854C4E"/>
    <w:rsid w:val="008555CB"/>
    <w:rsid w:val="0085610B"/>
    <w:rsid w:val="00856842"/>
    <w:rsid w:val="0085721C"/>
    <w:rsid w:val="0086006A"/>
    <w:rsid w:val="0086095E"/>
    <w:rsid w:val="00862279"/>
    <w:rsid w:val="00862880"/>
    <w:rsid w:val="0086344C"/>
    <w:rsid w:val="008634BA"/>
    <w:rsid w:val="0086391F"/>
    <w:rsid w:val="00864016"/>
    <w:rsid w:val="0086441C"/>
    <w:rsid w:val="00865A4B"/>
    <w:rsid w:val="00866282"/>
    <w:rsid w:val="008664D3"/>
    <w:rsid w:val="00866598"/>
    <w:rsid w:val="008668F4"/>
    <w:rsid w:val="008675BA"/>
    <w:rsid w:val="00870E64"/>
    <w:rsid w:val="00871CE9"/>
    <w:rsid w:val="00871D1F"/>
    <w:rsid w:val="00871EAD"/>
    <w:rsid w:val="008726D4"/>
    <w:rsid w:val="00872B7A"/>
    <w:rsid w:val="00872E90"/>
    <w:rsid w:val="00873283"/>
    <w:rsid w:val="0087388A"/>
    <w:rsid w:val="00874491"/>
    <w:rsid w:val="0087593B"/>
    <w:rsid w:val="00875A2F"/>
    <w:rsid w:val="0088227F"/>
    <w:rsid w:val="00883D86"/>
    <w:rsid w:val="00883E75"/>
    <w:rsid w:val="00884124"/>
    <w:rsid w:val="00885475"/>
    <w:rsid w:val="008854E8"/>
    <w:rsid w:val="008866AB"/>
    <w:rsid w:val="00887581"/>
    <w:rsid w:val="0088793F"/>
    <w:rsid w:val="00890240"/>
    <w:rsid w:val="00890876"/>
    <w:rsid w:val="008923CC"/>
    <w:rsid w:val="008930A3"/>
    <w:rsid w:val="00893112"/>
    <w:rsid w:val="00893891"/>
    <w:rsid w:val="00895142"/>
    <w:rsid w:val="00897A1C"/>
    <w:rsid w:val="008A01B0"/>
    <w:rsid w:val="008A04FC"/>
    <w:rsid w:val="008A102C"/>
    <w:rsid w:val="008A1797"/>
    <w:rsid w:val="008A2091"/>
    <w:rsid w:val="008A235F"/>
    <w:rsid w:val="008A3D94"/>
    <w:rsid w:val="008A415E"/>
    <w:rsid w:val="008A44EA"/>
    <w:rsid w:val="008A4C58"/>
    <w:rsid w:val="008A58D3"/>
    <w:rsid w:val="008A5F77"/>
    <w:rsid w:val="008A61FD"/>
    <w:rsid w:val="008A69E3"/>
    <w:rsid w:val="008A7892"/>
    <w:rsid w:val="008B1101"/>
    <w:rsid w:val="008B23DF"/>
    <w:rsid w:val="008B2637"/>
    <w:rsid w:val="008B425E"/>
    <w:rsid w:val="008B4701"/>
    <w:rsid w:val="008B49A7"/>
    <w:rsid w:val="008B5545"/>
    <w:rsid w:val="008B5581"/>
    <w:rsid w:val="008B5952"/>
    <w:rsid w:val="008B72F0"/>
    <w:rsid w:val="008B73EB"/>
    <w:rsid w:val="008B77BF"/>
    <w:rsid w:val="008C014E"/>
    <w:rsid w:val="008C01F1"/>
    <w:rsid w:val="008C0230"/>
    <w:rsid w:val="008C067D"/>
    <w:rsid w:val="008C14A0"/>
    <w:rsid w:val="008C1690"/>
    <w:rsid w:val="008C1CE8"/>
    <w:rsid w:val="008C2044"/>
    <w:rsid w:val="008C2442"/>
    <w:rsid w:val="008C2ADF"/>
    <w:rsid w:val="008C2E60"/>
    <w:rsid w:val="008C33B3"/>
    <w:rsid w:val="008C37D3"/>
    <w:rsid w:val="008C5A15"/>
    <w:rsid w:val="008C624B"/>
    <w:rsid w:val="008C6C15"/>
    <w:rsid w:val="008C71AA"/>
    <w:rsid w:val="008C7759"/>
    <w:rsid w:val="008C7A6F"/>
    <w:rsid w:val="008D090C"/>
    <w:rsid w:val="008D0DD3"/>
    <w:rsid w:val="008D16C3"/>
    <w:rsid w:val="008D2039"/>
    <w:rsid w:val="008D2880"/>
    <w:rsid w:val="008D3196"/>
    <w:rsid w:val="008D36DA"/>
    <w:rsid w:val="008D4E5A"/>
    <w:rsid w:val="008D5FD8"/>
    <w:rsid w:val="008D68CD"/>
    <w:rsid w:val="008D6A8F"/>
    <w:rsid w:val="008D7343"/>
    <w:rsid w:val="008E0076"/>
    <w:rsid w:val="008E211E"/>
    <w:rsid w:val="008E3165"/>
    <w:rsid w:val="008E3A21"/>
    <w:rsid w:val="008E4A93"/>
    <w:rsid w:val="008E4CF8"/>
    <w:rsid w:val="008E4E63"/>
    <w:rsid w:val="008E5285"/>
    <w:rsid w:val="008E66B5"/>
    <w:rsid w:val="008F07DA"/>
    <w:rsid w:val="008F2004"/>
    <w:rsid w:val="008F21B4"/>
    <w:rsid w:val="008F280D"/>
    <w:rsid w:val="008F291B"/>
    <w:rsid w:val="008F3EC4"/>
    <w:rsid w:val="008F56F7"/>
    <w:rsid w:val="008F5D7D"/>
    <w:rsid w:val="008F7932"/>
    <w:rsid w:val="0090028A"/>
    <w:rsid w:val="00900DCA"/>
    <w:rsid w:val="00901CA3"/>
    <w:rsid w:val="00902E12"/>
    <w:rsid w:val="00903C07"/>
    <w:rsid w:val="00904BBE"/>
    <w:rsid w:val="00905914"/>
    <w:rsid w:val="0090704F"/>
    <w:rsid w:val="009073B0"/>
    <w:rsid w:val="009079CD"/>
    <w:rsid w:val="0091007C"/>
    <w:rsid w:val="009114E4"/>
    <w:rsid w:val="00911749"/>
    <w:rsid w:val="00912E0C"/>
    <w:rsid w:val="00914BC7"/>
    <w:rsid w:val="00915321"/>
    <w:rsid w:val="00915678"/>
    <w:rsid w:val="009168A4"/>
    <w:rsid w:val="00916BA3"/>
    <w:rsid w:val="00916CD7"/>
    <w:rsid w:val="009179F1"/>
    <w:rsid w:val="0092227C"/>
    <w:rsid w:val="009222A4"/>
    <w:rsid w:val="009227A0"/>
    <w:rsid w:val="00922A4D"/>
    <w:rsid w:val="00922C14"/>
    <w:rsid w:val="00922E73"/>
    <w:rsid w:val="00925839"/>
    <w:rsid w:val="00925B47"/>
    <w:rsid w:val="00927B22"/>
    <w:rsid w:val="0093002A"/>
    <w:rsid w:val="00930E92"/>
    <w:rsid w:val="009313AB"/>
    <w:rsid w:val="00931D2C"/>
    <w:rsid w:val="00932169"/>
    <w:rsid w:val="009321D7"/>
    <w:rsid w:val="00932415"/>
    <w:rsid w:val="00933A8A"/>
    <w:rsid w:val="00933FE8"/>
    <w:rsid w:val="00935838"/>
    <w:rsid w:val="00935D26"/>
    <w:rsid w:val="00935E69"/>
    <w:rsid w:val="009370DC"/>
    <w:rsid w:val="00941294"/>
    <w:rsid w:val="00942616"/>
    <w:rsid w:val="00942B8B"/>
    <w:rsid w:val="00945C2A"/>
    <w:rsid w:val="009466BF"/>
    <w:rsid w:val="00947673"/>
    <w:rsid w:val="00947CB4"/>
    <w:rsid w:val="00947E61"/>
    <w:rsid w:val="009500B5"/>
    <w:rsid w:val="009551B7"/>
    <w:rsid w:val="009558D7"/>
    <w:rsid w:val="00955AB8"/>
    <w:rsid w:val="009561E1"/>
    <w:rsid w:val="009572FC"/>
    <w:rsid w:val="009573B6"/>
    <w:rsid w:val="00957C97"/>
    <w:rsid w:val="0096062A"/>
    <w:rsid w:val="00961280"/>
    <w:rsid w:val="0096199B"/>
    <w:rsid w:val="00961AA8"/>
    <w:rsid w:val="009623F2"/>
    <w:rsid w:val="009625DD"/>
    <w:rsid w:val="009632AF"/>
    <w:rsid w:val="0096353D"/>
    <w:rsid w:val="009635C6"/>
    <w:rsid w:val="0096413A"/>
    <w:rsid w:val="0096613B"/>
    <w:rsid w:val="00967DAB"/>
    <w:rsid w:val="00970B2C"/>
    <w:rsid w:val="0097153B"/>
    <w:rsid w:val="009735FE"/>
    <w:rsid w:val="00974711"/>
    <w:rsid w:val="00974D8B"/>
    <w:rsid w:val="00975AA9"/>
    <w:rsid w:val="0097701E"/>
    <w:rsid w:val="00977466"/>
    <w:rsid w:val="00981821"/>
    <w:rsid w:val="00982D4E"/>
    <w:rsid w:val="00982E2D"/>
    <w:rsid w:val="00983152"/>
    <w:rsid w:val="00984EFB"/>
    <w:rsid w:val="00984FE8"/>
    <w:rsid w:val="00985341"/>
    <w:rsid w:val="0098543A"/>
    <w:rsid w:val="009865C7"/>
    <w:rsid w:val="00987795"/>
    <w:rsid w:val="00987F92"/>
    <w:rsid w:val="0099048F"/>
    <w:rsid w:val="00990D13"/>
    <w:rsid w:val="009914D0"/>
    <w:rsid w:val="00991F63"/>
    <w:rsid w:val="00991F6B"/>
    <w:rsid w:val="009958F4"/>
    <w:rsid w:val="00995A81"/>
    <w:rsid w:val="009960BB"/>
    <w:rsid w:val="00996AE8"/>
    <w:rsid w:val="00997398"/>
    <w:rsid w:val="009974D7"/>
    <w:rsid w:val="00997568"/>
    <w:rsid w:val="009A1F55"/>
    <w:rsid w:val="009A2E44"/>
    <w:rsid w:val="009A3875"/>
    <w:rsid w:val="009A467C"/>
    <w:rsid w:val="009A4EB5"/>
    <w:rsid w:val="009A4EF7"/>
    <w:rsid w:val="009A68B7"/>
    <w:rsid w:val="009B01ED"/>
    <w:rsid w:val="009B02A2"/>
    <w:rsid w:val="009B09E8"/>
    <w:rsid w:val="009B0CF1"/>
    <w:rsid w:val="009B2988"/>
    <w:rsid w:val="009B3699"/>
    <w:rsid w:val="009B3B09"/>
    <w:rsid w:val="009B3B53"/>
    <w:rsid w:val="009B3FB2"/>
    <w:rsid w:val="009B4D25"/>
    <w:rsid w:val="009B4F8C"/>
    <w:rsid w:val="009B6603"/>
    <w:rsid w:val="009C0F2B"/>
    <w:rsid w:val="009C16DA"/>
    <w:rsid w:val="009C171D"/>
    <w:rsid w:val="009C2FB7"/>
    <w:rsid w:val="009C3353"/>
    <w:rsid w:val="009C4453"/>
    <w:rsid w:val="009C48FD"/>
    <w:rsid w:val="009C4900"/>
    <w:rsid w:val="009C4F03"/>
    <w:rsid w:val="009C51C3"/>
    <w:rsid w:val="009C7CDD"/>
    <w:rsid w:val="009D01BD"/>
    <w:rsid w:val="009D0DB3"/>
    <w:rsid w:val="009D0FC4"/>
    <w:rsid w:val="009D1D8F"/>
    <w:rsid w:val="009D2044"/>
    <w:rsid w:val="009D27A9"/>
    <w:rsid w:val="009D2BF0"/>
    <w:rsid w:val="009D3FCE"/>
    <w:rsid w:val="009D4501"/>
    <w:rsid w:val="009D4F9E"/>
    <w:rsid w:val="009D7F30"/>
    <w:rsid w:val="009E1CC7"/>
    <w:rsid w:val="009E1CCA"/>
    <w:rsid w:val="009E1D02"/>
    <w:rsid w:val="009E2CEF"/>
    <w:rsid w:val="009E3DFB"/>
    <w:rsid w:val="009E45C4"/>
    <w:rsid w:val="009E466E"/>
    <w:rsid w:val="009E47F7"/>
    <w:rsid w:val="009E49AE"/>
    <w:rsid w:val="009E5D12"/>
    <w:rsid w:val="009E61DB"/>
    <w:rsid w:val="009E661C"/>
    <w:rsid w:val="009E6E93"/>
    <w:rsid w:val="009E6F84"/>
    <w:rsid w:val="009E7B1E"/>
    <w:rsid w:val="009E7E6B"/>
    <w:rsid w:val="009F09BC"/>
    <w:rsid w:val="009F09C6"/>
    <w:rsid w:val="009F0BB5"/>
    <w:rsid w:val="009F0BF6"/>
    <w:rsid w:val="009F1BD8"/>
    <w:rsid w:val="009F3835"/>
    <w:rsid w:val="009F3E96"/>
    <w:rsid w:val="009F3EDF"/>
    <w:rsid w:val="009F4D2C"/>
    <w:rsid w:val="009F52F8"/>
    <w:rsid w:val="009F5711"/>
    <w:rsid w:val="009F5FF6"/>
    <w:rsid w:val="009F6E47"/>
    <w:rsid w:val="009F6F64"/>
    <w:rsid w:val="009F6F86"/>
    <w:rsid w:val="009F791B"/>
    <w:rsid w:val="009F7F41"/>
    <w:rsid w:val="00A0066F"/>
    <w:rsid w:val="00A020D8"/>
    <w:rsid w:val="00A02CE8"/>
    <w:rsid w:val="00A03ADD"/>
    <w:rsid w:val="00A03BC3"/>
    <w:rsid w:val="00A046E2"/>
    <w:rsid w:val="00A04ECE"/>
    <w:rsid w:val="00A0502F"/>
    <w:rsid w:val="00A05857"/>
    <w:rsid w:val="00A074B8"/>
    <w:rsid w:val="00A078C9"/>
    <w:rsid w:val="00A07EF2"/>
    <w:rsid w:val="00A10864"/>
    <w:rsid w:val="00A122DB"/>
    <w:rsid w:val="00A12913"/>
    <w:rsid w:val="00A1292D"/>
    <w:rsid w:val="00A12FE3"/>
    <w:rsid w:val="00A1401C"/>
    <w:rsid w:val="00A2049F"/>
    <w:rsid w:val="00A21073"/>
    <w:rsid w:val="00A21277"/>
    <w:rsid w:val="00A21B1F"/>
    <w:rsid w:val="00A222EF"/>
    <w:rsid w:val="00A2232A"/>
    <w:rsid w:val="00A22BEC"/>
    <w:rsid w:val="00A23377"/>
    <w:rsid w:val="00A23801"/>
    <w:rsid w:val="00A245EE"/>
    <w:rsid w:val="00A24634"/>
    <w:rsid w:val="00A24808"/>
    <w:rsid w:val="00A257DE"/>
    <w:rsid w:val="00A27536"/>
    <w:rsid w:val="00A276A7"/>
    <w:rsid w:val="00A276AD"/>
    <w:rsid w:val="00A30A1C"/>
    <w:rsid w:val="00A310C4"/>
    <w:rsid w:val="00A317D2"/>
    <w:rsid w:val="00A31832"/>
    <w:rsid w:val="00A32A26"/>
    <w:rsid w:val="00A33359"/>
    <w:rsid w:val="00A34BB6"/>
    <w:rsid w:val="00A34F9A"/>
    <w:rsid w:val="00A356A7"/>
    <w:rsid w:val="00A35D4A"/>
    <w:rsid w:val="00A36950"/>
    <w:rsid w:val="00A371F5"/>
    <w:rsid w:val="00A37B48"/>
    <w:rsid w:val="00A42271"/>
    <w:rsid w:val="00A42A2D"/>
    <w:rsid w:val="00A42D74"/>
    <w:rsid w:val="00A43884"/>
    <w:rsid w:val="00A44B8F"/>
    <w:rsid w:val="00A44DBE"/>
    <w:rsid w:val="00A450C1"/>
    <w:rsid w:val="00A45452"/>
    <w:rsid w:val="00A45948"/>
    <w:rsid w:val="00A46CB4"/>
    <w:rsid w:val="00A46EB3"/>
    <w:rsid w:val="00A4761A"/>
    <w:rsid w:val="00A479BD"/>
    <w:rsid w:val="00A506BB"/>
    <w:rsid w:val="00A50A1B"/>
    <w:rsid w:val="00A52170"/>
    <w:rsid w:val="00A52CCA"/>
    <w:rsid w:val="00A54A53"/>
    <w:rsid w:val="00A550CC"/>
    <w:rsid w:val="00A55815"/>
    <w:rsid w:val="00A57528"/>
    <w:rsid w:val="00A5779F"/>
    <w:rsid w:val="00A57C98"/>
    <w:rsid w:val="00A60797"/>
    <w:rsid w:val="00A607C2"/>
    <w:rsid w:val="00A62FD9"/>
    <w:rsid w:val="00A634DC"/>
    <w:rsid w:val="00A6492F"/>
    <w:rsid w:val="00A65A5E"/>
    <w:rsid w:val="00A65CCA"/>
    <w:rsid w:val="00A70F3C"/>
    <w:rsid w:val="00A70FC0"/>
    <w:rsid w:val="00A725CE"/>
    <w:rsid w:val="00A72B2E"/>
    <w:rsid w:val="00A7400F"/>
    <w:rsid w:val="00A74E1E"/>
    <w:rsid w:val="00A74FB6"/>
    <w:rsid w:val="00A759AA"/>
    <w:rsid w:val="00A76319"/>
    <w:rsid w:val="00A766DE"/>
    <w:rsid w:val="00A76CD5"/>
    <w:rsid w:val="00A80F3B"/>
    <w:rsid w:val="00A810F1"/>
    <w:rsid w:val="00A82A14"/>
    <w:rsid w:val="00A8308C"/>
    <w:rsid w:val="00A837A3"/>
    <w:rsid w:val="00A83DEA"/>
    <w:rsid w:val="00A83EF9"/>
    <w:rsid w:val="00A85CEB"/>
    <w:rsid w:val="00A90B38"/>
    <w:rsid w:val="00A9197E"/>
    <w:rsid w:val="00A9610C"/>
    <w:rsid w:val="00A97AB1"/>
    <w:rsid w:val="00AA0025"/>
    <w:rsid w:val="00AA0226"/>
    <w:rsid w:val="00AA025A"/>
    <w:rsid w:val="00AA03EC"/>
    <w:rsid w:val="00AA0AC1"/>
    <w:rsid w:val="00AA19D9"/>
    <w:rsid w:val="00AA249C"/>
    <w:rsid w:val="00AA2A94"/>
    <w:rsid w:val="00AA3040"/>
    <w:rsid w:val="00AA3802"/>
    <w:rsid w:val="00AA60C2"/>
    <w:rsid w:val="00AA6F39"/>
    <w:rsid w:val="00AA7823"/>
    <w:rsid w:val="00AA7DA3"/>
    <w:rsid w:val="00AB086B"/>
    <w:rsid w:val="00AB2859"/>
    <w:rsid w:val="00AB2BDC"/>
    <w:rsid w:val="00AB318F"/>
    <w:rsid w:val="00AB3BCE"/>
    <w:rsid w:val="00AB3ED8"/>
    <w:rsid w:val="00AB467D"/>
    <w:rsid w:val="00AB4AE6"/>
    <w:rsid w:val="00AB5B60"/>
    <w:rsid w:val="00AB69C8"/>
    <w:rsid w:val="00AC048C"/>
    <w:rsid w:val="00AC05EB"/>
    <w:rsid w:val="00AC0617"/>
    <w:rsid w:val="00AC06DB"/>
    <w:rsid w:val="00AC0D40"/>
    <w:rsid w:val="00AC27A0"/>
    <w:rsid w:val="00AC3630"/>
    <w:rsid w:val="00AC381D"/>
    <w:rsid w:val="00AC3A8F"/>
    <w:rsid w:val="00AC3BEE"/>
    <w:rsid w:val="00AC5AD9"/>
    <w:rsid w:val="00AC636B"/>
    <w:rsid w:val="00AC6633"/>
    <w:rsid w:val="00AC6636"/>
    <w:rsid w:val="00AC7034"/>
    <w:rsid w:val="00AC7DA5"/>
    <w:rsid w:val="00AD0B3E"/>
    <w:rsid w:val="00AD1944"/>
    <w:rsid w:val="00AD1BB6"/>
    <w:rsid w:val="00AD23EE"/>
    <w:rsid w:val="00AD28F1"/>
    <w:rsid w:val="00AD3157"/>
    <w:rsid w:val="00AD354C"/>
    <w:rsid w:val="00AD451F"/>
    <w:rsid w:val="00AD6226"/>
    <w:rsid w:val="00AD6DBE"/>
    <w:rsid w:val="00AD6E5B"/>
    <w:rsid w:val="00AD7602"/>
    <w:rsid w:val="00AD787C"/>
    <w:rsid w:val="00AD7B26"/>
    <w:rsid w:val="00AE1A95"/>
    <w:rsid w:val="00AE2616"/>
    <w:rsid w:val="00AE2FB1"/>
    <w:rsid w:val="00AE5354"/>
    <w:rsid w:val="00AE57FF"/>
    <w:rsid w:val="00AE5BF9"/>
    <w:rsid w:val="00AE792B"/>
    <w:rsid w:val="00AF0F53"/>
    <w:rsid w:val="00AF227F"/>
    <w:rsid w:val="00AF3B49"/>
    <w:rsid w:val="00AF409D"/>
    <w:rsid w:val="00AF441E"/>
    <w:rsid w:val="00AF60C6"/>
    <w:rsid w:val="00AF71F5"/>
    <w:rsid w:val="00B01006"/>
    <w:rsid w:val="00B01B09"/>
    <w:rsid w:val="00B01F0F"/>
    <w:rsid w:val="00B02BA6"/>
    <w:rsid w:val="00B02E37"/>
    <w:rsid w:val="00B03699"/>
    <w:rsid w:val="00B038DA"/>
    <w:rsid w:val="00B03BE5"/>
    <w:rsid w:val="00B045DF"/>
    <w:rsid w:val="00B05024"/>
    <w:rsid w:val="00B0542B"/>
    <w:rsid w:val="00B05914"/>
    <w:rsid w:val="00B06A07"/>
    <w:rsid w:val="00B0717E"/>
    <w:rsid w:val="00B0740E"/>
    <w:rsid w:val="00B11C6E"/>
    <w:rsid w:val="00B11D21"/>
    <w:rsid w:val="00B11FAB"/>
    <w:rsid w:val="00B12E25"/>
    <w:rsid w:val="00B12E91"/>
    <w:rsid w:val="00B131C6"/>
    <w:rsid w:val="00B145CF"/>
    <w:rsid w:val="00B146B1"/>
    <w:rsid w:val="00B15AC9"/>
    <w:rsid w:val="00B160F2"/>
    <w:rsid w:val="00B16791"/>
    <w:rsid w:val="00B20322"/>
    <w:rsid w:val="00B21BF9"/>
    <w:rsid w:val="00B21FB5"/>
    <w:rsid w:val="00B22AE0"/>
    <w:rsid w:val="00B24656"/>
    <w:rsid w:val="00B260F7"/>
    <w:rsid w:val="00B26A1C"/>
    <w:rsid w:val="00B26D3E"/>
    <w:rsid w:val="00B27F7E"/>
    <w:rsid w:val="00B30180"/>
    <w:rsid w:val="00B313BB"/>
    <w:rsid w:val="00B321B2"/>
    <w:rsid w:val="00B329F5"/>
    <w:rsid w:val="00B33EFE"/>
    <w:rsid w:val="00B33FFE"/>
    <w:rsid w:val="00B34F68"/>
    <w:rsid w:val="00B356EA"/>
    <w:rsid w:val="00B36261"/>
    <w:rsid w:val="00B37AD0"/>
    <w:rsid w:val="00B37C97"/>
    <w:rsid w:val="00B40493"/>
    <w:rsid w:val="00B405F7"/>
    <w:rsid w:val="00B40791"/>
    <w:rsid w:val="00B409BF"/>
    <w:rsid w:val="00B40A36"/>
    <w:rsid w:val="00B411D1"/>
    <w:rsid w:val="00B41641"/>
    <w:rsid w:val="00B419D4"/>
    <w:rsid w:val="00B41D3A"/>
    <w:rsid w:val="00B4219F"/>
    <w:rsid w:val="00B42532"/>
    <w:rsid w:val="00B44A10"/>
    <w:rsid w:val="00B46777"/>
    <w:rsid w:val="00B476C9"/>
    <w:rsid w:val="00B52507"/>
    <w:rsid w:val="00B529F5"/>
    <w:rsid w:val="00B53783"/>
    <w:rsid w:val="00B546C3"/>
    <w:rsid w:val="00B5478A"/>
    <w:rsid w:val="00B5479A"/>
    <w:rsid w:val="00B54AC3"/>
    <w:rsid w:val="00B54CCA"/>
    <w:rsid w:val="00B5508A"/>
    <w:rsid w:val="00B5581A"/>
    <w:rsid w:val="00B5619E"/>
    <w:rsid w:val="00B561C7"/>
    <w:rsid w:val="00B57129"/>
    <w:rsid w:val="00B5783B"/>
    <w:rsid w:val="00B61A9B"/>
    <w:rsid w:val="00B6289E"/>
    <w:rsid w:val="00B63DA0"/>
    <w:rsid w:val="00B65135"/>
    <w:rsid w:val="00B6562A"/>
    <w:rsid w:val="00B65CCD"/>
    <w:rsid w:val="00B65DA5"/>
    <w:rsid w:val="00B6682A"/>
    <w:rsid w:val="00B66D79"/>
    <w:rsid w:val="00B66F74"/>
    <w:rsid w:val="00B67B36"/>
    <w:rsid w:val="00B70642"/>
    <w:rsid w:val="00B70879"/>
    <w:rsid w:val="00B70A99"/>
    <w:rsid w:val="00B73A43"/>
    <w:rsid w:val="00B749B8"/>
    <w:rsid w:val="00B749E7"/>
    <w:rsid w:val="00B767B5"/>
    <w:rsid w:val="00B77230"/>
    <w:rsid w:val="00B777F8"/>
    <w:rsid w:val="00B81B68"/>
    <w:rsid w:val="00B822C7"/>
    <w:rsid w:val="00B8234A"/>
    <w:rsid w:val="00B84261"/>
    <w:rsid w:val="00B85198"/>
    <w:rsid w:val="00B85974"/>
    <w:rsid w:val="00B87D85"/>
    <w:rsid w:val="00B91D7A"/>
    <w:rsid w:val="00B92019"/>
    <w:rsid w:val="00B930F6"/>
    <w:rsid w:val="00B932A0"/>
    <w:rsid w:val="00B93564"/>
    <w:rsid w:val="00B956E7"/>
    <w:rsid w:val="00B9625B"/>
    <w:rsid w:val="00B9691F"/>
    <w:rsid w:val="00B97DC4"/>
    <w:rsid w:val="00BA0BCD"/>
    <w:rsid w:val="00BA0E26"/>
    <w:rsid w:val="00BA14B8"/>
    <w:rsid w:val="00BA1A54"/>
    <w:rsid w:val="00BA2662"/>
    <w:rsid w:val="00BA28D5"/>
    <w:rsid w:val="00BA39E0"/>
    <w:rsid w:val="00BA4E60"/>
    <w:rsid w:val="00BA6068"/>
    <w:rsid w:val="00BA6BCA"/>
    <w:rsid w:val="00BA7609"/>
    <w:rsid w:val="00BB021C"/>
    <w:rsid w:val="00BB077B"/>
    <w:rsid w:val="00BB0A94"/>
    <w:rsid w:val="00BB1342"/>
    <w:rsid w:val="00BB1611"/>
    <w:rsid w:val="00BB1D7B"/>
    <w:rsid w:val="00BB26FB"/>
    <w:rsid w:val="00BB33C4"/>
    <w:rsid w:val="00BB6165"/>
    <w:rsid w:val="00BB6251"/>
    <w:rsid w:val="00BB6A04"/>
    <w:rsid w:val="00BB7DDC"/>
    <w:rsid w:val="00BC0961"/>
    <w:rsid w:val="00BC13E8"/>
    <w:rsid w:val="00BC1C66"/>
    <w:rsid w:val="00BC2B49"/>
    <w:rsid w:val="00BC2FA7"/>
    <w:rsid w:val="00BC3162"/>
    <w:rsid w:val="00BC3ADD"/>
    <w:rsid w:val="00BC3DF1"/>
    <w:rsid w:val="00BC414E"/>
    <w:rsid w:val="00BC4724"/>
    <w:rsid w:val="00BC4750"/>
    <w:rsid w:val="00BC60FC"/>
    <w:rsid w:val="00BC6848"/>
    <w:rsid w:val="00BC71E1"/>
    <w:rsid w:val="00BC7DD4"/>
    <w:rsid w:val="00BC7E3A"/>
    <w:rsid w:val="00BD0069"/>
    <w:rsid w:val="00BD08BE"/>
    <w:rsid w:val="00BD0EF7"/>
    <w:rsid w:val="00BD28B1"/>
    <w:rsid w:val="00BD316A"/>
    <w:rsid w:val="00BD3229"/>
    <w:rsid w:val="00BD4AC9"/>
    <w:rsid w:val="00BD4BA7"/>
    <w:rsid w:val="00BD4DA5"/>
    <w:rsid w:val="00BD5624"/>
    <w:rsid w:val="00BD5B39"/>
    <w:rsid w:val="00BD604A"/>
    <w:rsid w:val="00BD77AB"/>
    <w:rsid w:val="00BD77D6"/>
    <w:rsid w:val="00BD7FFD"/>
    <w:rsid w:val="00BE0042"/>
    <w:rsid w:val="00BE20C2"/>
    <w:rsid w:val="00BE267B"/>
    <w:rsid w:val="00BE2F29"/>
    <w:rsid w:val="00BE2F6C"/>
    <w:rsid w:val="00BE360A"/>
    <w:rsid w:val="00BE3645"/>
    <w:rsid w:val="00BE52D5"/>
    <w:rsid w:val="00BE56F0"/>
    <w:rsid w:val="00BE7537"/>
    <w:rsid w:val="00BE77D2"/>
    <w:rsid w:val="00BE7B5B"/>
    <w:rsid w:val="00BF1557"/>
    <w:rsid w:val="00BF2601"/>
    <w:rsid w:val="00BF6D55"/>
    <w:rsid w:val="00BF7319"/>
    <w:rsid w:val="00BF74FA"/>
    <w:rsid w:val="00C030E9"/>
    <w:rsid w:val="00C039F2"/>
    <w:rsid w:val="00C04843"/>
    <w:rsid w:val="00C054E1"/>
    <w:rsid w:val="00C0579E"/>
    <w:rsid w:val="00C0657E"/>
    <w:rsid w:val="00C1183D"/>
    <w:rsid w:val="00C12E2C"/>
    <w:rsid w:val="00C134F0"/>
    <w:rsid w:val="00C14680"/>
    <w:rsid w:val="00C15255"/>
    <w:rsid w:val="00C161C1"/>
    <w:rsid w:val="00C16241"/>
    <w:rsid w:val="00C16841"/>
    <w:rsid w:val="00C2022D"/>
    <w:rsid w:val="00C20B54"/>
    <w:rsid w:val="00C2243F"/>
    <w:rsid w:val="00C23401"/>
    <w:rsid w:val="00C23AE0"/>
    <w:rsid w:val="00C241B4"/>
    <w:rsid w:val="00C242F3"/>
    <w:rsid w:val="00C25929"/>
    <w:rsid w:val="00C25E7F"/>
    <w:rsid w:val="00C273BD"/>
    <w:rsid w:val="00C27C58"/>
    <w:rsid w:val="00C308D5"/>
    <w:rsid w:val="00C335B7"/>
    <w:rsid w:val="00C3369C"/>
    <w:rsid w:val="00C33763"/>
    <w:rsid w:val="00C351B6"/>
    <w:rsid w:val="00C35699"/>
    <w:rsid w:val="00C35D53"/>
    <w:rsid w:val="00C36110"/>
    <w:rsid w:val="00C36631"/>
    <w:rsid w:val="00C41E54"/>
    <w:rsid w:val="00C4219E"/>
    <w:rsid w:val="00C4355F"/>
    <w:rsid w:val="00C43666"/>
    <w:rsid w:val="00C43D3D"/>
    <w:rsid w:val="00C445CB"/>
    <w:rsid w:val="00C449B2"/>
    <w:rsid w:val="00C45466"/>
    <w:rsid w:val="00C467B5"/>
    <w:rsid w:val="00C46AD0"/>
    <w:rsid w:val="00C476AE"/>
    <w:rsid w:val="00C477CD"/>
    <w:rsid w:val="00C51D50"/>
    <w:rsid w:val="00C534D6"/>
    <w:rsid w:val="00C53DC4"/>
    <w:rsid w:val="00C53EE4"/>
    <w:rsid w:val="00C54729"/>
    <w:rsid w:val="00C54FAB"/>
    <w:rsid w:val="00C559CA"/>
    <w:rsid w:val="00C55C55"/>
    <w:rsid w:val="00C55FE8"/>
    <w:rsid w:val="00C56147"/>
    <w:rsid w:val="00C563F2"/>
    <w:rsid w:val="00C566B9"/>
    <w:rsid w:val="00C566D6"/>
    <w:rsid w:val="00C56DE1"/>
    <w:rsid w:val="00C57265"/>
    <w:rsid w:val="00C57731"/>
    <w:rsid w:val="00C5786E"/>
    <w:rsid w:val="00C57F3B"/>
    <w:rsid w:val="00C6040D"/>
    <w:rsid w:val="00C60D6D"/>
    <w:rsid w:val="00C6156A"/>
    <w:rsid w:val="00C6205D"/>
    <w:rsid w:val="00C62A4D"/>
    <w:rsid w:val="00C62DB3"/>
    <w:rsid w:val="00C6357F"/>
    <w:rsid w:val="00C6465F"/>
    <w:rsid w:val="00C6536C"/>
    <w:rsid w:val="00C664F5"/>
    <w:rsid w:val="00C66BE1"/>
    <w:rsid w:val="00C67703"/>
    <w:rsid w:val="00C67CBB"/>
    <w:rsid w:val="00C7106E"/>
    <w:rsid w:val="00C71574"/>
    <w:rsid w:val="00C7171D"/>
    <w:rsid w:val="00C71937"/>
    <w:rsid w:val="00C71E00"/>
    <w:rsid w:val="00C72E05"/>
    <w:rsid w:val="00C72E4F"/>
    <w:rsid w:val="00C74ECA"/>
    <w:rsid w:val="00C75E6D"/>
    <w:rsid w:val="00C7649C"/>
    <w:rsid w:val="00C76E1E"/>
    <w:rsid w:val="00C8014D"/>
    <w:rsid w:val="00C828DD"/>
    <w:rsid w:val="00C836C3"/>
    <w:rsid w:val="00C83C91"/>
    <w:rsid w:val="00C84FB8"/>
    <w:rsid w:val="00C8504C"/>
    <w:rsid w:val="00C85184"/>
    <w:rsid w:val="00C867FA"/>
    <w:rsid w:val="00C87D9E"/>
    <w:rsid w:val="00C900CC"/>
    <w:rsid w:val="00C902A7"/>
    <w:rsid w:val="00C90463"/>
    <w:rsid w:val="00C90D18"/>
    <w:rsid w:val="00C91512"/>
    <w:rsid w:val="00C91677"/>
    <w:rsid w:val="00C9256B"/>
    <w:rsid w:val="00C92E16"/>
    <w:rsid w:val="00C94012"/>
    <w:rsid w:val="00C943B5"/>
    <w:rsid w:val="00C94F32"/>
    <w:rsid w:val="00C95044"/>
    <w:rsid w:val="00C951AF"/>
    <w:rsid w:val="00C95E92"/>
    <w:rsid w:val="00C96FF0"/>
    <w:rsid w:val="00C97637"/>
    <w:rsid w:val="00C976D0"/>
    <w:rsid w:val="00C97F02"/>
    <w:rsid w:val="00CA0268"/>
    <w:rsid w:val="00CA138E"/>
    <w:rsid w:val="00CA2EB7"/>
    <w:rsid w:val="00CA334F"/>
    <w:rsid w:val="00CA5AC6"/>
    <w:rsid w:val="00CA7ABB"/>
    <w:rsid w:val="00CB04C5"/>
    <w:rsid w:val="00CB0739"/>
    <w:rsid w:val="00CB0823"/>
    <w:rsid w:val="00CB0A69"/>
    <w:rsid w:val="00CB0C7C"/>
    <w:rsid w:val="00CB2978"/>
    <w:rsid w:val="00CB3480"/>
    <w:rsid w:val="00CB3B65"/>
    <w:rsid w:val="00CB45A6"/>
    <w:rsid w:val="00CB4CB7"/>
    <w:rsid w:val="00CB530A"/>
    <w:rsid w:val="00CB5D3D"/>
    <w:rsid w:val="00CB67A1"/>
    <w:rsid w:val="00CB6B27"/>
    <w:rsid w:val="00CC04F3"/>
    <w:rsid w:val="00CC153F"/>
    <w:rsid w:val="00CC401D"/>
    <w:rsid w:val="00CC4DFB"/>
    <w:rsid w:val="00CC52EF"/>
    <w:rsid w:val="00CC58C5"/>
    <w:rsid w:val="00CC5C29"/>
    <w:rsid w:val="00CC5EED"/>
    <w:rsid w:val="00CC60B1"/>
    <w:rsid w:val="00CC6811"/>
    <w:rsid w:val="00CC7254"/>
    <w:rsid w:val="00CC7D6C"/>
    <w:rsid w:val="00CC7D83"/>
    <w:rsid w:val="00CD04D5"/>
    <w:rsid w:val="00CD0526"/>
    <w:rsid w:val="00CD1BFE"/>
    <w:rsid w:val="00CD4083"/>
    <w:rsid w:val="00CD4892"/>
    <w:rsid w:val="00CD4957"/>
    <w:rsid w:val="00CD4BB3"/>
    <w:rsid w:val="00CD4DCE"/>
    <w:rsid w:val="00CD5182"/>
    <w:rsid w:val="00CD55CF"/>
    <w:rsid w:val="00CD615A"/>
    <w:rsid w:val="00CD7E67"/>
    <w:rsid w:val="00CE0056"/>
    <w:rsid w:val="00CE0309"/>
    <w:rsid w:val="00CE0A8B"/>
    <w:rsid w:val="00CE1CEC"/>
    <w:rsid w:val="00CE1F29"/>
    <w:rsid w:val="00CE20B6"/>
    <w:rsid w:val="00CE525A"/>
    <w:rsid w:val="00CE5B43"/>
    <w:rsid w:val="00CE5EAD"/>
    <w:rsid w:val="00CE60E5"/>
    <w:rsid w:val="00CE68F6"/>
    <w:rsid w:val="00CE77FA"/>
    <w:rsid w:val="00CE7B93"/>
    <w:rsid w:val="00CF0CE4"/>
    <w:rsid w:val="00CF1724"/>
    <w:rsid w:val="00CF1A07"/>
    <w:rsid w:val="00CF214D"/>
    <w:rsid w:val="00CF2F00"/>
    <w:rsid w:val="00CF3C83"/>
    <w:rsid w:val="00CF50BF"/>
    <w:rsid w:val="00CF5828"/>
    <w:rsid w:val="00CF694E"/>
    <w:rsid w:val="00D006F5"/>
    <w:rsid w:val="00D00838"/>
    <w:rsid w:val="00D01CBD"/>
    <w:rsid w:val="00D02155"/>
    <w:rsid w:val="00D02E84"/>
    <w:rsid w:val="00D03B97"/>
    <w:rsid w:val="00D04E14"/>
    <w:rsid w:val="00D0532F"/>
    <w:rsid w:val="00D107BB"/>
    <w:rsid w:val="00D1090F"/>
    <w:rsid w:val="00D10D0F"/>
    <w:rsid w:val="00D11E36"/>
    <w:rsid w:val="00D1224D"/>
    <w:rsid w:val="00D12D7A"/>
    <w:rsid w:val="00D14A34"/>
    <w:rsid w:val="00D14FB7"/>
    <w:rsid w:val="00D15847"/>
    <w:rsid w:val="00D15D62"/>
    <w:rsid w:val="00D16BAA"/>
    <w:rsid w:val="00D17DE0"/>
    <w:rsid w:val="00D215FF"/>
    <w:rsid w:val="00D21755"/>
    <w:rsid w:val="00D2466A"/>
    <w:rsid w:val="00D26A6C"/>
    <w:rsid w:val="00D26C3B"/>
    <w:rsid w:val="00D271B3"/>
    <w:rsid w:val="00D27C7A"/>
    <w:rsid w:val="00D3090C"/>
    <w:rsid w:val="00D314FA"/>
    <w:rsid w:val="00D3151A"/>
    <w:rsid w:val="00D315AB"/>
    <w:rsid w:val="00D316D2"/>
    <w:rsid w:val="00D31C49"/>
    <w:rsid w:val="00D3262C"/>
    <w:rsid w:val="00D3379E"/>
    <w:rsid w:val="00D33C3F"/>
    <w:rsid w:val="00D33D56"/>
    <w:rsid w:val="00D348A1"/>
    <w:rsid w:val="00D35F23"/>
    <w:rsid w:val="00D4291F"/>
    <w:rsid w:val="00D42AFD"/>
    <w:rsid w:val="00D43511"/>
    <w:rsid w:val="00D44AB8"/>
    <w:rsid w:val="00D45311"/>
    <w:rsid w:val="00D45D6B"/>
    <w:rsid w:val="00D4673F"/>
    <w:rsid w:val="00D46EB8"/>
    <w:rsid w:val="00D47D4C"/>
    <w:rsid w:val="00D51163"/>
    <w:rsid w:val="00D51FF7"/>
    <w:rsid w:val="00D529DD"/>
    <w:rsid w:val="00D53118"/>
    <w:rsid w:val="00D53B5C"/>
    <w:rsid w:val="00D54C90"/>
    <w:rsid w:val="00D57977"/>
    <w:rsid w:val="00D604A7"/>
    <w:rsid w:val="00D60916"/>
    <w:rsid w:val="00D613CF"/>
    <w:rsid w:val="00D62357"/>
    <w:rsid w:val="00D63B39"/>
    <w:rsid w:val="00D63D58"/>
    <w:rsid w:val="00D65459"/>
    <w:rsid w:val="00D65514"/>
    <w:rsid w:val="00D6559E"/>
    <w:rsid w:val="00D65FDA"/>
    <w:rsid w:val="00D6722E"/>
    <w:rsid w:val="00D704B1"/>
    <w:rsid w:val="00D70F3B"/>
    <w:rsid w:val="00D71875"/>
    <w:rsid w:val="00D71AE2"/>
    <w:rsid w:val="00D721F8"/>
    <w:rsid w:val="00D725DE"/>
    <w:rsid w:val="00D7281E"/>
    <w:rsid w:val="00D72EDE"/>
    <w:rsid w:val="00D74761"/>
    <w:rsid w:val="00D7567B"/>
    <w:rsid w:val="00D761CD"/>
    <w:rsid w:val="00D77E9B"/>
    <w:rsid w:val="00D80E80"/>
    <w:rsid w:val="00D81002"/>
    <w:rsid w:val="00D8162C"/>
    <w:rsid w:val="00D81F02"/>
    <w:rsid w:val="00D82041"/>
    <w:rsid w:val="00D83502"/>
    <w:rsid w:val="00D8364C"/>
    <w:rsid w:val="00D844C9"/>
    <w:rsid w:val="00D86578"/>
    <w:rsid w:val="00D869C7"/>
    <w:rsid w:val="00D878DB"/>
    <w:rsid w:val="00D8794B"/>
    <w:rsid w:val="00D91CB8"/>
    <w:rsid w:val="00D91F9C"/>
    <w:rsid w:val="00D921DD"/>
    <w:rsid w:val="00D92689"/>
    <w:rsid w:val="00D92EFE"/>
    <w:rsid w:val="00D933AA"/>
    <w:rsid w:val="00D9407C"/>
    <w:rsid w:val="00D94536"/>
    <w:rsid w:val="00D95312"/>
    <w:rsid w:val="00D95AD0"/>
    <w:rsid w:val="00D95DCA"/>
    <w:rsid w:val="00D9617C"/>
    <w:rsid w:val="00D9635E"/>
    <w:rsid w:val="00D973AA"/>
    <w:rsid w:val="00DA1292"/>
    <w:rsid w:val="00DA1996"/>
    <w:rsid w:val="00DA2FFB"/>
    <w:rsid w:val="00DA35AE"/>
    <w:rsid w:val="00DA360A"/>
    <w:rsid w:val="00DA40D2"/>
    <w:rsid w:val="00DA4C74"/>
    <w:rsid w:val="00DA541F"/>
    <w:rsid w:val="00DA6DAA"/>
    <w:rsid w:val="00DA7BDF"/>
    <w:rsid w:val="00DB0EED"/>
    <w:rsid w:val="00DB1109"/>
    <w:rsid w:val="00DB22B1"/>
    <w:rsid w:val="00DB45F5"/>
    <w:rsid w:val="00DB4F25"/>
    <w:rsid w:val="00DB6DFD"/>
    <w:rsid w:val="00DB7011"/>
    <w:rsid w:val="00DB7F63"/>
    <w:rsid w:val="00DC11BF"/>
    <w:rsid w:val="00DC1695"/>
    <w:rsid w:val="00DC1704"/>
    <w:rsid w:val="00DC2F17"/>
    <w:rsid w:val="00DC4167"/>
    <w:rsid w:val="00DC4B5A"/>
    <w:rsid w:val="00DC5729"/>
    <w:rsid w:val="00DC5A52"/>
    <w:rsid w:val="00DC6A98"/>
    <w:rsid w:val="00DC6C30"/>
    <w:rsid w:val="00DC794E"/>
    <w:rsid w:val="00DC7C68"/>
    <w:rsid w:val="00DC7F03"/>
    <w:rsid w:val="00DD0C34"/>
    <w:rsid w:val="00DD1122"/>
    <w:rsid w:val="00DD118E"/>
    <w:rsid w:val="00DD1798"/>
    <w:rsid w:val="00DD2F75"/>
    <w:rsid w:val="00DD481F"/>
    <w:rsid w:val="00DD5C91"/>
    <w:rsid w:val="00DD5D4A"/>
    <w:rsid w:val="00DD613D"/>
    <w:rsid w:val="00DD62C1"/>
    <w:rsid w:val="00DD738E"/>
    <w:rsid w:val="00DD7B16"/>
    <w:rsid w:val="00DD7B36"/>
    <w:rsid w:val="00DE21B4"/>
    <w:rsid w:val="00DE2C1C"/>
    <w:rsid w:val="00DE3326"/>
    <w:rsid w:val="00DE4072"/>
    <w:rsid w:val="00DE4A9A"/>
    <w:rsid w:val="00DE559F"/>
    <w:rsid w:val="00DE67D5"/>
    <w:rsid w:val="00DF0E7B"/>
    <w:rsid w:val="00DF1487"/>
    <w:rsid w:val="00DF330E"/>
    <w:rsid w:val="00DF4219"/>
    <w:rsid w:val="00DF614A"/>
    <w:rsid w:val="00DF66D9"/>
    <w:rsid w:val="00DF6E03"/>
    <w:rsid w:val="00DF6EBD"/>
    <w:rsid w:val="00E00674"/>
    <w:rsid w:val="00E00975"/>
    <w:rsid w:val="00E00F64"/>
    <w:rsid w:val="00E01436"/>
    <w:rsid w:val="00E01A41"/>
    <w:rsid w:val="00E01A7B"/>
    <w:rsid w:val="00E0517F"/>
    <w:rsid w:val="00E055D4"/>
    <w:rsid w:val="00E0574D"/>
    <w:rsid w:val="00E0651A"/>
    <w:rsid w:val="00E11B77"/>
    <w:rsid w:val="00E12053"/>
    <w:rsid w:val="00E121DA"/>
    <w:rsid w:val="00E1253D"/>
    <w:rsid w:val="00E127A3"/>
    <w:rsid w:val="00E14040"/>
    <w:rsid w:val="00E1420E"/>
    <w:rsid w:val="00E14651"/>
    <w:rsid w:val="00E14DB2"/>
    <w:rsid w:val="00E153B4"/>
    <w:rsid w:val="00E15B8F"/>
    <w:rsid w:val="00E16BD7"/>
    <w:rsid w:val="00E22552"/>
    <w:rsid w:val="00E22AF6"/>
    <w:rsid w:val="00E22F69"/>
    <w:rsid w:val="00E257E0"/>
    <w:rsid w:val="00E25CC7"/>
    <w:rsid w:val="00E25DEE"/>
    <w:rsid w:val="00E27869"/>
    <w:rsid w:val="00E30115"/>
    <w:rsid w:val="00E302B0"/>
    <w:rsid w:val="00E30519"/>
    <w:rsid w:val="00E30EEF"/>
    <w:rsid w:val="00E30F80"/>
    <w:rsid w:val="00E3278C"/>
    <w:rsid w:val="00E3447D"/>
    <w:rsid w:val="00E348F0"/>
    <w:rsid w:val="00E35153"/>
    <w:rsid w:val="00E3570A"/>
    <w:rsid w:val="00E35AC7"/>
    <w:rsid w:val="00E36556"/>
    <w:rsid w:val="00E372F3"/>
    <w:rsid w:val="00E40FBE"/>
    <w:rsid w:val="00E4107A"/>
    <w:rsid w:val="00E41BAE"/>
    <w:rsid w:val="00E4214E"/>
    <w:rsid w:val="00E42856"/>
    <w:rsid w:val="00E4328E"/>
    <w:rsid w:val="00E4533C"/>
    <w:rsid w:val="00E45375"/>
    <w:rsid w:val="00E454AD"/>
    <w:rsid w:val="00E479F7"/>
    <w:rsid w:val="00E47AD8"/>
    <w:rsid w:val="00E512AC"/>
    <w:rsid w:val="00E539DF"/>
    <w:rsid w:val="00E5438A"/>
    <w:rsid w:val="00E601A5"/>
    <w:rsid w:val="00E610AE"/>
    <w:rsid w:val="00E62C9C"/>
    <w:rsid w:val="00E63132"/>
    <w:rsid w:val="00E640D0"/>
    <w:rsid w:val="00E64280"/>
    <w:rsid w:val="00E6724C"/>
    <w:rsid w:val="00E717DA"/>
    <w:rsid w:val="00E72B33"/>
    <w:rsid w:val="00E72EA0"/>
    <w:rsid w:val="00E74231"/>
    <w:rsid w:val="00E74370"/>
    <w:rsid w:val="00E74A3D"/>
    <w:rsid w:val="00E76778"/>
    <w:rsid w:val="00E770D6"/>
    <w:rsid w:val="00E805AF"/>
    <w:rsid w:val="00E80D0A"/>
    <w:rsid w:val="00E84750"/>
    <w:rsid w:val="00E85498"/>
    <w:rsid w:val="00E85A49"/>
    <w:rsid w:val="00E864F5"/>
    <w:rsid w:val="00E8650C"/>
    <w:rsid w:val="00E86A43"/>
    <w:rsid w:val="00E875CF"/>
    <w:rsid w:val="00E90205"/>
    <w:rsid w:val="00E90ECA"/>
    <w:rsid w:val="00E91A5E"/>
    <w:rsid w:val="00E922C9"/>
    <w:rsid w:val="00E92E35"/>
    <w:rsid w:val="00E931B6"/>
    <w:rsid w:val="00E94CE4"/>
    <w:rsid w:val="00E9521C"/>
    <w:rsid w:val="00E9579A"/>
    <w:rsid w:val="00E97256"/>
    <w:rsid w:val="00E97B78"/>
    <w:rsid w:val="00EA0201"/>
    <w:rsid w:val="00EA052B"/>
    <w:rsid w:val="00EA06D8"/>
    <w:rsid w:val="00EA15E0"/>
    <w:rsid w:val="00EA18C3"/>
    <w:rsid w:val="00EA3E9D"/>
    <w:rsid w:val="00EA4629"/>
    <w:rsid w:val="00EA57B4"/>
    <w:rsid w:val="00EA58B8"/>
    <w:rsid w:val="00EA6374"/>
    <w:rsid w:val="00EA7E74"/>
    <w:rsid w:val="00EB1FEE"/>
    <w:rsid w:val="00EB24E7"/>
    <w:rsid w:val="00EB382F"/>
    <w:rsid w:val="00EC167A"/>
    <w:rsid w:val="00EC1747"/>
    <w:rsid w:val="00EC17C4"/>
    <w:rsid w:val="00EC2ADD"/>
    <w:rsid w:val="00EC2C8E"/>
    <w:rsid w:val="00EC30F5"/>
    <w:rsid w:val="00EC3AE9"/>
    <w:rsid w:val="00EC3D77"/>
    <w:rsid w:val="00EC4251"/>
    <w:rsid w:val="00EC4A81"/>
    <w:rsid w:val="00EC4AC5"/>
    <w:rsid w:val="00EC5931"/>
    <w:rsid w:val="00EC5CC6"/>
    <w:rsid w:val="00EC7673"/>
    <w:rsid w:val="00EC7E46"/>
    <w:rsid w:val="00ED09BD"/>
    <w:rsid w:val="00ED2D82"/>
    <w:rsid w:val="00ED4D56"/>
    <w:rsid w:val="00ED5436"/>
    <w:rsid w:val="00ED6DED"/>
    <w:rsid w:val="00ED70DF"/>
    <w:rsid w:val="00ED79C9"/>
    <w:rsid w:val="00EE0417"/>
    <w:rsid w:val="00EE1035"/>
    <w:rsid w:val="00EE22F1"/>
    <w:rsid w:val="00EE2908"/>
    <w:rsid w:val="00EE458C"/>
    <w:rsid w:val="00EE4BAF"/>
    <w:rsid w:val="00EE515C"/>
    <w:rsid w:val="00EE67E8"/>
    <w:rsid w:val="00EE73EE"/>
    <w:rsid w:val="00EE77B5"/>
    <w:rsid w:val="00EE796C"/>
    <w:rsid w:val="00EE7D8F"/>
    <w:rsid w:val="00EF03B3"/>
    <w:rsid w:val="00EF058B"/>
    <w:rsid w:val="00EF0630"/>
    <w:rsid w:val="00EF1602"/>
    <w:rsid w:val="00EF20E2"/>
    <w:rsid w:val="00EF2778"/>
    <w:rsid w:val="00EF36E9"/>
    <w:rsid w:val="00EF3BCD"/>
    <w:rsid w:val="00EF3E08"/>
    <w:rsid w:val="00EF4119"/>
    <w:rsid w:val="00EF418B"/>
    <w:rsid w:val="00EF42FF"/>
    <w:rsid w:val="00EF63A5"/>
    <w:rsid w:val="00EF66F5"/>
    <w:rsid w:val="00EF6F16"/>
    <w:rsid w:val="00EF73F4"/>
    <w:rsid w:val="00F0033D"/>
    <w:rsid w:val="00F031EE"/>
    <w:rsid w:val="00F03465"/>
    <w:rsid w:val="00F0393C"/>
    <w:rsid w:val="00F046C2"/>
    <w:rsid w:val="00F053ED"/>
    <w:rsid w:val="00F05664"/>
    <w:rsid w:val="00F05BF7"/>
    <w:rsid w:val="00F07B9F"/>
    <w:rsid w:val="00F11404"/>
    <w:rsid w:val="00F11D7A"/>
    <w:rsid w:val="00F11F39"/>
    <w:rsid w:val="00F12091"/>
    <w:rsid w:val="00F12BB2"/>
    <w:rsid w:val="00F12D4B"/>
    <w:rsid w:val="00F1370E"/>
    <w:rsid w:val="00F1622E"/>
    <w:rsid w:val="00F16294"/>
    <w:rsid w:val="00F16AAB"/>
    <w:rsid w:val="00F16CDD"/>
    <w:rsid w:val="00F2022C"/>
    <w:rsid w:val="00F205CE"/>
    <w:rsid w:val="00F20D82"/>
    <w:rsid w:val="00F2109D"/>
    <w:rsid w:val="00F22ED3"/>
    <w:rsid w:val="00F2339F"/>
    <w:rsid w:val="00F23D4C"/>
    <w:rsid w:val="00F23D83"/>
    <w:rsid w:val="00F23E85"/>
    <w:rsid w:val="00F24FB9"/>
    <w:rsid w:val="00F2508B"/>
    <w:rsid w:val="00F26078"/>
    <w:rsid w:val="00F26115"/>
    <w:rsid w:val="00F27913"/>
    <w:rsid w:val="00F31538"/>
    <w:rsid w:val="00F318DC"/>
    <w:rsid w:val="00F31BB9"/>
    <w:rsid w:val="00F31BDB"/>
    <w:rsid w:val="00F32ED5"/>
    <w:rsid w:val="00F33E07"/>
    <w:rsid w:val="00F33EA6"/>
    <w:rsid w:val="00F34565"/>
    <w:rsid w:val="00F347A5"/>
    <w:rsid w:val="00F3506D"/>
    <w:rsid w:val="00F357D8"/>
    <w:rsid w:val="00F35F1A"/>
    <w:rsid w:val="00F36921"/>
    <w:rsid w:val="00F37992"/>
    <w:rsid w:val="00F40828"/>
    <w:rsid w:val="00F40859"/>
    <w:rsid w:val="00F418FF"/>
    <w:rsid w:val="00F41EE9"/>
    <w:rsid w:val="00F43DEF"/>
    <w:rsid w:val="00F44444"/>
    <w:rsid w:val="00F44467"/>
    <w:rsid w:val="00F44C3B"/>
    <w:rsid w:val="00F46924"/>
    <w:rsid w:val="00F46F01"/>
    <w:rsid w:val="00F470DF"/>
    <w:rsid w:val="00F47708"/>
    <w:rsid w:val="00F506A7"/>
    <w:rsid w:val="00F5075B"/>
    <w:rsid w:val="00F50A45"/>
    <w:rsid w:val="00F524F5"/>
    <w:rsid w:val="00F52B91"/>
    <w:rsid w:val="00F53235"/>
    <w:rsid w:val="00F54A78"/>
    <w:rsid w:val="00F577C7"/>
    <w:rsid w:val="00F57BD2"/>
    <w:rsid w:val="00F6115F"/>
    <w:rsid w:val="00F61DB8"/>
    <w:rsid w:val="00F62074"/>
    <w:rsid w:val="00F6289F"/>
    <w:rsid w:val="00F630E0"/>
    <w:rsid w:val="00F631D1"/>
    <w:rsid w:val="00F64384"/>
    <w:rsid w:val="00F650CE"/>
    <w:rsid w:val="00F651EA"/>
    <w:rsid w:val="00F65AF2"/>
    <w:rsid w:val="00F6652E"/>
    <w:rsid w:val="00F6704A"/>
    <w:rsid w:val="00F6735D"/>
    <w:rsid w:val="00F7008A"/>
    <w:rsid w:val="00F708DE"/>
    <w:rsid w:val="00F714AD"/>
    <w:rsid w:val="00F716CA"/>
    <w:rsid w:val="00F71C88"/>
    <w:rsid w:val="00F7222B"/>
    <w:rsid w:val="00F73D7C"/>
    <w:rsid w:val="00F73E4B"/>
    <w:rsid w:val="00F74F75"/>
    <w:rsid w:val="00F75B45"/>
    <w:rsid w:val="00F761AC"/>
    <w:rsid w:val="00F76CAF"/>
    <w:rsid w:val="00F8032E"/>
    <w:rsid w:val="00F80780"/>
    <w:rsid w:val="00F80EC5"/>
    <w:rsid w:val="00F8130A"/>
    <w:rsid w:val="00F836A4"/>
    <w:rsid w:val="00F8461D"/>
    <w:rsid w:val="00F84BFB"/>
    <w:rsid w:val="00F853D7"/>
    <w:rsid w:val="00F85661"/>
    <w:rsid w:val="00F875FF"/>
    <w:rsid w:val="00F90814"/>
    <w:rsid w:val="00F91F66"/>
    <w:rsid w:val="00F92E7D"/>
    <w:rsid w:val="00F92F52"/>
    <w:rsid w:val="00F930D8"/>
    <w:rsid w:val="00F953C6"/>
    <w:rsid w:val="00F9548D"/>
    <w:rsid w:val="00F96305"/>
    <w:rsid w:val="00FA0FBA"/>
    <w:rsid w:val="00FA123B"/>
    <w:rsid w:val="00FA1B77"/>
    <w:rsid w:val="00FA2185"/>
    <w:rsid w:val="00FA2D3C"/>
    <w:rsid w:val="00FA329E"/>
    <w:rsid w:val="00FA492B"/>
    <w:rsid w:val="00FA5D31"/>
    <w:rsid w:val="00FA6453"/>
    <w:rsid w:val="00FA6CB9"/>
    <w:rsid w:val="00FA7971"/>
    <w:rsid w:val="00FB0253"/>
    <w:rsid w:val="00FB078E"/>
    <w:rsid w:val="00FB10D8"/>
    <w:rsid w:val="00FB1913"/>
    <w:rsid w:val="00FB25EB"/>
    <w:rsid w:val="00FB28F2"/>
    <w:rsid w:val="00FB305B"/>
    <w:rsid w:val="00FB337D"/>
    <w:rsid w:val="00FB34A0"/>
    <w:rsid w:val="00FB38D4"/>
    <w:rsid w:val="00FB3EBA"/>
    <w:rsid w:val="00FB5322"/>
    <w:rsid w:val="00FB5AA2"/>
    <w:rsid w:val="00FB7C82"/>
    <w:rsid w:val="00FC012F"/>
    <w:rsid w:val="00FC033A"/>
    <w:rsid w:val="00FC1A84"/>
    <w:rsid w:val="00FC2E29"/>
    <w:rsid w:val="00FC31CE"/>
    <w:rsid w:val="00FC6317"/>
    <w:rsid w:val="00FC6788"/>
    <w:rsid w:val="00FC7424"/>
    <w:rsid w:val="00FC7448"/>
    <w:rsid w:val="00FD112F"/>
    <w:rsid w:val="00FD1A3F"/>
    <w:rsid w:val="00FD2396"/>
    <w:rsid w:val="00FD2493"/>
    <w:rsid w:val="00FD3315"/>
    <w:rsid w:val="00FD3370"/>
    <w:rsid w:val="00FD3853"/>
    <w:rsid w:val="00FD3CBC"/>
    <w:rsid w:val="00FD3F03"/>
    <w:rsid w:val="00FD48FB"/>
    <w:rsid w:val="00FD5928"/>
    <w:rsid w:val="00FD5F5F"/>
    <w:rsid w:val="00FD61F8"/>
    <w:rsid w:val="00FE0416"/>
    <w:rsid w:val="00FE0980"/>
    <w:rsid w:val="00FE0BF3"/>
    <w:rsid w:val="00FE1CFE"/>
    <w:rsid w:val="00FE1F75"/>
    <w:rsid w:val="00FE2E39"/>
    <w:rsid w:val="00FE3F21"/>
    <w:rsid w:val="00FE571B"/>
    <w:rsid w:val="00FE62D2"/>
    <w:rsid w:val="00FE6956"/>
    <w:rsid w:val="00FE7C8A"/>
    <w:rsid w:val="00FF36DD"/>
    <w:rsid w:val="00FF3839"/>
    <w:rsid w:val="00FF3C1F"/>
    <w:rsid w:val="00FF3DCC"/>
    <w:rsid w:val="00FF3FBF"/>
    <w:rsid w:val="00FF4B50"/>
    <w:rsid w:val="00FF54E1"/>
    <w:rsid w:val="00FF6573"/>
    <w:rsid w:val="00FF6730"/>
    <w:rsid w:val="00FF71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22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D3199"/>
    <w:pPr>
      <w:spacing w:after="0" w:line="240" w:lineRule="auto"/>
    </w:pPr>
    <w:rPr>
      <w:rFonts w:ascii="Times New Roman" w:hAnsi="Times New Roman"/>
      <w:lang w:val="es-ES"/>
    </w:rPr>
  </w:style>
  <w:style w:type="paragraph" w:styleId="Heading1">
    <w:name w:val="heading 1"/>
    <w:basedOn w:val="Normal"/>
    <w:next w:val="Normal"/>
    <w:link w:val="Heading1Char"/>
    <w:autoRedefine/>
    <w:uiPriority w:val="9"/>
    <w:qFormat/>
    <w:rsid w:val="00684143"/>
    <w:pPr>
      <w:numPr>
        <w:numId w:val="18"/>
      </w:numPr>
      <w:outlineLvl w:val="0"/>
    </w:pPr>
    <w:rPr>
      <w:rFonts w:cs="Times New Roman"/>
      <w:color w:val="234F77" w:themeColor="accent2" w:themeShade="80"/>
      <w:spacing w:val="20"/>
      <w:sz w:val="26"/>
      <w:szCs w:val="28"/>
    </w:rPr>
  </w:style>
  <w:style w:type="paragraph" w:styleId="Heading2">
    <w:name w:val="heading 2"/>
    <w:basedOn w:val="Normal"/>
    <w:next w:val="Normal"/>
    <w:link w:val="Heading2Char"/>
    <w:autoRedefine/>
    <w:uiPriority w:val="9"/>
    <w:unhideWhenUsed/>
    <w:qFormat/>
    <w:rsid w:val="006004FA"/>
    <w:pPr>
      <w:numPr>
        <w:ilvl w:val="1"/>
        <w:numId w:val="18"/>
      </w:numPr>
      <w:ind w:left="540" w:hanging="540"/>
      <w:outlineLvl w:val="1"/>
    </w:pPr>
    <w:rPr>
      <w:color w:val="234F77" w:themeColor="accent2" w:themeShade="80"/>
      <w:spacing w:val="15"/>
      <w:sz w:val="24"/>
      <w:szCs w:val="24"/>
    </w:rPr>
  </w:style>
  <w:style w:type="paragraph" w:styleId="Heading3">
    <w:name w:val="heading 3"/>
    <w:basedOn w:val="Normal"/>
    <w:next w:val="Normal"/>
    <w:link w:val="Heading3Char"/>
    <w:autoRedefine/>
    <w:uiPriority w:val="9"/>
    <w:unhideWhenUsed/>
    <w:qFormat/>
    <w:rsid w:val="00997568"/>
    <w:pPr>
      <w:numPr>
        <w:ilvl w:val="2"/>
        <w:numId w:val="18"/>
      </w:numPr>
      <w:jc w:val="both"/>
      <w:outlineLvl w:val="2"/>
    </w:pPr>
    <w:rPr>
      <w:rFonts w:cs="Times New Roman"/>
      <w:color w:val="234F77" w:themeColor="accent2" w:themeShade="80"/>
      <w:sz w:val="24"/>
      <w:szCs w:val="24"/>
    </w:rPr>
  </w:style>
  <w:style w:type="paragraph" w:styleId="Heading4">
    <w:name w:val="heading 4"/>
    <w:basedOn w:val="Normal"/>
    <w:next w:val="Normal"/>
    <w:link w:val="Heading4Char"/>
    <w:autoRedefine/>
    <w:uiPriority w:val="9"/>
    <w:unhideWhenUsed/>
    <w:qFormat/>
    <w:rsid w:val="00997568"/>
    <w:pPr>
      <w:numPr>
        <w:ilvl w:val="3"/>
        <w:numId w:val="18"/>
      </w:numPr>
      <w:ind w:left="2492"/>
      <w:jc w:val="both"/>
      <w:outlineLvl w:val="3"/>
    </w:pPr>
    <w:rPr>
      <w:bCs/>
      <w:iCs/>
      <w:color w:val="224E76" w:themeColor="accent2" w:themeShade="7F"/>
      <w:spacing w:val="10"/>
      <w:sz w:val="24"/>
    </w:rPr>
  </w:style>
  <w:style w:type="paragraph" w:styleId="Heading5">
    <w:name w:val="heading 5"/>
    <w:basedOn w:val="Normal"/>
    <w:next w:val="Normal"/>
    <w:link w:val="Heading5Char"/>
    <w:autoRedefine/>
    <w:uiPriority w:val="9"/>
    <w:unhideWhenUsed/>
    <w:qFormat/>
    <w:rsid w:val="00C030E9"/>
    <w:pPr>
      <w:numPr>
        <w:ilvl w:val="4"/>
        <w:numId w:val="19"/>
      </w:numPr>
      <w:jc w:val="center"/>
      <w:outlineLvl w:val="4"/>
    </w:pPr>
    <w:rPr>
      <w:color w:val="224E76" w:themeColor="accent2" w:themeShade="7F"/>
      <w:spacing w:val="10"/>
      <w:sz w:val="24"/>
    </w:rPr>
  </w:style>
  <w:style w:type="paragraph" w:styleId="Heading6">
    <w:name w:val="heading 6"/>
    <w:basedOn w:val="Normal"/>
    <w:next w:val="Normal"/>
    <w:link w:val="Heading6Char"/>
    <w:uiPriority w:val="9"/>
    <w:semiHidden/>
    <w:unhideWhenUsed/>
    <w:qFormat/>
    <w:rsid w:val="00B52507"/>
    <w:pPr>
      <w:numPr>
        <w:ilvl w:val="5"/>
        <w:numId w:val="8"/>
      </w:numPr>
      <w:spacing w:after="120"/>
      <w:jc w:val="center"/>
      <w:outlineLvl w:val="5"/>
    </w:pPr>
    <w:rPr>
      <w:caps/>
      <w:color w:val="3476B1" w:themeColor="accent2" w:themeShade="BF"/>
      <w:spacing w:val="10"/>
    </w:rPr>
  </w:style>
  <w:style w:type="paragraph" w:styleId="Heading7">
    <w:name w:val="heading 7"/>
    <w:basedOn w:val="Normal"/>
    <w:next w:val="Normal"/>
    <w:link w:val="Heading7Char"/>
    <w:uiPriority w:val="9"/>
    <w:semiHidden/>
    <w:unhideWhenUsed/>
    <w:qFormat/>
    <w:rsid w:val="00B52507"/>
    <w:pPr>
      <w:numPr>
        <w:ilvl w:val="6"/>
        <w:numId w:val="8"/>
      </w:numPr>
      <w:spacing w:after="120"/>
      <w:jc w:val="center"/>
      <w:outlineLvl w:val="6"/>
    </w:pPr>
    <w:rPr>
      <w:i/>
      <w:iCs/>
      <w:caps/>
      <w:color w:val="3476B1" w:themeColor="accent2" w:themeShade="BF"/>
      <w:spacing w:val="10"/>
    </w:rPr>
  </w:style>
  <w:style w:type="paragraph" w:styleId="Heading8">
    <w:name w:val="heading 8"/>
    <w:basedOn w:val="Normal"/>
    <w:next w:val="Normal"/>
    <w:link w:val="Heading8Char"/>
    <w:uiPriority w:val="9"/>
    <w:semiHidden/>
    <w:unhideWhenUsed/>
    <w:qFormat/>
    <w:rsid w:val="00B52507"/>
    <w:pPr>
      <w:numPr>
        <w:ilvl w:val="7"/>
        <w:numId w:val="8"/>
      </w:num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52507"/>
    <w:pPr>
      <w:numPr>
        <w:ilvl w:val="8"/>
        <w:numId w:val="8"/>
      </w:num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143"/>
    <w:rPr>
      <w:rFonts w:ascii="Times New Roman" w:hAnsi="Times New Roman" w:cs="Times New Roman"/>
      <w:color w:val="234F77" w:themeColor="accent2" w:themeShade="80"/>
      <w:spacing w:val="20"/>
      <w:sz w:val="26"/>
      <w:szCs w:val="28"/>
      <w:lang w:val="es-ES"/>
    </w:rPr>
  </w:style>
  <w:style w:type="character" w:customStyle="1" w:styleId="Heading2Char">
    <w:name w:val="Heading 2 Char"/>
    <w:basedOn w:val="DefaultParagraphFont"/>
    <w:link w:val="Heading2"/>
    <w:uiPriority w:val="9"/>
    <w:rsid w:val="006004FA"/>
    <w:rPr>
      <w:rFonts w:ascii="Times New Roman" w:hAnsi="Times New Roman"/>
      <w:color w:val="234F77" w:themeColor="accent2" w:themeShade="80"/>
      <w:spacing w:val="15"/>
      <w:sz w:val="24"/>
      <w:szCs w:val="24"/>
      <w:lang w:val="es-ES"/>
    </w:rPr>
  </w:style>
  <w:style w:type="character" w:customStyle="1" w:styleId="Heading3Char">
    <w:name w:val="Heading 3 Char"/>
    <w:basedOn w:val="DefaultParagraphFont"/>
    <w:link w:val="Heading3"/>
    <w:uiPriority w:val="9"/>
    <w:rsid w:val="00997568"/>
    <w:rPr>
      <w:rFonts w:ascii="Times New Roman" w:hAnsi="Times New Roman" w:cs="Times New Roman"/>
      <w:color w:val="234F77" w:themeColor="accent2" w:themeShade="80"/>
      <w:sz w:val="24"/>
      <w:szCs w:val="24"/>
      <w:lang w:val="es-ES"/>
    </w:rPr>
  </w:style>
  <w:style w:type="character" w:customStyle="1" w:styleId="Heading4Char">
    <w:name w:val="Heading 4 Char"/>
    <w:basedOn w:val="DefaultParagraphFont"/>
    <w:link w:val="Heading4"/>
    <w:uiPriority w:val="9"/>
    <w:rsid w:val="00997568"/>
    <w:rPr>
      <w:rFonts w:ascii="Times New Roman" w:hAnsi="Times New Roman"/>
      <w:bCs/>
      <w:iCs/>
      <w:color w:val="224E76" w:themeColor="accent2" w:themeShade="7F"/>
      <w:spacing w:val="10"/>
      <w:sz w:val="24"/>
      <w:lang w:val="es-ES"/>
    </w:rPr>
  </w:style>
  <w:style w:type="character" w:customStyle="1" w:styleId="Heading5Char">
    <w:name w:val="Heading 5 Char"/>
    <w:basedOn w:val="DefaultParagraphFont"/>
    <w:link w:val="Heading5"/>
    <w:uiPriority w:val="9"/>
    <w:rsid w:val="00C030E9"/>
    <w:rPr>
      <w:rFonts w:ascii="Times New Roman" w:hAnsi="Times New Roman"/>
      <w:color w:val="224E76" w:themeColor="accent2" w:themeShade="7F"/>
      <w:spacing w:val="10"/>
      <w:sz w:val="24"/>
      <w:lang w:val="es-ES"/>
    </w:rPr>
  </w:style>
  <w:style w:type="character" w:customStyle="1" w:styleId="Heading6Char">
    <w:name w:val="Heading 6 Char"/>
    <w:basedOn w:val="DefaultParagraphFont"/>
    <w:link w:val="Heading6"/>
    <w:uiPriority w:val="9"/>
    <w:semiHidden/>
    <w:rsid w:val="00B52507"/>
    <w:rPr>
      <w:rFonts w:ascii="Times New Roman" w:hAnsi="Times New Roman"/>
      <w:caps/>
      <w:color w:val="3476B1" w:themeColor="accent2" w:themeShade="BF"/>
      <w:spacing w:val="10"/>
      <w:lang w:val="es-ES"/>
    </w:rPr>
  </w:style>
  <w:style w:type="character" w:customStyle="1" w:styleId="Heading7Char">
    <w:name w:val="Heading 7 Char"/>
    <w:basedOn w:val="DefaultParagraphFont"/>
    <w:link w:val="Heading7"/>
    <w:uiPriority w:val="9"/>
    <w:semiHidden/>
    <w:rsid w:val="00B52507"/>
    <w:rPr>
      <w:rFonts w:ascii="Times New Roman" w:hAnsi="Times New Roman"/>
      <w:i/>
      <w:iCs/>
      <w:caps/>
      <w:color w:val="3476B1" w:themeColor="accent2" w:themeShade="BF"/>
      <w:spacing w:val="10"/>
      <w:lang w:val="es-ES"/>
    </w:rPr>
  </w:style>
  <w:style w:type="character" w:customStyle="1" w:styleId="Heading8Char">
    <w:name w:val="Heading 8 Char"/>
    <w:basedOn w:val="DefaultParagraphFont"/>
    <w:link w:val="Heading8"/>
    <w:uiPriority w:val="9"/>
    <w:semiHidden/>
    <w:rsid w:val="00B52507"/>
    <w:rPr>
      <w:rFonts w:ascii="Times New Roman" w:hAnsi="Times New Roman"/>
      <w:caps/>
      <w:spacing w:val="10"/>
      <w:sz w:val="20"/>
      <w:szCs w:val="20"/>
      <w:lang w:val="es-ES"/>
    </w:rPr>
  </w:style>
  <w:style w:type="character" w:customStyle="1" w:styleId="Heading9Char">
    <w:name w:val="Heading 9 Char"/>
    <w:basedOn w:val="DefaultParagraphFont"/>
    <w:link w:val="Heading9"/>
    <w:uiPriority w:val="9"/>
    <w:semiHidden/>
    <w:rsid w:val="00B52507"/>
    <w:rPr>
      <w:rFonts w:ascii="Times New Roman" w:hAnsi="Times New Roman"/>
      <w:i/>
      <w:iCs/>
      <w:caps/>
      <w:spacing w:val="10"/>
      <w:sz w:val="20"/>
      <w:szCs w:val="20"/>
      <w:lang w:val="es-ES"/>
    </w:rPr>
  </w:style>
  <w:style w:type="paragraph" w:styleId="Caption">
    <w:name w:val="caption"/>
    <w:basedOn w:val="Normal"/>
    <w:next w:val="Normal"/>
    <w:autoRedefine/>
    <w:uiPriority w:val="35"/>
    <w:unhideWhenUsed/>
    <w:qFormat/>
    <w:rsid w:val="000D5C2E"/>
    <w:pPr>
      <w:jc w:val="center"/>
    </w:pPr>
    <w:rPr>
      <w:rFonts w:cs="Times New Roman"/>
      <w:b/>
      <w:spacing w:val="10"/>
      <w:szCs w:val="20"/>
    </w:rPr>
  </w:style>
  <w:style w:type="paragraph" w:styleId="Title">
    <w:name w:val="Title"/>
    <w:basedOn w:val="Normal"/>
    <w:next w:val="Normal"/>
    <w:link w:val="TitleChar"/>
    <w:uiPriority w:val="10"/>
    <w:qFormat/>
    <w:rsid w:val="00CE5EAD"/>
    <w:pPr>
      <w:pBdr>
        <w:top w:val="dotted" w:sz="2" w:space="1" w:color="234F77" w:themeColor="accent2" w:themeShade="80"/>
        <w:bottom w:val="dotted" w:sz="2" w:space="6" w:color="234F77" w:themeColor="accent2" w:themeShade="80"/>
      </w:pBdr>
      <w:spacing w:before="500" w:after="300"/>
      <w:jc w:val="center"/>
    </w:pPr>
    <w:rPr>
      <w:caps/>
      <w:color w:val="234F77" w:themeColor="accent2" w:themeShade="80"/>
      <w:spacing w:val="50"/>
      <w:sz w:val="44"/>
      <w:szCs w:val="44"/>
    </w:rPr>
  </w:style>
  <w:style w:type="character" w:customStyle="1" w:styleId="TitleChar">
    <w:name w:val="Title Char"/>
    <w:basedOn w:val="DefaultParagraphFont"/>
    <w:link w:val="Title"/>
    <w:uiPriority w:val="10"/>
    <w:rsid w:val="00CE5EAD"/>
    <w:rPr>
      <w:caps/>
      <w:color w:val="234F77" w:themeColor="accent2" w:themeShade="80"/>
      <w:spacing w:val="50"/>
      <w:sz w:val="44"/>
      <w:szCs w:val="44"/>
    </w:rPr>
  </w:style>
  <w:style w:type="paragraph" w:styleId="Subtitle">
    <w:name w:val="Subtitle"/>
    <w:basedOn w:val="Normal"/>
    <w:next w:val="Normal"/>
    <w:link w:val="SubtitleChar"/>
    <w:uiPriority w:val="11"/>
    <w:qFormat/>
    <w:rsid w:val="00CE5EAD"/>
    <w:pPr>
      <w:spacing w:after="560"/>
      <w:jc w:val="center"/>
    </w:pPr>
    <w:rPr>
      <w:caps/>
      <w:spacing w:val="20"/>
      <w:sz w:val="18"/>
      <w:szCs w:val="18"/>
    </w:rPr>
  </w:style>
  <w:style w:type="character" w:customStyle="1" w:styleId="SubtitleChar">
    <w:name w:val="Subtitle Char"/>
    <w:basedOn w:val="DefaultParagraphFont"/>
    <w:link w:val="Subtitle"/>
    <w:uiPriority w:val="11"/>
    <w:rsid w:val="00CE5EAD"/>
    <w:rPr>
      <w:caps/>
      <w:spacing w:val="20"/>
      <w:sz w:val="18"/>
      <w:szCs w:val="18"/>
    </w:rPr>
  </w:style>
  <w:style w:type="character" w:styleId="Strong">
    <w:name w:val="Strong"/>
    <w:uiPriority w:val="22"/>
    <w:qFormat/>
    <w:rsid w:val="00CE5EAD"/>
    <w:rPr>
      <w:b/>
      <w:bCs/>
      <w:color w:val="3476B1" w:themeColor="accent2" w:themeShade="BF"/>
      <w:spacing w:val="5"/>
    </w:rPr>
  </w:style>
  <w:style w:type="character" w:styleId="Emphasis">
    <w:name w:val="Emphasis"/>
    <w:uiPriority w:val="20"/>
    <w:qFormat/>
    <w:rsid w:val="00CE5EAD"/>
    <w:rPr>
      <w:caps/>
      <w:spacing w:val="5"/>
      <w:sz w:val="20"/>
      <w:szCs w:val="20"/>
    </w:rPr>
  </w:style>
  <w:style w:type="paragraph" w:styleId="NoSpacing">
    <w:name w:val="No Spacing"/>
    <w:basedOn w:val="Normal"/>
    <w:link w:val="NoSpacingChar"/>
    <w:uiPriority w:val="1"/>
    <w:qFormat/>
    <w:rsid w:val="00CE5EAD"/>
  </w:style>
  <w:style w:type="character" w:customStyle="1" w:styleId="NoSpacingChar">
    <w:name w:val="No Spacing Char"/>
    <w:basedOn w:val="DefaultParagraphFont"/>
    <w:link w:val="NoSpacing"/>
    <w:uiPriority w:val="1"/>
    <w:rsid w:val="00CE5EAD"/>
  </w:style>
  <w:style w:type="paragraph" w:styleId="ListParagraph">
    <w:name w:val="List Paragraph"/>
    <w:basedOn w:val="Normal"/>
    <w:uiPriority w:val="34"/>
    <w:qFormat/>
    <w:rsid w:val="00CE5EAD"/>
    <w:pPr>
      <w:ind w:left="720"/>
      <w:contextualSpacing/>
    </w:pPr>
  </w:style>
  <w:style w:type="paragraph" w:styleId="Quote">
    <w:name w:val="Quote"/>
    <w:basedOn w:val="Normal"/>
    <w:next w:val="Normal"/>
    <w:link w:val="QuoteChar"/>
    <w:uiPriority w:val="29"/>
    <w:qFormat/>
    <w:rsid w:val="00CE5EAD"/>
    <w:rPr>
      <w:i/>
      <w:iCs/>
    </w:rPr>
  </w:style>
  <w:style w:type="character" w:customStyle="1" w:styleId="QuoteChar">
    <w:name w:val="Quote Char"/>
    <w:basedOn w:val="DefaultParagraphFont"/>
    <w:link w:val="Quote"/>
    <w:uiPriority w:val="29"/>
    <w:rsid w:val="00CE5EAD"/>
    <w:rPr>
      <w:i/>
      <w:iCs/>
    </w:rPr>
  </w:style>
  <w:style w:type="paragraph" w:styleId="IntenseQuote">
    <w:name w:val="Intense Quote"/>
    <w:basedOn w:val="Normal"/>
    <w:next w:val="Normal"/>
    <w:link w:val="IntenseQuoteChar"/>
    <w:uiPriority w:val="30"/>
    <w:qFormat/>
    <w:rsid w:val="00CE5EAD"/>
    <w:pPr>
      <w:pBdr>
        <w:top w:val="dotted" w:sz="2" w:space="10" w:color="234F77" w:themeColor="accent2" w:themeShade="80"/>
        <w:bottom w:val="dotted" w:sz="2" w:space="4" w:color="234F77" w:themeColor="accent2" w:themeShade="80"/>
      </w:pBdr>
      <w:spacing w:before="160" w:line="300" w:lineRule="auto"/>
      <w:ind w:left="1440" w:right="1440"/>
    </w:pPr>
    <w:rPr>
      <w:caps/>
      <w:color w:val="224E76" w:themeColor="accent2" w:themeShade="7F"/>
      <w:spacing w:val="5"/>
      <w:sz w:val="20"/>
      <w:szCs w:val="20"/>
    </w:rPr>
  </w:style>
  <w:style w:type="character" w:customStyle="1" w:styleId="IntenseQuoteChar">
    <w:name w:val="Intense Quote Char"/>
    <w:basedOn w:val="DefaultParagraphFont"/>
    <w:link w:val="IntenseQuote"/>
    <w:uiPriority w:val="30"/>
    <w:rsid w:val="00CE5EAD"/>
    <w:rPr>
      <w:caps/>
      <w:color w:val="224E76" w:themeColor="accent2" w:themeShade="7F"/>
      <w:spacing w:val="5"/>
      <w:sz w:val="20"/>
      <w:szCs w:val="20"/>
    </w:rPr>
  </w:style>
  <w:style w:type="character" w:styleId="SubtleEmphasis">
    <w:name w:val="Subtle Emphasis"/>
    <w:uiPriority w:val="19"/>
    <w:qFormat/>
    <w:rsid w:val="00CE5EAD"/>
    <w:rPr>
      <w:i/>
      <w:iCs/>
    </w:rPr>
  </w:style>
  <w:style w:type="character" w:styleId="IntenseEmphasis">
    <w:name w:val="Intense Emphasis"/>
    <w:uiPriority w:val="21"/>
    <w:qFormat/>
    <w:rsid w:val="00CE5EAD"/>
    <w:rPr>
      <w:i/>
      <w:iCs/>
      <w:caps/>
      <w:spacing w:val="10"/>
      <w:sz w:val="20"/>
      <w:szCs w:val="20"/>
    </w:rPr>
  </w:style>
  <w:style w:type="character" w:styleId="SubtleReference">
    <w:name w:val="Subtle Reference"/>
    <w:basedOn w:val="DefaultParagraphFont"/>
    <w:uiPriority w:val="31"/>
    <w:qFormat/>
    <w:rsid w:val="00CE5EAD"/>
    <w:rPr>
      <w:rFonts w:asciiTheme="minorHAnsi" w:eastAsiaTheme="minorEastAsia" w:hAnsiTheme="minorHAnsi" w:cstheme="minorBidi"/>
      <w:i/>
      <w:iCs/>
      <w:color w:val="224E76" w:themeColor="accent2" w:themeShade="7F"/>
    </w:rPr>
  </w:style>
  <w:style w:type="character" w:styleId="IntenseReference">
    <w:name w:val="Intense Reference"/>
    <w:uiPriority w:val="32"/>
    <w:qFormat/>
    <w:rsid w:val="00CE5EAD"/>
    <w:rPr>
      <w:rFonts w:asciiTheme="minorHAnsi" w:eastAsiaTheme="minorEastAsia" w:hAnsiTheme="minorHAnsi" w:cstheme="minorBidi"/>
      <w:b/>
      <w:bCs/>
      <w:i/>
      <w:iCs/>
      <w:color w:val="224E76" w:themeColor="accent2" w:themeShade="7F"/>
    </w:rPr>
  </w:style>
  <w:style w:type="character" w:styleId="BookTitle">
    <w:name w:val="Book Title"/>
    <w:uiPriority w:val="33"/>
    <w:qFormat/>
    <w:rsid w:val="00CE5EAD"/>
    <w:rPr>
      <w:caps/>
      <w:color w:val="224E76" w:themeColor="accent2" w:themeShade="7F"/>
      <w:spacing w:val="5"/>
      <w:u w:color="224E76" w:themeColor="accent2" w:themeShade="7F"/>
    </w:rPr>
  </w:style>
  <w:style w:type="paragraph" w:styleId="TOCHeading">
    <w:name w:val="TOC Heading"/>
    <w:basedOn w:val="Heading1"/>
    <w:next w:val="Normal"/>
    <w:uiPriority w:val="39"/>
    <w:unhideWhenUsed/>
    <w:qFormat/>
    <w:rsid w:val="00B52507"/>
    <w:pPr>
      <w:framePr w:wrap="around" w:hAnchor="text"/>
      <w:outlineLvl w:val="9"/>
    </w:pPr>
  </w:style>
  <w:style w:type="paragraph" w:styleId="TOC1">
    <w:name w:val="toc 1"/>
    <w:basedOn w:val="Normal"/>
    <w:next w:val="Normal"/>
    <w:autoRedefine/>
    <w:uiPriority w:val="39"/>
    <w:unhideWhenUsed/>
    <w:rsid w:val="00FC31CE"/>
    <w:pPr>
      <w:spacing w:before="120"/>
    </w:pPr>
    <w:rPr>
      <w:rFonts w:asciiTheme="minorHAnsi" w:hAnsiTheme="minorHAnsi"/>
      <w:b/>
      <w:bCs/>
      <w:sz w:val="24"/>
      <w:szCs w:val="24"/>
    </w:rPr>
  </w:style>
  <w:style w:type="paragraph" w:styleId="TOC2">
    <w:name w:val="toc 2"/>
    <w:basedOn w:val="Normal"/>
    <w:next w:val="Normal"/>
    <w:autoRedefine/>
    <w:uiPriority w:val="39"/>
    <w:unhideWhenUsed/>
    <w:rsid w:val="00FC31CE"/>
    <w:pPr>
      <w:ind w:left="220"/>
    </w:pPr>
    <w:rPr>
      <w:rFonts w:asciiTheme="minorHAnsi" w:hAnsiTheme="minorHAnsi"/>
      <w:b/>
      <w:bCs/>
    </w:rPr>
  </w:style>
  <w:style w:type="paragraph" w:styleId="TOC3">
    <w:name w:val="toc 3"/>
    <w:basedOn w:val="Normal"/>
    <w:next w:val="Normal"/>
    <w:autoRedefine/>
    <w:uiPriority w:val="39"/>
    <w:unhideWhenUsed/>
    <w:rsid w:val="00FC31CE"/>
    <w:pPr>
      <w:ind w:left="440"/>
    </w:pPr>
    <w:rPr>
      <w:rFonts w:asciiTheme="minorHAnsi" w:hAnsiTheme="minorHAnsi"/>
    </w:rPr>
  </w:style>
  <w:style w:type="paragraph" w:styleId="TOC4">
    <w:name w:val="toc 4"/>
    <w:basedOn w:val="Normal"/>
    <w:next w:val="Normal"/>
    <w:autoRedefine/>
    <w:uiPriority w:val="39"/>
    <w:unhideWhenUsed/>
    <w:rsid w:val="00FC31CE"/>
    <w:pPr>
      <w:ind w:left="660"/>
    </w:pPr>
    <w:rPr>
      <w:rFonts w:asciiTheme="minorHAnsi" w:hAnsiTheme="minorHAnsi"/>
      <w:sz w:val="20"/>
      <w:szCs w:val="20"/>
    </w:rPr>
  </w:style>
  <w:style w:type="paragraph" w:styleId="TOC5">
    <w:name w:val="toc 5"/>
    <w:basedOn w:val="Normal"/>
    <w:next w:val="Normal"/>
    <w:autoRedefine/>
    <w:uiPriority w:val="39"/>
    <w:unhideWhenUsed/>
    <w:rsid w:val="00FC31CE"/>
    <w:pPr>
      <w:ind w:left="880"/>
    </w:pPr>
    <w:rPr>
      <w:rFonts w:asciiTheme="minorHAnsi" w:hAnsiTheme="minorHAnsi"/>
      <w:sz w:val="20"/>
      <w:szCs w:val="20"/>
    </w:rPr>
  </w:style>
  <w:style w:type="paragraph" w:styleId="TOC6">
    <w:name w:val="toc 6"/>
    <w:basedOn w:val="Normal"/>
    <w:next w:val="Normal"/>
    <w:autoRedefine/>
    <w:uiPriority w:val="39"/>
    <w:unhideWhenUsed/>
    <w:rsid w:val="00FC31CE"/>
    <w:pPr>
      <w:ind w:left="1100"/>
    </w:pPr>
    <w:rPr>
      <w:rFonts w:asciiTheme="minorHAnsi" w:hAnsiTheme="minorHAnsi"/>
      <w:sz w:val="20"/>
      <w:szCs w:val="20"/>
    </w:rPr>
  </w:style>
  <w:style w:type="paragraph" w:styleId="TOC7">
    <w:name w:val="toc 7"/>
    <w:basedOn w:val="Normal"/>
    <w:next w:val="Normal"/>
    <w:autoRedefine/>
    <w:uiPriority w:val="39"/>
    <w:unhideWhenUsed/>
    <w:rsid w:val="00FC31CE"/>
    <w:pPr>
      <w:ind w:left="1320"/>
    </w:pPr>
    <w:rPr>
      <w:rFonts w:asciiTheme="minorHAnsi" w:hAnsiTheme="minorHAnsi"/>
      <w:sz w:val="20"/>
      <w:szCs w:val="20"/>
    </w:rPr>
  </w:style>
  <w:style w:type="paragraph" w:styleId="TOC8">
    <w:name w:val="toc 8"/>
    <w:basedOn w:val="Normal"/>
    <w:next w:val="Normal"/>
    <w:autoRedefine/>
    <w:uiPriority w:val="39"/>
    <w:unhideWhenUsed/>
    <w:rsid w:val="00FC31CE"/>
    <w:pPr>
      <w:ind w:left="1540"/>
    </w:pPr>
    <w:rPr>
      <w:rFonts w:asciiTheme="minorHAnsi" w:hAnsiTheme="minorHAnsi"/>
      <w:sz w:val="20"/>
      <w:szCs w:val="20"/>
    </w:rPr>
  </w:style>
  <w:style w:type="paragraph" w:styleId="TOC9">
    <w:name w:val="toc 9"/>
    <w:basedOn w:val="Normal"/>
    <w:next w:val="Normal"/>
    <w:autoRedefine/>
    <w:uiPriority w:val="39"/>
    <w:unhideWhenUsed/>
    <w:rsid w:val="00FC31CE"/>
    <w:pPr>
      <w:ind w:left="1760"/>
    </w:pPr>
    <w:rPr>
      <w:rFonts w:asciiTheme="minorHAnsi" w:hAnsiTheme="minorHAnsi"/>
      <w:sz w:val="20"/>
      <w:szCs w:val="20"/>
    </w:rPr>
  </w:style>
  <w:style w:type="paragraph" w:styleId="Footer">
    <w:name w:val="footer"/>
    <w:basedOn w:val="Normal"/>
    <w:link w:val="FooterChar"/>
    <w:uiPriority w:val="99"/>
    <w:unhideWhenUsed/>
    <w:rsid w:val="00FC31CE"/>
    <w:pPr>
      <w:tabs>
        <w:tab w:val="center" w:pos="4680"/>
        <w:tab w:val="right" w:pos="9360"/>
      </w:tabs>
    </w:pPr>
  </w:style>
  <w:style w:type="character" w:customStyle="1" w:styleId="FooterChar">
    <w:name w:val="Footer Char"/>
    <w:basedOn w:val="DefaultParagraphFont"/>
    <w:link w:val="Footer"/>
    <w:uiPriority w:val="99"/>
    <w:rsid w:val="00FC31CE"/>
  </w:style>
  <w:style w:type="character" w:styleId="PageNumber">
    <w:name w:val="page number"/>
    <w:basedOn w:val="DefaultParagraphFont"/>
    <w:uiPriority w:val="99"/>
    <w:semiHidden/>
    <w:unhideWhenUsed/>
    <w:rsid w:val="00FC31CE"/>
  </w:style>
  <w:style w:type="table" w:styleId="TableGrid">
    <w:name w:val="Table Grid"/>
    <w:basedOn w:val="TableNormal"/>
    <w:uiPriority w:val="39"/>
    <w:rsid w:val="00645E9A"/>
    <w:pPr>
      <w:spacing w:after="0" w:line="240" w:lineRule="auto"/>
    </w:pPr>
    <w:rPr>
      <w:rFonts w:ascii="Times New Roman" w:eastAsiaTheme="minorEastAsia" w:hAnsi="Times New Roman" w:cs="Times New Roman"/>
      <w:b/>
      <w:bCs/>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26DB"/>
    <w:pPr>
      <w:tabs>
        <w:tab w:val="center" w:pos="4680"/>
        <w:tab w:val="right" w:pos="9360"/>
      </w:tabs>
    </w:pPr>
  </w:style>
  <w:style w:type="character" w:customStyle="1" w:styleId="HeaderChar">
    <w:name w:val="Header Char"/>
    <w:basedOn w:val="DefaultParagraphFont"/>
    <w:link w:val="Header"/>
    <w:uiPriority w:val="99"/>
    <w:rsid w:val="001426DB"/>
  </w:style>
  <w:style w:type="paragraph" w:styleId="FootnoteText">
    <w:name w:val="footnote text"/>
    <w:aliases w:val="Footnote reference,FA Fu,Footnote Text Char Char Char Char Char,Footnote Text Char Char Char Char,Footnote Text Char Char Char,Footnote Text Cha,FA Fußnotentext,FA Fuﬂnotentext,Texto nota pie Car,Footnote Text Char Char,FA Fu?notentext,Ca"/>
    <w:basedOn w:val="Normal"/>
    <w:link w:val="FootnoteTextChar"/>
    <w:autoRedefine/>
    <w:uiPriority w:val="99"/>
    <w:unhideWhenUsed/>
    <w:qFormat/>
    <w:rsid w:val="00935D26"/>
    <w:pPr>
      <w:contextualSpacing/>
      <w:jc w:val="both"/>
    </w:pPr>
    <w:rPr>
      <w:rFonts w:eastAsiaTheme="minorEastAsia" w:cs="Times New Roman"/>
      <w:bCs/>
      <w:sz w:val="18"/>
      <w:szCs w:val="24"/>
      <w:lang w:eastAsia="es-ES"/>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 Char,FA Fußnotentext Char,FA Fuﬂnotentext Char,Ca Char"/>
    <w:basedOn w:val="DefaultParagraphFont"/>
    <w:link w:val="FootnoteText"/>
    <w:uiPriority w:val="99"/>
    <w:rsid w:val="00935D26"/>
    <w:rPr>
      <w:rFonts w:ascii="Times New Roman" w:eastAsiaTheme="minorEastAsia" w:hAnsi="Times New Roman" w:cs="Times New Roman"/>
      <w:bCs/>
      <w:sz w:val="18"/>
      <w:szCs w:val="24"/>
      <w:lang w:val="es-ES" w:eastAsia="es-ES"/>
    </w:rPr>
  </w:style>
  <w:style w:type="character" w:styleId="FootnoteReference">
    <w:name w:val="footnote reference"/>
    <w:aliases w:val="Texto de nota al pie,Footnotes refss,Appel note de bas de page,Footnote number,referencia nota al pie,BVI fnr,f,4_G,16 Point,Superscript 6 Point,Texto nota al pie,Footnote Reference Char3,Footnote Reference Char1 Char,Footnote symbol"/>
    <w:basedOn w:val="DefaultParagraphFont"/>
    <w:uiPriority w:val="99"/>
    <w:unhideWhenUsed/>
    <w:rsid w:val="00D348A1"/>
    <w:rPr>
      <w:vertAlign w:val="superscript"/>
    </w:rPr>
  </w:style>
  <w:style w:type="paragraph" w:styleId="NormalWeb">
    <w:name w:val="Normal (Web)"/>
    <w:basedOn w:val="Normal"/>
    <w:uiPriority w:val="99"/>
    <w:unhideWhenUsed/>
    <w:rsid w:val="00001F3D"/>
    <w:pPr>
      <w:spacing w:before="100" w:beforeAutospacing="1" w:after="100" w:afterAutospacing="1"/>
    </w:pPr>
    <w:rPr>
      <w:rFonts w:cs="Times New Roman"/>
      <w:sz w:val="24"/>
      <w:szCs w:val="24"/>
    </w:rPr>
  </w:style>
  <w:style w:type="character" w:styleId="Hyperlink">
    <w:name w:val="Hyperlink"/>
    <w:basedOn w:val="DefaultParagraphFont"/>
    <w:uiPriority w:val="99"/>
    <w:unhideWhenUsed/>
    <w:rsid w:val="00330501"/>
    <w:rPr>
      <w:color w:val="9454C3" w:themeColor="hyperlink"/>
      <w:u w:val="single"/>
    </w:rPr>
  </w:style>
  <w:style w:type="character" w:customStyle="1" w:styleId="apple-converted-space">
    <w:name w:val="apple-converted-space"/>
    <w:basedOn w:val="DefaultParagraphFont"/>
    <w:rsid w:val="00B145CF"/>
  </w:style>
  <w:style w:type="character" w:customStyle="1" w:styleId="articulo-subtitulo">
    <w:name w:val="articulo-subtitulo"/>
    <w:basedOn w:val="DefaultParagraphFont"/>
    <w:rsid w:val="0075399D"/>
  </w:style>
  <w:style w:type="paragraph" w:customStyle="1" w:styleId="contenido">
    <w:name w:val="contenido"/>
    <w:basedOn w:val="Normal"/>
    <w:rsid w:val="0075399D"/>
    <w:pPr>
      <w:spacing w:before="100" w:beforeAutospacing="1" w:after="100" w:afterAutospacing="1"/>
    </w:pPr>
    <w:rPr>
      <w:rFonts w:cs="Times New Roman"/>
      <w:sz w:val="24"/>
      <w:szCs w:val="24"/>
    </w:rPr>
  </w:style>
  <w:style w:type="paragraph" w:styleId="TableofFigures">
    <w:name w:val="table of figures"/>
    <w:basedOn w:val="Normal"/>
    <w:next w:val="Normal"/>
    <w:uiPriority w:val="99"/>
    <w:unhideWhenUsed/>
    <w:rsid w:val="008B2637"/>
    <w:pPr>
      <w:ind w:left="440" w:hanging="440"/>
    </w:pPr>
  </w:style>
  <w:style w:type="character" w:styleId="FollowedHyperlink">
    <w:name w:val="FollowedHyperlink"/>
    <w:basedOn w:val="DefaultParagraphFont"/>
    <w:uiPriority w:val="99"/>
    <w:semiHidden/>
    <w:unhideWhenUsed/>
    <w:rsid w:val="00EF6F16"/>
    <w:rPr>
      <w:color w:val="3EBBF0" w:themeColor="followedHyperlink"/>
      <w:u w:val="single"/>
    </w:rPr>
  </w:style>
  <w:style w:type="character" w:styleId="CommentReference">
    <w:name w:val="annotation reference"/>
    <w:basedOn w:val="DefaultParagraphFont"/>
    <w:uiPriority w:val="99"/>
    <w:semiHidden/>
    <w:unhideWhenUsed/>
    <w:rsid w:val="00C43666"/>
    <w:rPr>
      <w:sz w:val="16"/>
      <w:szCs w:val="16"/>
    </w:rPr>
  </w:style>
  <w:style w:type="paragraph" w:styleId="CommentText">
    <w:name w:val="annotation text"/>
    <w:basedOn w:val="Normal"/>
    <w:link w:val="CommentTextChar"/>
    <w:uiPriority w:val="99"/>
    <w:semiHidden/>
    <w:unhideWhenUsed/>
    <w:rsid w:val="00C43666"/>
    <w:pPr>
      <w:spacing w:after="160"/>
    </w:pPr>
    <w:rPr>
      <w:rFonts w:asciiTheme="minorHAnsi" w:eastAsiaTheme="minorHAnsi" w:hAnsiTheme="minorHAnsi" w:cstheme="minorBidi"/>
      <w:sz w:val="20"/>
      <w:szCs w:val="20"/>
      <w:lang w:val="es-CO"/>
    </w:rPr>
  </w:style>
  <w:style w:type="character" w:customStyle="1" w:styleId="CommentTextChar">
    <w:name w:val="Comment Text Char"/>
    <w:basedOn w:val="DefaultParagraphFont"/>
    <w:link w:val="CommentText"/>
    <w:uiPriority w:val="99"/>
    <w:semiHidden/>
    <w:rsid w:val="00C43666"/>
    <w:rPr>
      <w:rFonts w:asciiTheme="minorHAnsi" w:eastAsiaTheme="minorHAnsi" w:hAnsiTheme="minorHAnsi" w:cstheme="minorBidi"/>
      <w:sz w:val="20"/>
      <w:szCs w:val="20"/>
      <w:lang w:val="es-CO"/>
    </w:rPr>
  </w:style>
  <w:style w:type="paragraph" w:styleId="BalloonText">
    <w:name w:val="Balloon Text"/>
    <w:basedOn w:val="Normal"/>
    <w:link w:val="BalloonTextChar"/>
    <w:uiPriority w:val="99"/>
    <w:semiHidden/>
    <w:unhideWhenUsed/>
    <w:rsid w:val="00C43666"/>
    <w:rPr>
      <w:rFonts w:cs="Times New Roman"/>
      <w:sz w:val="18"/>
      <w:szCs w:val="18"/>
    </w:rPr>
  </w:style>
  <w:style w:type="character" w:customStyle="1" w:styleId="BalloonTextChar">
    <w:name w:val="Balloon Text Char"/>
    <w:basedOn w:val="DefaultParagraphFont"/>
    <w:link w:val="BalloonText"/>
    <w:uiPriority w:val="99"/>
    <w:semiHidden/>
    <w:rsid w:val="00C43666"/>
    <w:rPr>
      <w:rFonts w:ascii="Times New Roman" w:hAnsi="Times New Roman" w:cs="Times New Roman"/>
      <w:sz w:val="18"/>
      <w:szCs w:val="18"/>
    </w:rPr>
  </w:style>
  <w:style w:type="paragraph" w:customStyle="1" w:styleId="Documentos">
    <w:name w:val="Documentos"/>
    <w:basedOn w:val="Heading1"/>
    <w:link w:val="DocumentosCar"/>
    <w:rsid w:val="00B52507"/>
    <w:pPr>
      <w:keepNext/>
      <w:keepLines/>
      <w:framePr w:wrap="around" w:hAnchor="text"/>
      <w:spacing w:before="240" w:line="259" w:lineRule="auto"/>
      <w:jc w:val="both"/>
    </w:pPr>
    <w:rPr>
      <w:b/>
      <w:caps/>
      <w:sz w:val="24"/>
      <w:szCs w:val="32"/>
      <w:lang w:val="es-CO"/>
    </w:rPr>
  </w:style>
  <w:style w:type="character" w:customStyle="1" w:styleId="DocumentosCar">
    <w:name w:val="Documentos Car"/>
    <w:basedOn w:val="Heading1Char"/>
    <w:link w:val="Documentos"/>
    <w:rsid w:val="00B52507"/>
    <w:rPr>
      <w:rFonts w:ascii="Times New Roman" w:hAnsi="Times New Roman" w:cs="Times New Roman"/>
      <w:b/>
      <w:caps/>
      <w:color w:val="234F77" w:themeColor="accent2" w:themeShade="80"/>
      <w:spacing w:val="20"/>
      <w:sz w:val="24"/>
      <w:szCs w:val="32"/>
      <w:lang w:val="es-CO"/>
    </w:rPr>
  </w:style>
  <w:style w:type="paragraph" w:customStyle="1" w:styleId="Estilo1">
    <w:name w:val="Estilo1"/>
    <w:basedOn w:val="Heading2"/>
    <w:link w:val="Estilo1Car"/>
    <w:rsid w:val="00B52507"/>
    <w:pPr>
      <w:keepNext/>
      <w:keepLines/>
      <w:numPr>
        <w:numId w:val="7"/>
      </w:numPr>
      <w:spacing w:before="40" w:line="259" w:lineRule="auto"/>
    </w:pPr>
    <w:rPr>
      <w:b/>
      <w:caps/>
      <w:szCs w:val="26"/>
      <w:lang w:val="es-CO"/>
    </w:rPr>
  </w:style>
  <w:style w:type="character" w:customStyle="1" w:styleId="Estilo1Car">
    <w:name w:val="Estilo1 Car"/>
    <w:basedOn w:val="Heading2Char"/>
    <w:link w:val="Estilo1"/>
    <w:rsid w:val="00B52507"/>
    <w:rPr>
      <w:rFonts w:ascii="Times New Roman" w:hAnsi="Times New Roman"/>
      <w:b/>
      <w:caps/>
      <w:color w:val="234F77" w:themeColor="accent2" w:themeShade="80"/>
      <w:spacing w:val="15"/>
      <w:sz w:val="24"/>
      <w:szCs w:val="26"/>
      <w:lang w:val="es-CO"/>
    </w:rPr>
  </w:style>
  <w:style w:type="paragraph" w:styleId="Bibliography">
    <w:name w:val="Bibliography"/>
    <w:basedOn w:val="Normal"/>
    <w:next w:val="Normal"/>
    <w:uiPriority w:val="37"/>
    <w:unhideWhenUsed/>
    <w:rsid w:val="00C43666"/>
    <w:pPr>
      <w:spacing w:after="160" w:line="259" w:lineRule="auto"/>
    </w:pPr>
    <w:rPr>
      <w:rFonts w:asciiTheme="minorHAnsi" w:eastAsiaTheme="minorHAnsi" w:hAnsiTheme="minorHAnsi" w:cstheme="minorBidi"/>
      <w:lang w:val="es-CO"/>
    </w:rPr>
  </w:style>
  <w:style w:type="character" w:customStyle="1" w:styleId="CommentSubjectChar">
    <w:name w:val="Comment Subject Char"/>
    <w:basedOn w:val="CommentTextChar"/>
    <w:link w:val="CommentSubject"/>
    <w:uiPriority w:val="99"/>
    <w:semiHidden/>
    <w:rsid w:val="00C43666"/>
    <w:rPr>
      <w:rFonts w:asciiTheme="minorHAnsi" w:eastAsiaTheme="minorHAnsi" w:hAnsiTheme="minorHAnsi" w:cstheme="minorBidi"/>
      <w:b/>
      <w:bCs/>
      <w:sz w:val="20"/>
      <w:szCs w:val="20"/>
      <w:lang w:val="es-CO"/>
    </w:rPr>
  </w:style>
  <w:style w:type="paragraph" w:styleId="CommentSubject">
    <w:name w:val="annotation subject"/>
    <w:basedOn w:val="CommentText"/>
    <w:next w:val="CommentText"/>
    <w:link w:val="CommentSubjectChar"/>
    <w:uiPriority w:val="99"/>
    <w:semiHidden/>
    <w:unhideWhenUsed/>
    <w:rsid w:val="00C43666"/>
    <w:rPr>
      <w:b/>
      <w:bCs/>
    </w:rPr>
  </w:style>
  <w:style w:type="numbering" w:styleId="111111">
    <w:name w:val="Outline List 2"/>
    <w:basedOn w:val="NoList"/>
    <w:uiPriority w:val="99"/>
    <w:semiHidden/>
    <w:unhideWhenUsed/>
    <w:rsid w:val="00B52507"/>
    <w:pPr>
      <w:numPr>
        <w:numId w:val="9"/>
      </w:numPr>
    </w:pPr>
  </w:style>
  <w:style w:type="table" w:styleId="ListTable4-Accent1">
    <w:name w:val="List Table 4 Accent 1"/>
    <w:basedOn w:val="TableNormal"/>
    <w:uiPriority w:val="49"/>
    <w:rsid w:val="00E90205"/>
    <w:pPr>
      <w:spacing w:after="0" w:line="240" w:lineRule="auto"/>
    </w:pPr>
    <w:rPr>
      <w:rFonts w:ascii="Times New Roman" w:eastAsiaTheme="minorEastAsia" w:hAnsi="Times New Roman" w:cs="Times New Roman"/>
      <w:b/>
      <w:bCs/>
      <w:sz w:val="24"/>
      <w:szCs w:val="24"/>
      <w:lang w:eastAsia="es-ES"/>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tcBorders>
        <w:shd w:val="clear" w:color="auto" w:fill="4A66AC" w:themeFill="accent1"/>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5Dark-Accent1">
    <w:name w:val="Grid Table 5 Dark Accent 1"/>
    <w:basedOn w:val="TableNormal"/>
    <w:uiPriority w:val="50"/>
    <w:rsid w:val="00432670"/>
    <w:pPr>
      <w:spacing w:after="0" w:line="240" w:lineRule="auto"/>
    </w:pPr>
    <w:rPr>
      <w:rFonts w:ascii="Times New Roman" w:eastAsiaTheme="minorEastAsia" w:hAnsi="Times New Roman" w:cs="Times New Roman"/>
      <w:b/>
      <w:bCs/>
      <w:sz w:val="24"/>
      <w:szCs w:val="24"/>
      <w:lang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F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6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6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6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6AC" w:themeFill="accent1"/>
      </w:tcPr>
    </w:tblStylePr>
    <w:tblStylePr w:type="band1Vert">
      <w:tblPr/>
      <w:tcPr>
        <w:shd w:val="clear" w:color="auto" w:fill="B5C0DF" w:themeFill="accent1" w:themeFillTint="66"/>
      </w:tcPr>
    </w:tblStylePr>
    <w:tblStylePr w:type="band1Horz">
      <w:tblPr/>
      <w:tcPr>
        <w:shd w:val="clear" w:color="auto" w:fill="B5C0DF" w:themeFill="accent1" w:themeFillTint="66"/>
      </w:tcPr>
    </w:tblStylePr>
  </w:style>
  <w:style w:type="character" w:styleId="PlaceholderText">
    <w:name w:val="Placeholder Text"/>
    <w:basedOn w:val="DefaultParagraphFont"/>
    <w:uiPriority w:val="99"/>
    <w:semiHidden/>
    <w:rsid w:val="00BA4E60"/>
    <w:rPr>
      <w:color w:val="808080"/>
    </w:rPr>
  </w:style>
  <w:style w:type="character" w:customStyle="1" w:styleId="Mention1">
    <w:name w:val="Mention1"/>
    <w:basedOn w:val="DefaultParagraphFont"/>
    <w:uiPriority w:val="99"/>
    <w:semiHidden/>
    <w:unhideWhenUsed/>
    <w:rsid w:val="00BA4E60"/>
    <w:rPr>
      <w:color w:val="2B579A"/>
      <w:shd w:val="clear" w:color="auto" w:fill="E6E6E6"/>
    </w:rPr>
  </w:style>
  <w:style w:type="paragraph" w:customStyle="1" w:styleId="p1">
    <w:name w:val="p1"/>
    <w:basedOn w:val="Normal"/>
    <w:rsid w:val="000C675E"/>
    <w:rPr>
      <w:rFonts w:ascii="Helvetica" w:hAnsi="Helvetica" w:cs="Times New Roman"/>
      <w:sz w:val="18"/>
      <w:szCs w:val="18"/>
      <w:lang w:val="en-US"/>
    </w:rPr>
  </w:style>
  <w:style w:type="paragraph" w:styleId="Revision">
    <w:name w:val="Revision"/>
    <w:hidden/>
    <w:uiPriority w:val="99"/>
    <w:semiHidden/>
    <w:rsid w:val="00461089"/>
    <w:pPr>
      <w:spacing w:after="0" w:line="240" w:lineRule="auto"/>
    </w:pPr>
    <w:rPr>
      <w:rFonts w:ascii="Times New Roman" w:hAnsi="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5968">
      <w:bodyDiv w:val="1"/>
      <w:marLeft w:val="0"/>
      <w:marRight w:val="0"/>
      <w:marTop w:val="0"/>
      <w:marBottom w:val="0"/>
      <w:divBdr>
        <w:top w:val="none" w:sz="0" w:space="0" w:color="auto"/>
        <w:left w:val="none" w:sz="0" w:space="0" w:color="auto"/>
        <w:bottom w:val="none" w:sz="0" w:space="0" w:color="auto"/>
        <w:right w:val="none" w:sz="0" w:space="0" w:color="auto"/>
      </w:divBdr>
    </w:div>
    <w:div w:id="20473604">
      <w:bodyDiv w:val="1"/>
      <w:marLeft w:val="0"/>
      <w:marRight w:val="0"/>
      <w:marTop w:val="0"/>
      <w:marBottom w:val="0"/>
      <w:divBdr>
        <w:top w:val="none" w:sz="0" w:space="0" w:color="auto"/>
        <w:left w:val="none" w:sz="0" w:space="0" w:color="auto"/>
        <w:bottom w:val="none" w:sz="0" w:space="0" w:color="auto"/>
        <w:right w:val="none" w:sz="0" w:space="0" w:color="auto"/>
      </w:divBdr>
    </w:div>
    <w:div w:id="26032022">
      <w:bodyDiv w:val="1"/>
      <w:marLeft w:val="0"/>
      <w:marRight w:val="0"/>
      <w:marTop w:val="0"/>
      <w:marBottom w:val="0"/>
      <w:divBdr>
        <w:top w:val="none" w:sz="0" w:space="0" w:color="auto"/>
        <w:left w:val="none" w:sz="0" w:space="0" w:color="auto"/>
        <w:bottom w:val="none" w:sz="0" w:space="0" w:color="auto"/>
        <w:right w:val="none" w:sz="0" w:space="0" w:color="auto"/>
      </w:divBdr>
    </w:div>
    <w:div w:id="26762986">
      <w:bodyDiv w:val="1"/>
      <w:marLeft w:val="0"/>
      <w:marRight w:val="0"/>
      <w:marTop w:val="0"/>
      <w:marBottom w:val="0"/>
      <w:divBdr>
        <w:top w:val="none" w:sz="0" w:space="0" w:color="auto"/>
        <w:left w:val="none" w:sz="0" w:space="0" w:color="auto"/>
        <w:bottom w:val="none" w:sz="0" w:space="0" w:color="auto"/>
        <w:right w:val="none" w:sz="0" w:space="0" w:color="auto"/>
      </w:divBdr>
    </w:div>
    <w:div w:id="46608523">
      <w:bodyDiv w:val="1"/>
      <w:marLeft w:val="0"/>
      <w:marRight w:val="0"/>
      <w:marTop w:val="0"/>
      <w:marBottom w:val="0"/>
      <w:divBdr>
        <w:top w:val="none" w:sz="0" w:space="0" w:color="auto"/>
        <w:left w:val="none" w:sz="0" w:space="0" w:color="auto"/>
        <w:bottom w:val="none" w:sz="0" w:space="0" w:color="auto"/>
        <w:right w:val="none" w:sz="0" w:space="0" w:color="auto"/>
      </w:divBdr>
    </w:div>
    <w:div w:id="52967903">
      <w:bodyDiv w:val="1"/>
      <w:marLeft w:val="0"/>
      <w:marRight w:val="0"/>
      <w:marTop w:val="0"/>
      <w:marBottom w:val="0"/>
      <w:divBdr>
        <w:top w:val="none" w:sz="0" w:space="0" w:color="auto"/>
        <w:left w:val="none" w:sz="0" w:space="0" w:color="auto"/>
        <w:bottom w:val="none" w:sz="0" w:space="0" w:color="auto"/>
        <w:right w:val="none" w:sz="0" w:space="0" w:color="auto"/>
      </w:divBdr>
    </w:div>
    <w:div w:id="66611393">
      <w:bodyDiv w:val="1"/>
      <w:marLeft w:val="0"/>
      <w:marRight w:val="0"/>
      <w:marTop w:val="0"/>
      <w:marBottom w:val="0"/>
      <w:divBdr>
        <w:top w:val="none" w:sz="0" w:space="0" w:color="auto"/>
        <w:left w:val="none" w:sz="0" w:space="0" w:color="auto"/>
        <w:bottom w:val="none" w:sz="0" w:space="0" w:color="auto"/>
        <w:right w:val="none" w:sz="0" w:space="0" w:color="auto"/>
      </w:divBdr>
      <w:divsChild>
        <w:div w:id="761343371">
          <w:marLeft w:val="0"/>
          <w:marRight w:val="0"/>
          <w:marTop w:val="0"/>
          <w:marBottom w:val="0"/>
          <w:divBdr>
            <w:top w:val="none" w:sz="0" w:space="0" w:color="auto"/>
            <w:left w:val="none" w:sz="0" w:space="0" w:color="auto"/>
            <w:bottom w:val="none" w:sz="0" w:space="0" w:color="auto"/>
            <w:right w:val="none" w:sz="0" w:space="0" w:color="auto"/>
          </w:divBdr>
        </w:div>
        <w:div w:id="940070481">
          <w:marLeft w:val="0"/>
          <w:marRight w:val="0"/>
          <w:marTop w:val="0"/>
          <w:marBottom w:val="0"/>
          <w:divBdr>
            <w:top w:val="none" w:sz="0" w:space="0" w:color="auto"/>
            <w:left w:val="none" w:sz="0" w:space="0" w:color="auto"/>
            <w:bottom w:val="none" w:sz="0" w:space="0" w:color="auto"/>
            <w:right w:val="none" w:sz="0" w:space="0" w:color="auto"/>
          </w:divBdr>
        </w:div>
      </w:divsChild>
    </w:div>
    <w:div w:id="73473891">
      <w:bodyDiv w:val="1"/>
      <w:marLeft w:val="0"/>
      <w:marRight w:val="0"/>
      <w:marTop w:val="0"/>
      <w:marBottom w:val="0"/>
      <w:divBdr>
        <w:top w:val="none" w:sz="0" w:space="0" w:color="auto"/>
        <w:left w:val="none" w:sz="0" w:space="0" w:color="auto"/>
        <w:bottom w:val="none" w:sz="0" w:space="0" w:color="auto"/>
        <w:right w:val="none" w:sz="0" w:space="0" w:color="auto"/>
      </w:divBdr>
      <w:divsChild>
        <w:div w:id="1435708660">
          <w:marLeft w:val="0"/>
          <w:marRight w:val="0"/>
          <w:marTop w:val="0"/>
          <w:marBottom w:val="0"/>
          <w:divBdr>
            <w:top w:val="none" w:sz="0" w:space="0" w:color="auto"/>
            <w:left w:val="none" w:sz="0" w:space="0" w:color="auto"/>
            <w:bottom w:val="none" w:sz="0" w:space="0" w:color="auto"/>
            <w:right w:val="none" w:sz="0" w:space="0" w:color="auto"/>
          </w:divBdr>
        </w:div>
        <w:div w:id="756947470">
          <w:marLeft w:val="0"/>
          <w:marRight w:val="0"/>
          <w:marTop w:val="0"/>
          <w:marBottom w:val="0"/>
          <w:divBdr>
            <w:top w:val="none" w:sz="0" w:space="0" w:color="auto"/>
            <w:left w:val="none" w:sz="0" w:space="0" w:color="auto"/>
            <w:bottom w:val="none" w:sz="0" w:space="0" w:color="auto"/>
            <w:right w:val="none" w:sz="0" w:space="0" w:color="auto"/>
          </w:divBdr>
        </w:div>
        <w:div w:id="765924858">
          <w:marLeft w:val="0"/>
          <w:marRight w:val="0"/>
          <w:marTop w:val="0"/>
          <w:marBottom w:val="0"/>
          <w:divBdr>
            <w:top w:val="none" w:sz="0" w:space="0" w:color="auto"/>
            <w:left w:val="none" w:sz="0" w:space="0" w:color="auto"/>
            <w:bottom w:val="none" w:sz="0" w:space="0" w:color="auto"/>
            <w:right w:val="none" w:sz="0" w:space="0" w:color="auto"/>
          </w:divBdr>
        </w:div>
        <w:div w:id="899513046">
          <w:marLeft w:val="0"/>
          <w:marRight w:val="0"/>
          <w:marTop w:val="0"/>
          <w:marBottom w:val="0"/>
          <w:divBdr>
            <w:top w:val="none" w:sz="0" w:space="0" w:color="auto"/>
            <w:left w:val="none" w:sz="0" w:space="0" w:color="auto"/>
            <w:bottom w:val="none" w:sz="0" w:space="0" w:color="auto"/>
            <w:right w:val="none" w:sz="0" w:space="0" w:color="auto"/>
          </w:divBdr>
        </w:div>
      </w:divsChild>
    </w:div>
    <w:div w:id="74789968">
      <w:bodyDiv w:val="1"/>
      <w:marLeft w:val="0"/>
      <w:marRight w:val="0"/>
      <w:marTop w:val="0"/>
      <w:marBottom w:val="0"/>
      <w:divBdr>
        <w:top w:val="none" w:sz="0" w:space="0" w:color="auto"/>
        <w:left w:val="none" w:sz="0" w:space="0" w:color="auto"/>
        <w:bottom w:val="none" w:sz="0" w:space="0" w:color="auto"/>
        <w:right w:val="none" w:sz="0" w:space="0" w:color="auto"/>
      </w:divBdr>
    </w:div>
    <w:div w:id="77023825">
      <w:bodyDiv w:val="1"/>
      <w:marLeft w:val="0"/>
      <w:marRight w:val="0"/>
      <w:marTop w:val="0"/>
      <w:marBottom w:val="0"/>
      <w:divBdr>
        <w:top w:val="none" w:sz="0" w:space="0" w:color="auto"/>
        <w:left w:val="none" w:sz="0" w:space="0" w:color="auto"/>
        <w:bottom w:val="none" w:sz="0" w:space="0" w:color="auto"/>
        <w:right w:val="none" w:sz="0" w:space="0" w:color="auto"/>
      </w:divBdr>
    </w:div>
    <w:div w:id="81415604">
      <w:bodyDiv w:val="1"/>
      <w:marLeft w:val="0"/>
      <w:marRight w:val="0"/>
      <w:marTop w:val="0"/>
      <w:marBottom w:val="0"/>
      <w:divBdr>
        <w:top w:val="none" w:sz="0" w:space="0" w:color="auto"/>
        <w:left w:val="none" w:sz="0" w:space="0" w:color="auto"/>
        <w:bottom w:val="none" w:sz="0" w:space="0" w:color="auto"/>
        <w:right w:val="none" w:sz="0" w:space="0" w:color="auto"/>
      </w:divBdr>
    </w:div>
    <w:div w:id="100760965">
      <w:bodyDiv w:val="1"/>
      <w:marLeft w:val="0"/>
      <w:marRight w:val="0"/>
      <w:marTop w:val="0"/>
      <w:marBottom w:val="0"/>
      <w:divBdr>
        <w:top w:val="none" w:sz="0" w:space="0" w:color="auto"/>
        <w:left w:val="none" w:sz="0" w:space="0" w:color="auto"/>
        <w:bottom w:val="none" w:sz="0" w:space="0" w:color="auto"/>
        <w:right w:val="none" w:sz="0" w:space="0" w:color="auto"/>
      </w:divBdr>
    </w:div>
    <w:div w:id="104036667">
      <w:bodyDiv w:val="1"/>
      <w:marLeft w:val="0"/>
      <w:marRight w:val="0"/>
      <w:marTop w:val="0"/>
      <w:marBottom w:val="0"/>
      <w:divBdr>
        <w:top w:val="none" w:sz="0" w:space="0" w:color="auto"/>
        <w:left w:val="none" w:sz="0" w:space="0" w:color="auto"/>
        <w:bottom w:val="none" w:sz="0" w:space="0" w:color="auto"/>
        <w:right w:val="none" w:sz="0" w:space="0" w:color="auto"/>
      </w:divBdr>
    </w:div>
    <w:div w:id="128979516">
      <w:bodyDiv w:val="1"/>
      <w:marLeft w:val="0"/>
      <w:marRight w:val="0"/>
      <w:marTop w:val="0"/>
      <w:marBottom w:val="0"/>
      <w:divBdr>
        <w:top w:val="none" w:sz="0" w:space="0" w:color="auto"/>
        <w:left w:val="none" w:sz="0" w:space="0" w:color="auto"/>
        <w:bottom w:val="none" w:sz="0" w:space="0" w:color="auto"/>
        <w:right w:val="none" w:sz="0" w:space="0" w:color="auto"/>
      </w:divBdr>
    </w:div>
    <w:div w:id="133252894">
      <w:bodyDiv w:val="1"/>
      <w:marLeft w:val="0"/>
      <w:marRight w:val="0"/>
      <w:marTop w:val="0"/>
      <w:marBottom w:val="0"/>
      <w:divBdr>
        <w:top w:val="none" w:sz="0" w:space="0" w:color="auto"/>
        <w:left w:val="none" w:sz="0" w:space="0" w:color="auto"/>
        <w:bottom w:val="none" w:sz="0" w:space="0" w:color="auto"/>
        <w:right w:val="none" w:sz="0" w:space="0" w:color="auto"/>
      </w:divBdr>
    </w:div>
    <w:div w:id="138306517">
      <w:bodyDiv w:val="1"/>
      <w:marLeft w:val="0"/>
      <w:marRight w:val="0"/>
      <w:marTop w:val="0"/>
      <w:marBottom w:val="0"/>
      <w:divBdr>
        <w:top w:val="none" w:sz="0" w:space="0" w:color="auto"/>
        <w:left w:val="none" w:sz="0" w:space="0" w:color="auto"/>
        <w:bottom w:val="none" w:sz="0" w:space="0" w:color="auto"/>
        <w:right w:val="none" w:sz="0" w:space="0" w:color="auto"/>
      </w:divBdr>
    </w:div>
    <w:div w:id="152111134">
      <w:bodyDiv w:val="1"/>
      <w:marLeft w:val="0"/>
      <w:marRight w:val="0"/>
      <w:marTop w:val="0"/>
      <w:marBottom w:val="0"/>
      <w:divBdr>
        <w:top w:val="none" w:sz="0" w:space="0" w:color="auto"/>
        <w:left w:val="none" w:sz="0" w:space="0" w:color="auto"/>
        <w:bottom w:val="none" w:sz="0" w:space="0" w:color="auto"/>
        <w:right w:val="none" w:sz="0" w:space="0" w:color="auto"/>
      </w:divBdr>
    </w:div>
    <w:div w:id="174727870">
      <w:bodyDiv w:val="1"/>
      <w:marLeft w:val="0"/>
      <w:marRight w:val="0"/>
      <w:marTop w:val="0"/>
      <w:marBottom w:val="0"/>
      <w:divBdr>
        <w:top w:val="none" w:sz="0" w:space="0" w:color="auto"/>
        <w:left w:val="none" w:sz="0" w:space="0" w:color="auto"/>
        <w:bottom w:val="none" w:sz="0" w:space="0" w:color="auto"/>
        <w:right w:val="none" w:sz="0" w:space="0" w:color="auto"/>
      </w:divBdr>
    </w:div>
    <w:div w:id="183372784">
      <w:bodyDiv w:val="1"/>
      <w:marLeft w:val="0"/>
      <w:marRight w:val="0"/>
      <w:marTop w:val="0"/>
      <w:marBottom w:val="0"/>
      <w:divBdr>
        <w:top w:val="none" w:sz="0" w:space="0" w:color="auto"/>
        <w:left w:val="none" w:sz="0" w:space="0" w:color="auto"/>
        <w:bottom w:val="none" w:sz="0" w:space="0" w:color="auto"/>
        <w:right w:val="none" w:sz="0" w:space="0" w:color="auto"/>
      </w:divBdr>
    </w:div>
    <w:div w:id="188105666">
      <w:bodyDiv w:val="1"/>
      <w:marLeft w:val="0"/>
      <w:marRight w:val="0"/>
      <w:marTop w:val="0"/>
      <w:marBottom w:val="0"/>
      <w:divBdr>
        <w:top w:val="none" w:sz="0" w:space="0" w:color="auto"/>
        <w:left w:val="none" w:sz="0" w:space="0" w:color="auto"/>
        <w:bottom w:val="none" w:sz="0" w:space="0" w:color="auto"/>
        <w:right w:val="none" w:sz="0" w:space="0" w:color="auto"/>
      </w:divBdr>
    </w:div>
    <w:div w:id="196547726">
      <w:bodyDiv w:val="1"/>
      <w:marLeft w:val="0"/>
      <w:marRight w:val="0"/>
      <w:marTop w:val="0"/>
      <w:marBottom w:val="0"/>
      <w:divBdr>
        <w:top w:val="none" w:sz="0" w:space="0" w:color="auto"/>
        <w:left w:val="none" w:sz="0" w:space="0" w:color="auto"/>
        <w:bottom w:val="none" w:sz="0" w:space="0" w:color="auto"/>
        <w:right w:val="none" w:sz="0" w:space="0" w:color="auto"/>
      </w:divBdr>
    </w:div>
    <w:div w:id="201209869">
      <w:bodyDiv w:val="1"/>
      <w:marLeft w:val="0"/>
      <w:marRight w:val="0"/>
      <w:marTop w:val="0"/>
      <w:marBottom w:val="0"/>
      <w:divBdr>
        <w:top w:val="none" w:sz="0" w:space="0" w:color="auto"/>
        <w:left w:val="none" w:sz="0" w:space="0" w:color="auto"/>
        <w:bottom w:val="none" w:sz="0" w:space="0" w:color="auto"/>
        <w:right w:val="none" w:sz="0" w:space="0" w:color="auto"/>
      </w:divBdr>
    </w:div>
    <w:div w:id="223150961">
      <w:bodyDiv w:val="1"/>
      <w:marLeft w:val="0"/>
      <w:marRight w:val="0"/>
      <w:marTop w:val="0"/>
      <w:marBottom w:val="0"/>
      <w:divBdr>
        <w:top w:val="none" w:sz="0" w:space="0" w:color="auto"/>
        <w:left w:val="none" w:sz="0" w:space="0" w:color="auto"/>
        <w:bottom w:val="none" w:sz="0" w:space="0" w:color="auto"/>
        <w:right w:val="none" w:sz="0" w:space="0" w:color="auto"/>
      </w:divBdr>
    </w:div>
    <w:div w:id="247547864">
      <w:bodyDiv w:val="1"/>
      <w:marLeft w:val="0"/>
      <w:marRight w:val="0"/>
      <w:marTop w:val="0"/>
      <w:marBottom w:val="0"/>
      <w:divBdr>
        <w:top w:val="none" w:sz="0" w:space="0" w:color="auto"/>
        <w:left w:val="none" w:sz="0" w:space="0" w:color="auto"/>
        <w:bottom w:val="none" w:sz="0" w:space="0" w:color="auto"/>
        <w:right w:val="none" w:sz="0" w:space="0" w:color="auto"/>
      </w:divBdr>
    </w:div>
    <w:div w:id="253251172">
      <w:bodyDiv w:val="1"/>
      <w:marLeft w:val="0"/>
      <w:marRight w:val="0"/>
      <w:marTop w:val="0"/>
      <w:marBottom w:val="0"/>
      <w:divBdr>
        <w:top w:val="none" w:sz="0" w:space="0" w:color="auto"/>
        <w:left w:val="none" w:sz="0" w:space="0" w:color="auto"/>
        <w:bottom w:val="none" w:sz="0" w:space="0" w:color="auto"/>
        <w:right w:val="none" w:sz="0" w:space="0" w:color="auto"/>
      </w:divBdr>
    </w:div>
    <w:div w:id="269704178">
      <w:bodyDiv w:val="1"/>
      <w:marLeft w:val="0"/>
      <w:marRight w:val="0"/>
      <w:marTop w:val="0"/>
      <w:marBottom w:val="0"/>
      <w:divBdr>
        <w:top w:val="none" w:sz="0" w:space="0" w:color="auto"/>
        <w:left w:val="none" w:sz="0" w:space="0" w:color="auto"/>
        <w:bottom w:val="none" w:sz="0" w:space="0" w:color="auto"/>
        <w:right w:val="none" w:sz="0" w:space="0" w:color="auto"/>
      </w:divBdr>
    </w:div>
    <w:div w:id="271714104">
      <w:bodyDiv w:val="1"/>
      <w:marLeft w:val="0"/>
      <w:marRight w:val="0"/>
      <w:marTop w:val="0"/>
      <w:marBottom w:val="0"/>
      <w:divBdr>
        <w:top w:val="none" w:sz="0" w:space="0" w:color="auto"/>
        <w:left w:val="none" w:sz="0" w:space="0" w:color="auto"/>
        <w:bottom w:val="none" w:sz="0" w:space="0" w:color="auto"/>
        <w:right w:val="none" w:sz="0" w:space="0" w:color="auto"/>
      </w:divBdr>
    </w:div>
    <w:div w:id="282930966">
      <w:bodyDiv w:val="1"/>
      <w:marLeft w:val="0"/>
      <w:marRight w:val="0"/>
      <w:marTop w:val="0"/>
      <w:marBottom w:val="0"/>
      <w:divBdr>
        <w:top w:val="none" w:sz="0" w:space="0" w:color="auto"/>
        <w:left w:val="none" w:sz="0" w:space="0" w:color="auto"/>
        <w:bottom w:val="none" w:sz="0" w:space="0" w:color="auto"/>
        <w:right w:val="none" w:sz="0" w:space="0" w:color="auto"/>
      </w:divBdr>
    </w:div>
    <w:div w:id="283734241">
      <w:bodyDiv w:val="1"/>
      <w:marLeft w:val="0"/>
      <w:marRight w:val="0"/>
      <w:marTop w:val="0"/>
      <w:marBottom w:val="0"/>
      <w:divBdr>
        <w:top w:val="none" w:sz="0" w:space="0" w:color="auto"/>
        <w:left w:val="none" w:sz="0" w:space="0" w:color="auto"/>
        <w:bottom w:val="none" w:sz="0" w:space="0" w:color="auto"/>
        <w:right w:val="none" w:sz="0" w:space="0" w:color="auto"/>
      </w:divBdr>
    </w:div>
    <w:div w:id="286158079">
      <w:bodyDiv w:val="1"/>
      <w:marLeft w:val="0"/>
      <w:marRight w:val="0"/>
      <w:marTop w:val="0"/>
      <w:marBottom w:val="0"/>
      <w:divBdr>
        <w:top w:val="none" w:sz="0" w:space="0" w:color="auto"/>
        <w:left w:val="none" w:sz="0" w:space="0" w:color="auto"/>
        <w:bottom w:val="none" w:sz="0" w:space="0" w:color="auto"/>
        <w:right w:val="none" w:sz="0" w:space="0" w:color="auto"/>
      </w:divBdr>
    </w:div>
    <w:div w:id="289941530">
      <w:bodyDiv w:val="1"/>
      <w:marLeft w:val="0"/>
      <w:marRight w:val="0"/>
      <w:marTop w:val="0"/>
      <w:marBottom w:val="0"/>
      <w:divBdr>
        <w:top w:val="none" w:sz="0" w:space="0" w:color="auto"/>
        <w:left w:val="none" w:sz="0" w:space="0" w:color="auto"/>
        <w:bottom w:val="none" w:sz="0" w:space="0" w:color="auto"/>
        <w:right w:val="none" w:sz="0" w:space="0" w:color="auto"/>
      </w:divBdr>
    </w:div>
    <w:div w:id="293146790">
      <w:bodyDiv w:val="1"/>
      <w:marLeft w:val="0"/>
      <w:marRight w:val="0"/>
      <w:marTop w:val="0"/>
      <w:marBottom w:val="0"/>
      <w:divBdr>
        <w:top w:val="none" w:sz="0" w:space="0" w:color="auto"/>
        <w:left w:val="none" w:sz="0" w:space="0" w:color="auto"/>
        <w:bottom w:val="none" w:sz="0" w:space="0" w:color="auto"/>
        <w:right w:val="none" w:sz="0" w:space="0" w:color="auto"/>
      </w:divBdr>
    </w:div>
    <w:div w:id="307975570">
      <w:bodyDiv w:val="1"/>
      <w:marLeft w:val="0"/>
      <w:marRight w:val="0"/>
      <w:marTop w:val="0"/>
      <w:marBottom w:val="0"/>
      <w:divBdr>
        <w:top w:val="none" w:sz="0" w:space="0" w:color="auto"/>
        <w:left w:val="none" w:sz="0" w:space="0" w:color="auto"/>
        <w:bottom w:val="none" w:sz="0" w:space="0" w:color="auto"/>
        <w:right w:val="none" w:sz="0" w:space="0" w:color="auto"/>
      </w:divBdr>
    </w:div>
    <w:div w:id="317728146">
      <w:bodyDiv w:val="1"/>
      <w:marLeft w:val="0"/>
      <w:marRight w:val="0"/>
      <w:marTop w:val="0"/>
      <w:marBottom w:val="0"/>
      <w:divBdr>
        <w:top w:val="none" w:sz="0" w:space="0" w:color="auto"/>
        <w:left w:val="none" w:sz="0" w:space="0" w:color="auto"/>
        <w:bottom w:val="none" w:sz="0" w:space="0" w:color="auto"/>
        <w:right w:val="none" w:sz="0" w:space="0" w:color="auto"/>
      </w:divBdr>
    </w:div>
    <w:div w:id="329337647">
      <w:bodyDiv w:val="1"/>
      <w:marLeft w:val="0"/>
      <w:marRight w:val="0"/>
      <w:marTop w:val="0"/>
      <w:marBottom w:val="0"/>
      <w:divBdr>
        <w:top w:val="none" w:sz="0" w:space="0" w:color="auto"/>
        <w:left w:val="none" w:sz="0" w:space="0" w:color="auto"/>
        <w:bottom w:val="none" w:sz="0" w:space="0" w:color="auto"/>
        <w:right w:val="none" w:sz="0" w:space="0" w:color="auto"/>
      </w:divBdr>
    </w:div>
    <w:div w:id="332490198">
      <w:bodyDiv w:val="1"/>
      <w:marLeft w:val="0"/>
      <w:marRight w:val="0"/>
      <w:marTop w:val="0"/>
      <w:marBottom w:val="0"/>
      <w:divBdr>
        <w:top w:val="none" w:sz="0" w:space="0" w:color="auto"/>
        <w:left w:val="none" w:sz="0" w:space="0" w:color="auto"/>
        <w:bottom w:val="none" w:sz="0" w:space="0" w:color="auto"/>
        <w:right w:val="none" w:sz="0" w:space="0" w:color="auto"/>
      </w:divBdr>
    </w:div>
    <w:div w:id="342900236">
      <w:bodyDiv w:val="1"/>
      <w:marLeft w:val="0"/>
      <w:marRight w:val="0"/>
      <w:marTop w:val="0"/>
      <w:marBottom w:val="0"/>
      <w:divBdr>
        <w:top w:val="none" w:sz="0" w:space="0" w:color="auto"/>
        <w:left w:val="none" w:sz="0" w:space="0" w:color="auto"/>
        <w:bottom w:val="none" w:sz="0" w:space="0" w:color="auto"/>
        <w:right w:val="none" w:sz="0" w:space="0" w:color="auto"/>
      </w:divBdr>
    </w:div>
    <w:div w:id="357855949">
      <w:bodyDiv w:val="1"/>
      <w:marLeft w:val="0"/>
      <w:marRight w:val="0"/>
      <w:marTop w:val="0"/>
      <w:marBottom w:val="0"/>
      <w:divBdr>
        <w:top w:val="none" w:sz="0" w:space="0" w:color="auto"/>
        <w:left w:val="none" w:sz="0" w:space="0" w:color="auto"/>
        <w:bottom w:val="none" w:sz="0" w:space="0" w:color="auto"/>
        <w:right w:val="none" w:sz="0" w:space="0" w:color="auto"/>
      </w:divBdr>
    </w:div>
    <w:div w:id="376512805">
      <w:bodyDiv w:val="1"/>
      <w:marLeft w:val="0"/>
      <w:marRight w:val="0"/>
      <w:marTop w:val="0"/>
      <w:marBottom w:val="0"/>
      <w:divBdr>
        <w:top w:val="none" w:sz="0" w:space="0" w:color="auto"/>
        <w:left w:val="none" w:sz="0" w:space="0" w:color="auto"/>
        <w:bottom w:val="none" w:sz="0" w:space="0" w:color="auto"/>
        <w:right w:val="none" w:sz="0" w:space="0" w:color="auto"/>
      </w:divBdr>
    </w:div>
    <w:div w:id="401417829">
      <w:bodyDiv w:val="1"/>
      <w:marLeft w:val="0"/>
      <w:marRight w:val="0"/>
      <w:marTop w:val="0"/>
      <w:marBottom w:val="0"/>
      <w:divBdr>
        <w:top w:val="none" w:sz="0" w:space="0" w:color="auto"/>
        <w:left w:val="none" w:sz="0" w:space="0" w:color="auto"/>
        <w:bottom w:val="none" w:sz="0" w:space="0" w:color="auto"/>
        <w:right w:val="none" w:sz="0" w:space="0" w:color="auto"/>
      </w:divBdr>
    </w:div>
    <w:div w:id="407578391">
      <w:bodyDiv w:val="1"/>
      <w:marLeft w:val="0"/>
      <w:marRight w:val="0"/>
      <w:marTop w:val="0"/>
      <w:marBottom w:val="0"/>
      <w:divBdr>
        <w:top w:val="none" w:sz="0" w:space="0" w:color="auto"/>
        <w:left w:val="none" w:sz="0" w:space="0" w:color="auto"/>
        <w:bottom w:val="none" w:sz="0" w:space="0" w:color="auto"/>
        <w:right w:val="none" w:sz="0" w:space="0" w:color="auto"/>
      </w:divBdr>
    </w:div>
    <w:div w:id="428357976">
      <w:bodyDiv w:val="1"/>
      <w:marLeft w:val="0"/>
      <w:marRight w:val="0"/>
      <w:marTop w:val="0"/>
      <w:marBottom w:val="0"/>
      <w:divBdr>
        <w:top w:val="none" w:sz="0" w:space="0" w:color="auto"/>
        <w:left w:val="none" w:sz="0" w:space="0" w:color="auto"/>
        <w:bottom w:val="none" w:sz="0" w:space="0" w:color="auto"/>
        <w:right w:val="none" w:sz="0" w:space="0" w:color="auto"/>
      </w:divBdr>
    </w:div>
    <w:div w:id="432173060">
      <w:bodyDiv w:val="1"/>
      <w:marLeft w:val="0"/>
      <w:marRight w:val="0"/>
      <w:marTop w:val="0"/>
      <w:marBottom w:val="0"/>
      <w:divBdr>
        <w:top w:val="none" w:sz="0" w:space="0" w:color="auto"/>
        <w:left w:val="none" w:sz="0" w:space="0" w:color="auto"/>
        <w:bottom w:val="none" w:sz="0" w:space="0" w:color="auto"/>
        <w:right w:val="none" w:sz="0" w:space="0" w:color="auto"/>
      </w:divBdr>
    </w:div>
    <w:div w:id="443766687">
      <w:bodyDiv w:val="1"/>
      <w:marLeft w:val="0"/>
      <w:marRight w:val="0"/>
      <w:marTop w:val="0"/>
      <w:marBottom w:val="0"/>
      <w:divBdr>
        <w:top w:val="none" w:sz="0" w:space="0" w:color="auto"/>
        <w:left w:val="none" w:sz="0" w:space="0" w:color="auto"/>
        <w:bottom w:val="none" w:sz="0" w:space="0" w:color="auto"/>
        <w:right w:val="none" w:sz="0" w:space="0" w:color="auto"/>
      </w:divBdr>
    </w:div>
    <w:div w:id="505873365">
      <w:bodyDiv w:val="1"/>
      <w:marLeft w:val="0"/>
      <w:marRight w:val="0"/>
      <w:marTop w:val="0"/>
      <w:marBottom w:val="0"/>
      <w:divBdr>
        <w:top w:val="none" w:sz="0" w:space="0" w:color="auto"/>
        <w:left w:val="none" w:sz="0" w:space="0" w:color="auto"/>
        <w:bottom w:val="none" w:sz="0" w:space="0" w:color="auto"/>
        <w:right w:val="none" w:sz="0" w:space="0" w:color="auto"/>
      </w:divBdr>
    </w:div>
    <w:div w:id="508909832">
      <w:bodyDiv w:val="1"/>
      <w:marLeft w:val="0"/>
      <w:marRight w:val="0"/>
      <w:marTop w:val="0"/>
      <w:marBottom w:val="0"/>
      <w:divBdr>
        <w:top w:val="none" w:sz="0" w:space="0" w:color="auto"/>
        <w:left w:val="none" w:sz="0" w:space="0" w:color="auto"/>
        <w:bottom w:val="none" w:sz="0" w:space="0" w:color="auto"/>
        <w:right w:val="none" w:sz="0" w:space="0" w:color="auto"/>
      </w:divBdr>
    </w:div>
    <w:div w:id="531040390">
      <w:bodyDiv w:val="1"/>
      <w:marLeft w:val="0"/>
      <w:marRight w:val="0"/>
      <w:marTop w:val="0"/>
      <w:marBottom w:val="0"/>
      <w:divBdr>
        <w:top w:val="none" w:sz="0" w:space="0" w:color="auto"/>
        <w:left w:val="none" w:sz="0" w:space="0" w:color="auto"/>
        <w:bottom w:val="none" w:sz="0" w:space="0" w:color="auto"/>
        <w:right w:val="none" w:sz="0" w:space="0" w:color="auto"/>
      </w:divBdr>
    </w:div>
    <w:div w:id="537402470">
      <w:bodyDiv w:val="1"/>
      <w:marLeft w:val="0"/>
      <w:marRight w:val="0"/>
      <w:marTop w:val="0"/>
      <w:marBottom w:val="0"/>
      <w:divBdr>
        <w:top w:val="none" w:sz="0" w:space="0" w:color="auto"/>
        <w:left w:val="none" w:sz="0" w:space="0" w:color="auto"/>
        <w:bottom w:val="none" w:sz="0" w:space="0" w:color="auto"/>
        <w:right w:val="none" w:sz="0" w:space="0" w:color="auto"/>
      </w:divBdr>
    </w:div>
    <w:div w:id="538669415">
      <w:bodyDiv w:val="1"/>
      <w:marLeft w:val="0"/>
      <w:marRight w:val="0"/>
      <w:marTop w:val="0"/>
      <w:marBottom w:val="0"/>
      <w:divBdr>
        <w:top w:val="none" w:sz="0" w:space="0" w:color="auto"/>
        <w:left w:val="none" w:sz="0" w:space="0" w:color="auto"/>
        <w:bottom w:val="none" w:sz="0" w:space="0" w:color="auto"/>
        <w:right w:val="none" w:sz="0" w:space="0" w:color="auto"/>
      </w:divBdr>
    </w:div>
    <w:div w:id="555045958">
      <w:bodyDiv w:val="1"/>
      <w:marLeft w:val="0"/>
      <w:marRight w:val="0"/>
      <w:marTop w:val="0"/>
      <w:marBottom w:val="0"/>
      <w:divBdr>
        <w:top w:val="none" w:sz="0" w:space="0" w:color="auto"/>
        <w:left w:val="none" w:sz="0" w:space="0" w:color="auto"/>
        <w:bottom w:val="none" w:sz="0" w:space="0" w:color="auto"/>
        <w:right w:val="none" w:sz="0" w:space="0" w:color="auto"/>
      </w:divBdr>
      <w:divsChild>
        <w:div w:id="1190266573">
          <w:marLeft w:val="0"/>
          <w:marRight w:val="0"/>
          <w:marTop w:val="0"/>
          <w:marBottom w:val="0"/>
          <w:divBdr>
            <w:top w:val="none" w:sz="0" w:space="0" w:color="auto"/>
            <w:left w:val="none" w:sz="0" w:space="0" w:color="auto"/>
            <w:bottom w:val="none" w:sz="0" w:space="0" w:color="auto"/>
            <w:right w:val="none" w:sz="0" w:space="0" w:color="auto"/>
          </w:divBdr>
        </w:div>
        <w:div w:id="1702778269">
          <w:marLeft w:val="0"/>
          <w:marRight w:val="0"/>
          <w:marTop w:val="0"/>
          <w:marBottom w:val="0"/>
          <w:divBdr>
            <w:top w:val="none" w:sz="0" w:space="0" w:color="auto"/>
            <w:left w:val="none" w:sz="0" w:space="0" w:color="auto"/>
            <w:bottom w:val="none" w:sz="0" w:space="0" w:color="auto"/>
            <w:right w:val="none" w:sz="0" w:space="0" w:color="auto"/>
          </w:divBdr>
        </w:div>
        <w:div w:id="334964472">
          <w:marLeft w:val="0"/>
          <w:marRight w:val="0"/>
          <w:marTop w:val="0"/>
          <w:marBottom w:val="0"/>
          <w:divBdr>
            <w:top w:val="none" w:sz="0" w:space="0" w:color="auto"/>
            <w:left w:val="none" w:sz="0" w:space="0" w:color="auto"/>
            <w:bottom w:val="none" w:sz="0" w:space="0" w:color="auto"/>
            <w:right w:val="none" w:sz="0" w:space="0" w:color="auto"/>
          </w:divBdr>
        </w:div>
        <w:div w:id="140316981">
          <w:marLeft w:val="0"/>
          <w:marRight w:val="0"/>
          <w:marTop w:val="0"/>
          <w:marBottom w:val="0"/>
          <w:divBdr>
            <w:top w:val="none" w:sz="0" w:space="0" w:color="auto"/>
            <w:left w:val="none" w:sz="0" w:space="0" w:color="auto"/>
            <w:bottom w:val="none" w:sz="0" w:space="0" w:color="auto"/>
            <w:right w:val="none" w:sz="0" w:space="0" w:color="auto"/>
          </w:divBdr>
        </w:div>
      </w:divsChild>
    </w:div>
    <w:div w:id="558706434">
      <w:bodyDiv w:val="1"/>
      <w:marLeft w:val="0"/>
      <w:marRight w:val="0"/>
      <w:marTop w:val="0"/>
      <w:marBottom w:val="0"/>
      <w:divBdr>
        <w:top w:val="none" w:sz="0" w:space="0" w:color="auto"/>
        <w:left w:val="none" w:sz="0" w:space="0" w:color="auto"/>
        <w:bottom w:val="none" w:sz="0" w:space="0" w:color="auto"/>
        <w:right w:val="none" w:sz="0" w:space="0" w:color="auto"/>
      </w:divBdr>
    </w:div>
    <w:div w:id="565533769">
      <w:bodyDiv w:val="1"/>
      <w:marLeft w:val="0"/>
      <w:marRight w:val="0"/>
      <w:marTop w:val="0"/>
      <w:marBottom w:val="0"/>
      <w:divBdr>
        <w:top w:val="none" w:sz="0" w:space="0" w:color="auto"/>
        <w:left w:val="none" w:sz="0" w:space="0" w:color="auto"/>
        <w:bottom w:val="none" w:sz="0" w:space="0" w:color="auto"/>
        <w:right w:val="none" w:sz="0" w:space="0" w:color="auto"/>
      </w:divBdr>
    </w:div>
    <w:div w:id="574512841">
      <w:bodyDiv w:val="1"/>
      <w:marLeft w:val="0"/>
      <w:marRight w:val="0"/>
      <w:marTop w:val="0"/>
      <w:marBottom w:val="0"/>
      <w:divBdr>
        <w:top w:val="none" w:sz="0" w:space="0" w:color="auto"/>
        <w:left w:val="none" w:sz="0" w:space="0" w:color="auto"/>
        <w:bottom w:val="none" w:sz="0" w:space="0" w:color="auto"/>
        <w:right w:val="none" w:sz="0" w:space="0" w:color="auto"/>
      </w:divBdr>
    </w:div>
    <w:div w:id="576863973">
      <w:bodyDiv w:val="1"/>
      <w:marLeft w:val="0"/>
      <w:marRight w:val="0"/>
      <w:marTop w:val="0"/>
      <w:marBottom w:val="0"/>
      <w:divBdr>
        <w:top w:val="none" w:sz="0" w:space="0" w:color="auto"/>
        <w:left w:val="none" w:sz="0" w:space="0" w:color="auto"/>
        <w:bottom w:val="none" w:sz="0" w:space="0" w:color="auto"/>
        <w:right w:val="none" w:sz="0" w:space="0" w:color="auto"/>
      </w:divBdr>
    </w:div>
    <w:div w:id="579604903">
      <w:bodyDiv w:val="1"/>
      <w:marLeft w:val="0"/>
      <w:marRight w:val="0"/>
      <w:marTop w:val="0"/>
      <w:marBottom w:val="0"/>
      <w:divBdr>
        <w:top w:val="none" w:sz="0" w:space="0" w:color="auto"/>
        <w:left w:val="none" w:sz="0" w:space="0" w:color="auto"/>
        <w:bottom w:val="none" w:sz="0" w:space="0" w:color="auto"/>
        <w:right w:val="none" w:sz="0" w:space="0" w:color="auto"/>
      </w:divBdr>
      <w:divsChild>
        <w:div w:id="93331920">
          <w:marLeft w:val="0"/>
          <w:marRight w:val="0"/>
          <w:marTop w:val="0"/>
          <w:marBottom w:val="0"/>
          <w:divBdr>
            <w:top w:val="none" w:sz="0" w:space="0" w:color="auto"/>
            <w:left w:val="none" w:sz="0" w:space="0" w:color="auto"/>
            <w:bottom w:val="none" w:sz="0" w:space="0" w:color="auto"/>
            <w:right w:val="none" w:sz="0" w:space="0" w:color="auto"/>
          </w:divBdr>
        </w:div>
        <w:div w:id="1180975219">
          <w:marLeft w:val="0"/>
          <w:marRight w:val="0"/>
          <w:marTop w:val="0"/>
          <w:marBottom w:val="0"/>
          <w:divBdr>
            <w:top w:val="none" w:sz="0" w:space="0" w:color="auto"/>
            <w:left w:val="none" w:sz="0" w:space="0" w:color="auto"/>
            <w:bottom w:val="none" w:sz="0" w:space="0" w:color="auto"/>
            <w:right w:val="none" w:sz="0" w:space="0" w:color="auto"/>
          </w:divBdr>
        </w:div>
        <w:div w:id="477958185">
          <w:marLeft w:val="0"/>
          <w:marRight w:val="0"/>
          <w:marTop w:val="0"/>
          <w:marBottom w:val="0"/>
          <w:divBdr>
            <w:top w:val="none" w:sz="0" w:space="0" w:color="auto"/>
            <w:left w:val="none" w:sz="0" w:space="0" w:color="auto"/>
            <w:bottom w:val="none" w:sz="0" w:space="0" w:color="auto"/>
            <w:right w:val="none" w:sz="0" w:space="0" w:color="auto"/>
          </w:divBdr>
        </w:div>
        <w:div w:id="1870754591">
          <w:marLeft w:val="0"/>
          <w:marRight w:val="0"/>
          <w:marTop w:val="0"/>
          <w:marBottom w:val="0"/>
          <w:divBdr>
            <w:top w:val="none" w:sz="0" w:space="0" w:color="auto"/>
            <w:left w:val="none" w:sz="0" w:space="0" w:color="auto"/>
            <w:bottom w:val="none" w:sz="0" w:space="0" w:color="auto"/>
            <w:right w:val="none" w:sz="0" w:space="0" w:color="auto"/>
          </w:divBdr>
        </w:div>
      </w:divsChild>
    </w:div>
    <w:div w:id="590358713">
      <w:bodyDiv w:val="1"/>
      <w:marLeft w:val="0"/>
      <w:marRight w:val="0"/>
      <w:marTop w:val="0"/>
      <w:marBottom w:val="0"/>
      <w:divBdr>
        <w:top w:val="none" w:sz="0" w:space="0" w:color="auto"/>
        <w:left w:val="none" w:sz="0" w:space="0" w:color="auto"/>
        <w:bottom w:val="none" w:sz="0" w:space="0" w:color="auto"/>
        <w:right w:val="none" w:sz="0" w:space="0" w:color="auto"/>
      </w:divBdr>
    </w:div>
    <w:div w:id="593131529">
      <w:bodyDiv w:val="1"/>
      <w:marLeft w:val="0"/>
      <w:marRight w:val="0"/>
      <w:marTop w:val="0"/>
      <w:marBottom w:val="0"/>
      <w:divBdr>
        <w:top w:val="none" w:sz="0" w:space="0" w:color="auto"/>
        <w:left w:val="none" w:sz="0" w:space="0" w:color="auto"/>
        <w:bottom w:val="none" w:sz="0" w:space="0" w:color="auto"/>
        <w:right w:val="none" w:sz="0" w:space="0" w:color="auto"/>
      </w:divBdr>
    </w:div>
    <w:div w:id="596406245">
      <w:bodyDiv w:val="1"/>
      <w:marLeft w:val="0"/>
      <w:marRight w:val="0"/>
      <w:marTop w:val="0"/>
      <w:marBottom w:val="0"/>
      <w:divBdr>
        <w:top w:val="none" w:sz="0" w:space="0" w:color="auto"/>
        <w:left w:val="none" w:sz="0" w:space="0" w:color="auto"/>
        <w:bottom w:val="none" w:sz="0" w:space="0" w:color="auto"/>
        <w:right w:val="none" w:sz="0" w:space="0" w:color="auto"/>
      </w:divBdr>
    </w:div>
    <w:div w:id="601959612">
      <w:bodyDiv w:val="1"/>
      <w:marLeft w:val="0"/>
      <w:marRight w:val="0"/>
      <w:marTop w:val="0"/>
      <w:marBottom w:val="0"/>
      <w:divBdr>
        <w:top w:val="none" w:sz="0" w:space="0" w:color="auto"/>
        <w:left w:val="none" w:sz="0" w:space="0" w:color="auto"/>
        <w:bottom w:val="none" w:sz="0" w:space="0" w:color="auto"/>
        <w:right w:val="none" w:sz="0" w:space="0" w:color="auto"/>
      </w:divBdr>
    </w:div>
    <w:div w:id="610431351">
      <w:bodyDiv w:val="1"/>
      <w:marLeft w:val="0"/>
      <w:marRight w:val="0"/>
      <w:marTop w:val="0"/>
      <w:marBottom w:val="0"/>
      <w:divBdr>
        <w:top w:val="none" w:sz="0" w:space="0" w:color="auto"/>
        <w:left w:val="none" w:sz="0" w:space="0" w:color="auto"/>
        <w:bottom w:val="none" w:sz="0" w:space="0" w:color="auto"/>
        <w:right w:val="none" w:sz="0" w:space="0" w:color="auto"/>
      </w:divBdr>
    </w:div>
    <w:div w:id="619606978">
      <w:bodyDiv w:val="1"/>
      <w:marLeft w:val="0"/>
      <w:marRight w:val="0"/>
      <w:marTop w:val="0"/>
      <w:marBottom w:val="0"/>
      <w:divBdr>
        <w:top w:val="none" w:sz="0" w:space="0" w:color="auto"/>
        <w:left w:val="none" w:sz="0" w:space="0" w:color="auto"/>
        <w:bottom w:val="none" w:sz="0" w:space="0" w:color="auto"/>
        <w:right w:val="none" w:sz="0" w:space="0" w:color="auto"/>
      </w:divBdr>
    </w:div>
    <w:div w:id="630063932">
      <w:bodyDiv w:val="1"/>
      <w:marLeft w:val="0"/>
      <w:marRight w:val="0"/>
      <w:marTop w:val="0"/>
      <w:marBottom w:val="0"/>
      <w:divBdr>
        <w:top w:val="none" w:sz="0" w:space="0" w:color="auto"/>
        <w:left w:val="none" w:sz="0" w:space="0" w:color="auto"/>
        <w:bottom w:val="none" w:sz="0" w:space="0" w:color="auto"/>
        <w:right w:val="none" w:sz="0" w:space="0" w:color="auto"/>
      </w:divBdr>
    </w:div>
    <w:div w:id="641732752">
      <w:bodyDiv w:val="1"/>
      <w:marLeft w:val="0"/>
      <w:marRight w:val="0"/>
      <w:marTop w:val="0"/>
      <w:marBottom w:val="0"/>
      <w:divBdr>
        <w:top w:val="none" w:sz="0" w:space="0" w:color="auto"/>
        <w:left w:val="none" w:sz="0" w:space="0" w:color="auto"/>
        <w:bottom w:val="none" w:sz="0" w:space="0" w:color="auto"/>
        <w:right w:val="none" w:sz="0" w:space="0" w:color="auto"/>
      </w:divBdr>
    </w:div>
    <w:div w:id="646671982">
      <w:bodyDiv w:val="1"/>
      <w:marLeft w:val="0"/>
      <w:marRight w:val="0"/>
      <w:marTop w:val="0"/>
      <w:marBottom w:val="0"/>
      <w:divBdr>
        <w:top w:val="none" w:sz="0" w:space="0" w:color="auto"/>
        <w:left w:val="none" w:sz="0" w:space="0" w:color="auto"/>
        <w:bottom w:val="none" w:sz="0" w:space="0" w:color="auto"/>
        <w:right w:val="none" w:sz="0" w:space="0" w:color="auto"/>
      </w:divBdr>
    </w:div>
    <w:div w:id="659846328">
      <w:bodyDiv w:val="1"/>
      <w:marLeft w:val="0"/>
      <w:marRight w:val="0"/>
      <w:marTop w:val="0"/>
      <w:marBottom w:val="0"/>
      <w:divBdr>
        <w:top w:val="none" w:sz="0" w:space="0" w:color="auto"/>
        <w:left w:val="none" w:sz="0" w:space="0" w:color="auto"/>
        <w:bottom w:val="none" w:sz="0" w:space="0" w:color="auto"/>
        <w:right w:val="none" w:sz="0" w:space="0" w:color="auto"/>
      </w:divBdr>
    </w:div>
    <w:div w:id="663624498">
      <w:bodyDiv w:val="1"/>
      <w:marLeft w:val="0"/>
      <w:marRight w:val="0"/>
      <w:marTop w:val="0"/>
      <w:marBottom w:val="0"/>
      <w:divBdr>
        <w:top w:val="none" w:sz="0" w:space="0" w:color="auto"/>
        <w:left w:val="none" w:sz="0" w:space="0" w:color="auto"/>
        <w:bottom w:val="none" w:sz="0" w:space="0" w:color="auto"/>
        <w:right w:val="none" w:sz="0" w:space="0" w:color="auto"/>
      </w:divBdr>
    </w:div>
    <w:div w:id="663977589">
      <w:bodyDiv w:val="1"/>
      <w:marLeft w:val="0"/>
      <w:marRight w:val="0"/>
      <w:marTop w:val="0"/>
      <w:marBottom w:val="0"/>
      <w:divBdr>
        <w:top w:val="none" w:sz="0" w:space="0" w:color="auto"/>
        <w:left w:val="none" w:sz="0" w:space="0" w:color="auto"/>
        <w:bottom w:val="none" w:sz="0" w:space="0" w:color="auto"/>
        <w:right w:val="none" w:sz="0" w:space="0" w:color="auto"/>
      </w:divBdr>
    </w:div>
    <w:div w:id="675883855">
      <w:bodyDiv w:val="1"/>
      <w:marLeft w:val="0"/>
      <w:marRight w:val="0"/>
      <w:marTop w:val="0"/>
      <w:marBottom w:val="0"/>
      <w:divBdr>
        <w:top w:val="none" w:sz="0" w:space="0" w:color="auto"/>
        <w:left w:val="none" w:sz="0" w:space="0" w:color="auto"/>
        <w:bottom w:val="none" w:sz="0" w:space="0" w:color="auto"/>
        <w:right w:val="none" w:sz="0" w:space="0" w:color="auto"/>
      </w:divBdr>
    </w:div>
    <w:div w:id="689457341">
      <w:bodyDiv w:val="1"/>
      <w:marLeft w:val="0"/>
      <w:marRight w:val="0"/>
      <w:marTop w:val="0"/>
      <w:marBottom w:val="0"/>
      <w:divBdr>
        <w:top w:val="none" w:sz="0" w:space="0" w:color="auto"/>
        <w:left w:val="none" w:sz="0" w:space="0" w:color="auto"/>
        <w:bottom w:val="none" w:sz="0" w:space="0" w:color="auto"/>
        <w:right w:val="none" w:sz="0" w:space="0" w:color="auto"/>
      </w:divBdr>
    </w:div>
    <w:div w:id="701904560">
      <w:bodyDiv w:val="1"/>
      <w:marLeft w:val="0"/>
      <w:marRight w:val="0"/>
      <w:marTop w:val="0"/>
      <w:marBottom w:val="0"/>
      <w:divBdr>
        <w:top w:val="none" w:sz="0" w:space="0" w:color="auto"/>
        <w:left w:val="none" w:sz="0" w:space="0" w:color="auto"/>
        <w:bottom w:val="none" w:sz="0" w:space="0" w:color="auto"/>
        <w:right w:val="none" w:sz="0" w:space="0" w:color="auto"/>
      </w:divBdr>
      <w:divsChild>
        <w:div w:id="1109354538">
          <w:marLeft w:val="0"/>
          <w:marRight w:val="0"/>
          <w:marTop w:val="0"/>
          <w:marBottom w:val="0"/>
          <w:divBdr>
            <w:top w:val="none" w:sz="0" w:space="0" w:color="auto"/>
            <w:left w:val="none" w:sz="0" w:space="0" w:color="auto"/>
            <w:bottom w:val="none" w:sz="0" w:space="0" w:color="auto"/>
            <w:right w:val="none" w:sz="0" w:space="0" w:color="auto"/>
          </w:divBdr>
        </w:div>
        <w:div w:id="767428151">
          <w:marLeft w:val="0"/>
          <w:marRight w:val="0"/>
          <w:marTop w:val="0"/>
          <w:marBottom w:val="0"/>
          <w:divBdr>
            <w:top w:val="none" w:sz="0" w:space="0" w:color="auto"/>
            <w:left w:val="none" w:sz="0" w:space="0" w:color="auto"/>
            <w:bottom w:val="none" w:sz="0" w:space="0" w:color="auto"/>
            <w:right w:val="none" w:sz="0" w:space="0" w:color="auto"/>
          </w:divBdr>
        </w:div>
        <w:div w:id="1703047694">
          <w:marLeft w:val="0"/>
          <w:marRight w:val="0"/>
          <w:marTop w:val="0"/>
          <w:marBottom w:val="0"/>
          <w:divBdr>
            <w:top w:val="none" w:sz="0" w:space="0" w:color="auto"/>
            <w:left w:val="none" w:sz="0" w:space="0" w:color="auto"/>
            <w:bottom w:val="none" w:sz="0" w:space="0" w:color="auto"/>
            <w:right w:val="none" w:sz="0" w:space="0" w:color="auto"/>
          </w:divBdr>
        </w:div>
      </w:divsChild>
    </w:div>
    <w:div w:id="708577132">
      <w:bodyDiv w:val="1"/>
      <w:marLeft w:val="0"/>
      <w:marRight w:val="0"/>
      <w:marTop w:val="0"/>
      <w:marBottom w:val="0"/>
      <w:divBdr>
        <w:top w:val="none" w:sz="0" w:space="0" w:color="auto"/>
        <w:left w:val="none" w:sz="0" w:space="0" w:color="auto"/>
        <w:bottom w:val="none" w:sz="0" w:space="0" w:color="auto"/>
        <w:right w:val="none" w:sz="0" w:space="0" w:color="auto"/>
      </w:divBdr>
    </w:div>
    <w:div w:id="730353067">
      <w:bodyDiv w:val="1"/>
      <w:marLeft w:val="0"/>
      <w:marRight w:val="0"/>
      <w:marTop w:val="0"/>
      <w:marBottom w:val="0"/>
      <w:divBdr>
        <w:top w:val="none" w:sz="0" w:space="0" w:color="auto"/>
        <w:left w:val="none" w:sz="0" w:space="0" w:color="auto"/>
        <w:bottom w:val="none" w:sz="0" w:space="0" w:color="auto"/>
        <w:right w:val="none" w:sz="0" w:space="0" w:color="auto"/>
      </w:divBdr>
    </w:div>
    <w:div w:id="739600844">
      <w:bodyDiv w:val="1"/>
      <w:marLeft w:val="0"/>
      <w:marRight w:val="0"/>
      <w:marTop w:val="0"/>
      <w:marBottom w:val="0"/>
      <w:divBdr>
        <w:top w:val="none" w:sz="0" w:space="0" w:color="auto"/>
        <w:left w:val="none" w:sz="0" w:space="0" w:color="auto"/>
        <w:bottom w:val="none" w:sz="0" w:space="0" w:color="auto"/>
        <w:right w:val="none" w:sz="0" w:space="0" w:color="auto"/>
      </w:divBdr>
    </w:div>
    <w:div w:id="756439655">
      <w:bodyDiv w:val="1"/>
      <w:marLeft w:val="0"/>
      <w:marRight w:val="0"/>
      <w:marTop w:val="0"/>
      <w:marBottom w:val="0"/>
      <w:divBdr>
        <w:top w:val="none" w:sz="0" w:space="0" w:color="auto"/>
        <w:left w:val="none" w:sz="0" w:space="0" w:color="auto"/>
        <w:bottom w:val="none" w:sz="0" w:space="0" w:color="auto"/>
        <w:right w:val="none" w:sz="0" w:space="0" w:color="auto"/>
      </w:divBdr>
    </w:div>
    <w:div w:id="769740119">
      <w:bodyDiv w:val="1"/>
      <w:marLeft w:val="0"/>
      <w:marRight w:val="0"/>
      <w:marTop w:val="0"/>
      <w:marBottom w:val="0"/>
      <w:divBdr>
        <w:top w:val="none" w:sz="0" w:space="0" w:color="auto"/>
        <w:left w:val="none" w:sz="0" w:space="0" w:color="auto"/>
        <w:bottom w:val="none" w:sz="0" w:space="0" w:color="auto"/>
        <w:right w:val="none" w:sz="0" w:space="0" w:color="auto"/>
      </w:divBdr>
    </w:div>
    <w:div w:id="778570074">
      <w:bodyDiv w:val="1"/>
      <w:marLeft w:val="0"/>
      <w:marRight w:val="0"/>
      <w:marTop w:val="0"/>
      <w:marBottom w:val="0"/>
      <w:divBdr>
        <w:top w:val="none" w:sz="0" w:space="0" w:color="auto"/>
        <w:left w:val="none" w:sz="0" w:space="0" w:color="auto"/>
        <w:bottom w:val="none" w:sz="0" w:space="0" w:color="auto"/>
        <w:right w:val="none" w:sz="0" w:space="0" w:color="auto"/>
      </w:divBdr>
    </w:div>
    <w:div w:id="785125079">
      <w:bodyDiv w:val="1"/>
      <w:marLeft w:val="0"/>
      <w:marRight w:val="0"/>
      <w:marTop w:val="0"/>
      <w:marBottom w:val="0"/>
      <w:divBdr>
        <w:top w:val="none" w:sz="0" w:space="0" w:color="auto"/>
        <w:left w:val="none" w:sz="0" w:space="0" w:color="auto"/>
        <w:bottom w:val="none" w:sz="0" w:space="0" w:color="auto"/>
        <w:right w:val="none" w:sz="0" w:space="0" w:color="auto"/>
      </w:divBdr>
      <w:divsChild>
        <w:div w:id="292908335">
          <w:marLeft w:val="0"/>
          <w:marRight w:val="0"/>
          <w:marTop w:val="0"/>
          <w:marBottom w:val="0"/>
          <w:divBdr>
            <w:top w:val="none" w:sz="0" w:space="0" w:color="auto"/>
            <w:left w:val="none" w:sz="0" w:space="0" w:color="auto"/>
            <w:bottom w:val="none" w:sz="0" w:space="0" w:color="auto"/>
            <w:right w:val="none" w:sz="0" w:space="0" w:color="auto"/>
          </w:divBdr>
        </w:div>
        <w:div w:id="1374114799">
          <w:marLeft w:val="0"/>
          <w:marRight w:val="0"/>
          <w:marTop w:val="0"/>
          <w:marBottom w:val="0"/>
          <w:divBdr>
            <w:top w:val="none" w:sz="0" w:space="0" w:color="auto"/>
            <w:left w:val="none" w:sz="0" w:space="0" w:color="auto"/>
            <w:bottom w:val="none" w:sz="0" w:space="0" w:color="auto"/>
            <w:right w:val="none" w:sz="0" w:space="0" w:color="auto"/>
          </w:divBdr>
        </w:div>
        <w:div w:id="677272102">
          <w:marLeft w:val="0"/>
          <w:marRight w:val="0"/>
          <w:marTop w:val="0"/>
          <w:marBottom w:val="0"/>
          <w:divBdr>
            <w:top w:val="none" w:sz="0" w:space="0" w:color="auto"/>
            <w:left w:val="none" w:sz="0" w:space="0" w:color="auto"/>
            <w:bottom w:val="none" w:sz="0" w:space="0" w:color="auto"/>
            <w:right w:val="none" w:sz="0" w:space="0" w:color="auto"/>
          </w:divBdr>
        </w:div>
        <w:div w:id="192622599">
          <w:marLeft w:val="0"/>
          <w:marRight w:val="0"/>
          <w:marTop w:val="0"/>
          <w:marBottom w:val="0"/>
          <w:divBdr>
            <w:top w:val="none" w:sz="0" w:space="0" w:color="auto"/>
            <w:left w:val="none" w:sz="0" w:space="0" w:color="auto"/>
            <w:bottom w:val="none" w:sz="0" w:space="0" w:color="auto"/>
            <w:right w:val="none" w:sz="0" w:space="0" w:color="auto"/>
          </w:divBdr>
        </w:div>
        <w:div w:id="269167253">
          <w:marLeft w:val="0"/>
          <w:marRight w:val="0"/>
          <w:marTop w:val="0"/>
          <w:marBottom w:val="0"/>
          <w:divBdr>
            <w:top w:val="none" w:sz="0" w:space="0" w:color="auto"/>
            <w:left w:val="none" w:sz="0" w:space="0" w:color="auto"/>
            <w:bottom w:val="none" w:sz="0" w:space="0" w:color="auto"/>
            <w:right w:val="none" w:sz="0" w:space="0" w:color="auto"/>
          </w:divBdr>
        </w:div>
      </w:divsChild>
    </w:div>
    <w:div w:id="787700823">
      <w:bodyDiv w:val="1"/>
      <w:marLeft w:val="0"/>
      <w:marRight w:val="0"/>
      <w:marTop w:val="0"/>
      <w:marBottom w:val="0"/>
      <w:divBdr>
        <w:top w:val="none" w:sz="0" w:space="0" w:color="auto"/>
        <w:left w:val="none" w:sz="0" w:space="0" w:color="auto"/>
        <w:bottom w:val="none" w:sz="0" w:space="0" w:color="auto"/>
        <w:right w:val="none" w:sz="0" w:space="0" w:color="auto"/>
      </w:divBdr>
    </w:div>
    <w:div w:id="811097146">
      <w:bodyDiv w:val="1"/>
      <w:marLeft w:val="0"/>
      <w:marRight w:val="0"/>
      <w:marTop w:val="0"/>
      <w:marBottom w:val="0"/>
      <w:divBdr>
        <w:top w:val="none" w:sz="0" w:space="0" w:color="auto"/>
        <w:left w:val="none" w:sz="0" w:space="0" w:color="auto"/>
        <w:bottom w:val="none" w:sz="0" w:space="0" w:color="auto"/>
        <w:right w:val="none" w:sz="0" w:space="0" w:color="auto"/>
      </w:divBdr>
    </w:div>
    <w:div w:id="811558801">
      <w:bodyDiv w:val="1"/>
      <w:marLeft w:val="0"/>
      <w:marRight w:val="0"/>
      <w:marTop w:val="0"/>
      <w:marBottom w:val="0"/>
      <w:divBdr>
        <w:top w:val="none" w:sz="0" w:space="0" w:color="auto"/>
        <w:left w:val="none" w:sz="0" w:space="0" w:color="auto"/>
        <w:bottom w:val="none" w:sz="0" w:space="0" w:color="auto"/>
        <w:right w:val="none" w:sz="0" w:space="0" w:color="auto"/>
      </w:divBdr>
    </w:div>
    <w:div w:id="839194330">
      <w:bodyDiv w:val="1"/>
      <w:marLeft w:val="0"/>
      <w:marRight w:val="0"/>
      <w:marTop w:val="0"/>
      <w:marBottom w:val="0"/>
      <w:divBdr>
        <w:top w:val="none" w:sz="0" w:space="0" w:color="auto"/>
        <w:left w:val="none" w:sz="0" w:space="0" w:color="auto"/>
        <w:bottom w:val="none" w:sz="0" w:space="0" w:color="auto"/>
        <w:right w:val="none" w:sz="0" w:space="0" w:color="auto"/>
      </w:divBdr>
    </w:div>
    <w:div w:id="850724349">
      <w:bodyDiv w:val="1"/>
      <w:marLeft w:val="0"/>
      <w:marRight w:val="0"/>
      <w:marTop w:val="0"/>
      <w:marBottom w:val="0"/>
      <w:divBdr>
        <w:top w:val="none" w:sz="0" w:space="0" w:color="auto"/>
        <w:left w:val="none" w:sz="0" w:space="0" w:color="auto"/>
        <w:bottom w:val="none" w:sz="0" w:space="0" w:color="auto"/>
        <w:right w:val="none" w:sz="0" w:space="0" w:color="auto"/>
      </w:divBdr>
    </w:div>
    <w:div w:id="860123138">
      <w:bodyDiv w:val="1"/>
      <w:marLeft w:val="0"/>
      <w:marRight w:val="0"/>
      <w:marTop w:val="0"/>
      <w:marBottom w:val="0"/>
      <w:divBdr>
        <w:top w:val="none" w:sz="0" w:space="0" w:color="auto"/>
        <w:left w:val="none" w:sz="0" w:space="0" w:color="auto"/>
        <w:bottom w:val="none" w:sz="0" w:space="0" w:color="auto"/>
        <w:right w:val="none" w:sz="0" w:space="0" w:color="auto"/>
      </w:divBdr>
    </w:div>
    <w:div w:id="876435619">
      <w:bodyDiv w:val="1"/>
      <w:marLeft w:val="0"/>
      <w:marRight w:val="0"/>
      <w:marTop w:val="0"/>
      <w:marBottom w:val="0"/>
      <w:divBdr>
        <w:top w:val="none" w:sz="0" w:space="0" w:color="auto"/>
        <w:left w:val="none" w:sz="0" w:space="0" w:color="auto"/>
        <w:bottom w:val="none" w:sz="0" w:space="0" w:color="auto"/>
        <w:right w:val="none" w:sz="0" w:space="0" w:color="auto"/>
      </w:divBdr>
      <w:divsChild>
        <w:div w:id="1983578361">
          <w:marLeft w:val="0"/>
          <w:marRight w:val="0"/>
          <w:marTop w:val="0"/>
          <w:marBottom w:val="0"/>
          <w:divBdr>
            <w:top w:val="none" w:sz="0" w:space="0" w:color="auto"/>
            <w:left w:val="none" w:sz="0" w:space="0" w:color="auto"/>
            <w:bottom w:val="none" w:sz="0" w:space="0" w:color="auto"/>
            <w:right w:val="none" w:sz="0" w:space="0" w:color="auto"/>
          </w:divBdr>
        </w:div>
        <w:div w:id="1305625284">
          <w:marLeft w:val="0"/>
          <w:marRight w:val="0"/>
          <w:marTop w:val="0"/>
          <w:marBottom w:val="0"/>
          <w:divBdr>
            <w:top w:val="none" w:sz="0" w:space="0" w:color="auto"/>
            <w:left w:val="none" w:sz="0" w:space="0" w:color="auto"/>
            <w:bottom w:val="none" w:sz="0" w:space="0" w:color="auto"/>
            <w:right w:val="none" w:sz="0" w:space="0" w:color="auto"/>
          </w:divBdr>
        </w:div>
        <w:div w:id="110906569">
          <w:marLeft w:val="0"/>
          <w:marRight w:val="0"/>
          <w:marTop w:val="0"/>
          <w:marBottom w:val="0"/>
          <w:divBdr>
            <w:top w:val="none" w:sz="0" w:space="0" w:color="auto"/>
            <w:left w:val="none" w:sz="0" w:space="0" w:color="auto"/>
            <w:bottom w:val="none" w:sz="0" w:space="0" w:color="auto"/>
            <w:right w:val="none" w:sz="0" w:space="0" w:color="auto"/>
          </w:divBdr>
        </w:div>
        <w:div w:id="1417173496">
          <w:marLeft w:val="0"/>
          <w:marRight w:val="0"/>
          <w:marTop w:val="0"/>
          <w:marBottom w:val="0"/>
          <w:divBdr>
            <w:top w:val="none" w:sz="0" w:space="0" w:color="auto"/>
            <w:left w:val="none" w:sz="0" w:space="0" w:color="auto"/>
            <w:bottom w:val="none" w:sz="0" w:space="0" w:color="auto"/>
            <w:right w:val="none" w:sz="0" w:space="0" w:color="auto"/>
          </w:divBdr>
        </w:div>
        <w:div w:id="790590040">
          <w:marLeft w:val="0"/>
          <w:marRight w:val="0"/>
          <w:marTop w:val="0"/>
          <w:marBottom w:val="0"/>
          <w:divBdr>
            <w:top w:val="none" w:sz="0" w:space="0" w:color="auto"/>
            <w:left w:val="none" w:sz="0" w:space="0" w:color="auto"/>
            <w:bottom w:val="none" w:sz="0" w:space="0" w:color="auto"/>
            <w:right w:val="none" w:sz="0" w:space="0" w:color="auto"/>
          </w:divBdr>
        </w:div>
        <w:div w:id="1209226118">
          <w:marLeft w:val="0"/>
          <w:marRight w:val="0"/>
          <w:marTop w:val="0"/>
          <w:marBottom w:val="0"/>
          <w:divBdr>
            <w:top w:val="none" w:sz="0" w:space="0" w:color="auto"/>
            <w:left w:val="none" w:sz="0" w:space="0" w:color="auto"/>
            <w:bottom w:val="none" w:sz="0" w:space="0" w:color="auto"/>
            <w:right w:val="none" w:sz="0" w:space="0" w:color="auto"/>
          </w:divBdr>
        </w:div>
        <w:div w:id="1669407118">
          <w:marLeft w:val="0"/>
          <w:marRight w:val="0"/>
          <w:marTop w:val="0"/>
          <w:marBottom w:val="0"/>
          <w:divBdr>
            <w:top w:val="none" w:sz="0" w:space="0" w:color="auto"/>
            <w:left w:val="none" w:sz="0" w:space="0" w:color="auto"/>
            <w:bottom w:val="none" w:sz="0" w:space="0" w:color="auto"/>
            <w:right w:val="none" w:sz="0" w:space="0" w:color="auto"/>
          </w:divBdr>
        </w:div>
        <w:div w:id="1665546252">
          <w:marLeft w:val="0"/>
          <w:marRight w:val="0"/>
          <w:marTop w:val="0"/>
          <w:marBottom w:val="0"/>
          <w:divBdr>
            <w:top w:val="none" w:sz="0" w:space="0" w:color="auto"/>
            <w:left w:val="none" w:sz="0" w:space="0" w:color="auto"/>
            <w:bottom w:val="none" w:sz="0" w:space="0" w:color="auto"/>
            <w:right w:val="none" w:sz="0" w:space="0" w:color="auto"/>
          </w:divBdr>
        </w:div>
        <w:div w:id="910114704">
          <w:marLeft w:val="0"/>
          <w:marRight w:val="0"/>
          <w:marTop w:val="0"/>
          <w:marBottom w:val="0"/>
          <w:divBdr>
            <w:top w:val="none" w:sz="0" w:space="0" w:color="auto"/>
            <w:left w:val="none" w:sz="0" w:space="0" w:color="auto"/>
            <w:bottom w:val="none" w:sz="0" w:space="0" w:color="auto"/>
            <w:right w:val="none" w:sz="0" w:space="0" w:color="auto"/>
          </w:divBdr>
        </w:div>
        <w:div w:id="597637142">
          <w:marLeft w:val="0"/>
          <w:marRight w:val="0"/>
          <w:marTop w:val="0"/>
          <w:marBottom w:val="0"/>
          <w:divBdr>
            <w:top w:val="none" w:sz="0" w:space="0" w:color="auto"/>
            <w:left w:val="none" w:sz="0" w:space="0" w:color="auto"/>
            <w:bottom w:val="none" w:sz="0" w:space="0" w:color="auto"/>
            <w:right w:val="none" w:sz="0" w:space="0" w:color="auto"/>
          </w:divBdr>
        </w:div>
      </w:divsChild>
    </w:div>
    <w:div w:id="876964443">
      <w:bodyDiv w:val="1"/>
      <w:marLeft w:val="0"/>
      <w:marRight w:val="0"/>
      <w:marTop w:val="0"/>
      <w:marBottom w:val="0"/>
      <w:divBdr>
        <w:top w:val="none" w:sz="0" w:space="0" w:color="auto"/>
        <w:left w:val="none" w:sz="0" w:space="0" w:color="auto"/>
        <w:bottom w:val="none" w:sz="0" w:space="0" w:color="auto"/>
        <w:right w:val="none" w:sz="0" w:space="0" w:color="auto"/>
      </w:divBdr>
    </w:div>
    <w:div w:id="901135755">
      <w:bodyDiv w:val="1"/>
      <w:marLeft w:val="0"/>
      <w:marRight w:val="0"/>
      <w:marTop w:val="0"/>
      <w:marBottom w:val="0"/>
      <w:divBdr>
        <w:top w:val="none" w:sz="0" w:space="0" w:color="auto"/>
        <w:left w:val="none" w:sz="0" w:space="0" w:color="auto"/>
        <w:bottom w:val="none" w:sz="0" w:space="0" w:color="auto"/>
        <w:right w:val="none" w:sz="0" w:space="0" w:color="auto"/>
      </w:divBdr>
    </w:div>
    <w:div w:id="901864675">
      <w:bodyDiv w:val="1"/>
      <w:marLeft w:val="0"/>
      <w:marRight w:val="0"/>
      <w:marTop w:val="0"/>
      <w:marBottom w:val="0"/>
      <w:divBdr>
        <w:top w:val="none" w:sz="0" w:space="0" w:color="auto"/>
        <w:left w:val="none" w:sz="0" w:space="0" w:color="auto"/>
        <w:bottom w:val="none" w:sz="0" w:space="0" w:color="auto"/>
        <w:right w:val="none" w:sz="0" w:space="0" w:color="auto"/>
      </w:divBdr>
    </w:div>
    <w:div w:id="906305415">
      <w:bodyDiv w:val="1"/>
      <w:marLeft w:val="0"/>
      <w:marRight w:val="0"/>
      <w:marTop w:val="0"/>
      <w:marBottom w:val="0"/>
      <w:divBdr>
        <w:top w:val="none" w:sz="0" w:space="0" w:color="auto"/>
        <w:left w:val="none" w:sz="0" w:space="0" w:color="auto"/>
        <w:bottom w:val="none" w:sz="0" w:space="0" w:color="auto"/>
        <w:right w:val="none" w:sz="0" w:space="0" w:color="auto"/>
      </w:divBdr>
    </w:div>
    <w:div w:id="913590196">
      <w:bodyDiv w:val="1"/>
      <w:marLeft w:val="0"/>
      <w:marRight w:val="0"/>
      <w:marTop w:val="0"/>
      <w:marBottom w:val="0"/>
      <w:divBdr>
        <w:top w:val="none" w:sz="0" w:space="0" w:color="auto"/>
        <w:left w:val="none" w:sz="0" w:space="0" w:color="auto"/>
        <w:bottom w:val="none" w:sz="0" w:space="0" w:color="auto"/>
        <w:right w:val="none" w:sz="0" w:space="0" w:color="auto"/>
      </w:divBdr>
      <w:divsChild>
        <w:div w:id="476610484">
          <w:marLeft w:val="0"/>
          <w:marRight w:val="0"/>
          <w:marTop w:val="0"/>
          <w:marBottom w:val="0"/>
          <w:divBdr>
            <w:top w:val="none" w:sz="0" w:space="0" w:color="auto"/>
            <w:left w:val="none" w:sz="0" w:space="0" w:color="auto"/>
            <w:bottom w:val="none" w:sz="0" w:space="0" w:color="auto"/>
            <w:right w:val="none" w:sz="0" w:space="0" w:color="auto"/>
          </w:divBdr>
        </w:div>
        <w:div w:id="1115364582">
          <w:marLeft w:val="0"/>
          <w:marRight w:val="0"/>
          <w:marTop w:val="0"/>
          <w:marBottom w:val="0"/>
          <w:divBdr>
            <w:top w:val="none" w:sz="0" w:space="0" w:color="auto"/>
            <w:left w:val="none" w:sz="0" w:space="0" w:color="auto"/>
            <w:bottom w:val="none" w:sz="0" w:space="0" w:color="auto"/>
            <w:right w:val="none" w:sz="0" w:space="0" w:color="auto"/>
          </w:divBdr>
        </w:div>
        <w:div w:id="1013993546">
          <w:marLeft w:val="0"/>
          <w:marRight w:val="0"/>
          <w:marTop w:val="0"/>
          <w:marBottom w:val="0"/>
          <w:divBdr>
            <w:top w:val="none" w:sz="0" w:space="0" w:color="auto"/>
            <w:left w:val="none" w:sz="0" w:space="0" w:color="auto"/>
            <w:bottom w:val="none" w:sz="0" w:space="0" w:color="auto"/>
            <w:right w:val="none" w:sz="0" w:space="0" w:color="auto"/>
          </w:divBdr>
        </w:div>
      </w:divsChild>
    </w:div>
    <w:div w:id="919216349">
      <w:bodyDiv w:val="1"/>
      <w:marLeft w:val="0"/>
      <w:marRight w:val="0"/>
      <w:marTop w:val="0"/>
      <w:marBottom w:val="0"/>
      <w:divBdr>
        <w:top w:val="none" w:sz="0" w:space="0" w:color="auto"/>
        <w:left w:val="none" w:sz="0" w:space="0" w:color="auto"/>
        <w:bottom w:val="none" w:sz="0" w:space="0" w:color="auto"/>
        <w:right w:val="none" w:sz="0" w:space="0" w:color="auto"/>
      </w:divBdr>
    </w:div>
    <w:div w:id="921715316">
      <w:bodyDiv w:val="1"/>
      <w:marLeft w:val="0"/>
      <w:marRight w:val="0"/>
      <w:marTop w:val="0"/>
      <w:marBottom w:val="0"/>
      <w:divBdr>
        <w:top w:val="none" w:sz="0" w:space="0" w:color="auto"/>
        <w:left w:val="none" w:sz="0" w:space="0" w:color="auto"/>
        <w:bottom w:val="none" w:sz="0" w:space="0" w:color="auto"/>
        <w:right w:val="none" w:sz="0" w:space="0" w:color="auto"/>
      </w:divBdr>
    </w:div>
    <w:div w:id="921917909">
      <w:bodyDiv w:val="1"/>
      <w:marLeft w:val="0"/>
      <w:marRight w:val="0"/>
      <w:marTop w:val="0"/>
      <w:marBottom w:val="0"/>
      <w:divBdr>
        <w:top w:val="none" w:sz="0" w:space="0" w:color="auto"/>
        <w:left w:val="none" w:sz="0" w:space="0" w:color="auto"/>
        <w:bottom w:val="none" w:sz="0" w:space="0" w:color="auto"/>
        <w:right w:val="none" w:sz="0" w:space="0" w:color="auto"/>
      </w:divBdr>
    </w:div>
    <w:div w:id="948509688">
      <w:bodyDiv w:val="1"/>
      <w:marLeft w:val="0"/>
      <w:marRight w:val="0"/>
      <w:marTop w:val="0"/>
      <w:marBottom w:val="0"/>
      <w:divBdr>
        <w:top w:val="none" w:sz="0" w:space="0" w:color="auto"/>
        <w:left w:val="none" w:sz="0" w:space="0" w:color="auto"/>
        <w:bottom w:val="none" w:sz="0" w:space="0" w:color="auto"/>
        <w:right w:val="none" w:sz="0" w:space="0" w:color="auto"/>
      </w:divBdr>
    </w:div>
    <w:div w:id="958335281">
      <w:bodyDiv w:val="1"/>
      <w:marLeft w:val="0"/>
      <w:marRight w:val="0"/>
      <w:marTop w:val="0"/>
      <w:marBottom w:val="0"/>
      <w:divBdr>
        <w:top w:val="none" w:sz="0" w:space="0" w:color="auto"/>
        <w:left w:val="none" w:sz="0" w:space="0" w:color="auto"/>
        <w:bottom w:val="none" w:sz="0" w:space="0" w:color="auto"/>
        <w:right w:val="none" w:sz="0" w:space="0" w:color="auto"/>
      </w:divBdr>
    </w:div>
    <w:div w:id="960109288">
      <w:bodyDiv w:val="1"/>
      <w:marLeft w:val="0"/>
      <w:marRight w:val="0"/>
      <w:marTop w:val="0"/>
      <w:marBottom w:val="0"/>
      <w:divBdr>
        <w:top w:val="none" w:sz="0" w:space="0" w:color="auto"/>
        <w:left w:val="none" w:sz="0" w:space="0" w:color="auto"/>
        <w:bottom w:val="none" w:sz="0" w:space="0" w:color="auto"/>
        <w:right w:val="none" w:sz="0" w:space="0" w:color="auto"/>
      </w:divBdr>
    </w:div>
    <w:div w:id="967467077">
      <w:bodyDiv w:val="1"/>
      <w:marLeft w:val="0"/>
      <w:marRight w:val="0"/>
      <w:marTop w:val="0"/>
      <w:marBottom w:val="0"/>
      <w:divBdr>
        <w:top w:val="none" w:sz="0" w:space="0" w:color="auto"/>
        <w:left w:val="none" w:sz="0" w:space="0" w:color="auto"/>
        <w:bottom w:val="none" w:sz="0" w:space="0" w:color="auto"/>
        <w:right w:val="none" w:sz="0" w:space="0" w:color="auto"/>
      </w:divBdr>
    </w:div>
    <w:div w:id="975913802">
      <w:bodyDiv w:val="1"/>
      <w:marLeft w:val="0"/>
      <w:marRight w:val="0"/>
      <w:marTop w:val="0"/>
      <w:marBottom w:val="0"/>
      <w:divBdr>
        <w:top w:val="none" w:sz="0" w:space="0" w:color="auto"/>
        <w:left w:val="none" w:sz="0" w:space="0" w:color="auto"/>
        <w:bottom w:val="none" w:sz="0" w:space="0" w:color="auto"/>
        <w:right w:val="none" w:sz="0" w:space="0" w:color="auto"/>
      </w:divBdr>
    </w:div>
    <w:div w:id="976375917">
      <w:bodyDiv w:val="1"/>
      <w:marLeft w:val="0"/>
      <w:marRight w:val="0"/>
      <w:marTop w:val="0"/>
      <w:marBottom w:val="0"/>
      <w:divBdr>
        <w:top w:val="none" w:sz="0" w:space="0" w:color="auto"/>
        <w:left w:val="none" w:sz="0" w:space="0" w:color="auto"/>
        <w:bottom w:val="none" w:sz="0" w:space="0" w:color="auto"/>
        <w:right w:val="none" w:sz="0" w:space="0" w:color="auto"/>
      </w:divBdr>
    </w:div>
    <w:div w:id="978731663">
      <w:bodyDiv w:val="1"/>
      <w:marLeft w:val="0"/>
      <w:marRight w:val="0"/>
      <w:marTop w:val="0"/>
      <w:marBottom w:val="0"/>
      <w:divBdr>
        <w:top w:val="none" w:sz="0" w:space="0" w:color="auto"/>
        <w:left w:val="none" w:sz="0" w:space="0" w:color="auto"/>
        <w:bottom w:val="none" w:sz="0" w:space="0" w:color="auto"/>
        <w:right w:val="none" w:sz="0" w:space="0" w:color="auto"/>
      </w:divBdr>
    </w:div>
    <w:div w:id="981887181">
      <w:bodyDiv w:val="1"/>
      <w:marLeft w:val="0"/>
      <w:marRight w:val="0"/>
      <w:marTop w:val="0"/>
      <w:marBottom w:val="0"/>
      <w:divBdr>
        <w:top w:val="none" w:sz="0" w:space="0" w:color="auto"/>
        <w:left w:val="none" w:sz="0" w:space="0" w:color="auto"/>
        <w:bottom w:val="none" w:sz="0" w:space="0" w:color="auto"/>
        <w:right w:val="none" w:sz="0" w:space="0" w:color="auto"/>
      </w:divBdr>
    </w:div>
    <w:div w:id="986787697">
      <w:bodyDiv w:val="1"/>
      <w:marLeft w:val="0"/>
      <w:marRight w:val="0"/>
      <w:marTop w:val="0"/>
      <w:marBottom w:val="0"/>
      <w:divBdr>
        <w:top w:val="none" w:sz="0" w:space="0" w:color="auto"/>
        <w:left w:val="none" w:sz="0" w:space="0" w:color="auto"/>
        <w:bottom w:val="none" w:sz="0" w:space="0" w:color="auto"/>
        <w:right w:val="none" w:sz="0" w:space="0" w:color="auto"/>
      </w:divBdr>
    </w:div>
    <w:div w:id="992367890">
      <w:bodyDiv w:val="1"/>
      <w:marLeft w:val="0"/>
      <w:marRight w:val="0"/>
      <w:marTop w:val="0"/>
      <w:marBottom w:val="0"/>
      <w:divBdr>
        <w:top w:val="none" w:sz="0" w:space="0" w:color="auto"/>
        <w:left w:val="none" w:sz="0" w:space="0" w:color="auto"/>
        <w:bottom w:val="none" w:sz="0" w:space="0" w:color="auto"/>
        <w:right w:val="none" w:sz="0" w:space="0" w:color="auto"/>
      </w:divBdr>
    </w:div>
    <w:div w:id="1002901203">
      <w:bodyDiv w:val="1"/>
      <w:marLeft w:val="0"/>
      <w:marRight w:val="0"/>
      <w:marTop w:val="0"/>
      <w:marBottom w:val="0"/>
      <w:divBdr>
        <w:top w:val="none" w:sz="0" w:space="0" w:color="auto"/>
        <w:left w:val="none" w:sz="0" w:space="0" w:color="auto"/>
        <w:bottom w:val="none" w:sz="0" w:space="0" w:color="auto"/>
        <w:right w:val="none" w:sz="0" w:space="0" w:color="auto"/>
      </w:divBdr>
    </w:div>
    <w:div w:id="1006593173">
      <w:bodyDiv w:val="1"/>
      <w:marLeft w:val="0"/>
      <w:marRight w:val="0"/>
      <w:marTop w:val="0"/>
      <w:marBottom w:val="0"/>
      <w:divBdr>
        <w:top w:val="none" w:sz="0" w:space="0" w:color="auto"/>
        <w:left w:val="none" w:sz="0" w:space="0" w:color="auto"/>
        <w:bottom w:val="none" w:sz="0" w:space="0" w:color="auto"/>
        <w:right w:val="none" w:sz="0" w:space="0" w:color="auto"/>
      </w:divBdr>
      <w:divsChild>
        <w:div w:id="1267956076">
          <w:marLeft w:val="547"/>
          <w:marRight w:val="0"/>
          <w:marTop w:val="0"/>
          <w:marBottom w:val="0"/>
          <w:divBdr>
            <w:top w:val="none" w:sz="0" w:space="0" w:color="auto"/>
            <w:left w:val="none" w:sz="0" w:space="0" w:color="auto"/>
            <w:bottom w:val="none" w:sz="0" w:space="0" w:color="auto"/>
            <w:right w:val="none" w:sz="0" w:space="0" w:color="auto"/>
          </w:divBdr>
        </w:div>
        <w:div w:id="549340169">
          <w:marLeft w:val="547"/>
          <w:marRight w:val="0"/>
          <w:marTop w:val="0"/>
          <w:marBottom w:val="0"/>
          <w:divBdr>
            <w:top w:val="none" w:sz="0" w:space="0" w:color="auto"/>
            <w:left w:val="none" w:sz="0" w:space="0" w:color="auto"/>
            <w:bottom w:val="none" w:sz="0" w:space="0" w:color="auto"/>
            <w:right w:val="none" w:sz="0" w:space="0" w:color="auto"/>
          </w:divBdr>
        </w:div>
      </w:divsChild>
    </w:div>
    <w:div w:id="1015619774">
      <w:bodyDiv w:val="1"/>
      <w:marLeft w:val="0"/>
      <w:marRight w:val="0"/>
      <w:marTop w:val="0"/>
      <w:marBottom w:val="0"/>
      <w:divBdr>
        <w:top w:val="none" w:sz="0" w:space="0" w:color="auto"/>
        <w:left w:val="none" w:sz="0" w:space="0" w:color="auto"/>
        <w:bottom w:val="none" w:sz="0" w:space="0" w:color="auto"/>
        <w:right w:val="none" w:sz="0" w:space="0" w:color="auto"/>
      </w:divBdr>
    </w:div>
    <w:div w:id="1015808637">
      <w:bodyDiv w:val="1"/>
      <w:marLeft w:val="0"/>
      <w:marRight w:val="0"/>
      <w:marTop w:val="0"/>
      <w:marBottom w:val="0"/>
      <w:divBdr>
        <w:top w:val="none" w:sz="0" w:space="0" w:color="auto"/>
        <w:left w:val="none" w:sz="0" w:space="0" w:color="auto"/>
        <w:bottom w:val="none" w:sz="0" w:space="0" w:color="auto"/>
        <w:right w:val="none" w:sz="0" w:space="0" w:color="auto"/>
      </w:divBdr>
    </w:div>
    <w:div w:id="1028409874">
      <w:bodyDiv w:val="1"/>
      <w:marLeft w:val="0"/>
      <w:marRight w:val="0"/>
      <w:marTop w:val="0"/>
      <w:marBottom w:val="0"/>
      <w:divBdr>
        <w:top w:val="none" w:sz="0" w:space="0" w:color="auto"/>
        <w:left w:val="none" w:sz="0" w:space="0" w:color="auto"/>
        <w:bottom w:val="none" w:sz="0" w:space="0" w:color="auto"/>
        <w:right w:val="none" w:sz="0" w:space="0" w:color="auto"/>
      </w:divBdr>
      <w:divsChild>
        <w:div w:id="1620990574">
          <w:marLeft w:val="547"/>
          <w:marRight w:val="0"/>
          <w:marTop w:val="0"/>
          <w:marBottom w:val="0"/>
          <w:divBdr>
            <w:top w:val="none" w:sz="0" w:space="0" w:color="auto"/>
            <w:left w:val="none" w:sz="0" w:space="0" w:color="auto"/>
            <w:bottom w:val="none" w:sz="0" w:space="0" w:color="auto"/>
            <w:right w:val="none" w:sz="0" w:space="0" w:color="auto"/>
          </w:divBdr>
        </w:div>
        <w:div w:id="1417749595">
          <w:marLeft w:val="547"/>
          <w:marRight w:val="0"/>
          <w:marTop w:val="0"/>
          <w:marBottom w:val="0"/>
          <w:divBdr>
            <w:top w:val="none" w:sz="0" w:space="0" w:color="auto"/>
            <w:left w:val="none" w:sz="0" w:space="0" w:color="auto"/>
            <w:bottom w:val="none" w:sz="0" w:space="0" w:color="auto"/>
            <w:right w:val="none" w:sz="0" w:space="0" w:color="auto"/>
          </w:divBdr>
        </w:div>
        <w:div w:id="81730497">
          <w:marLeft w:val="547"/>
          <w:marRight w:val="0"/>
          <w:marTop w:val="0"/>
          <w:marBottom w:val="0"/>
          <w:divBdr>
            <w:top w:val="none" w:sz="0" w:space="0" w:color="auto"/>
            <w:left w:val="none" w:sz="0" w:space="0" w:color="auto"/>
            <w:bottom w:val="none" w:sz="0" w:space="0" w:color="auto"/>
            <w:right w:val="none" w:sz="0" w:space="0" w:color="auto"/>
          </w:divBdr>
        </w:div>
      </w:divsChild>
    </w:div>
    <w:div w:id="1032923039">
      <w:bodyDiv w:val="1"/>
      <w:marLeft w:val="0"/>
      <w:marRight w:val="0"/>
      <w:marTop w:val="0"/>
      <w:marBottom w:val="0"/>
      <w:divBdr>
        <w:top w:val="none" w:sz="0" w:space="0" w:color="auto"/>
        <w:left w:val="none" w:sz="0" w:space="0" w:color="auto"/>
        <w:bottom w:val="none" w:sz="0" w:space="0" w:color="auto"/>
        <w:right w:val="none" w:sz="0" w:space="0" w:color="auto"/>
      </w:divBdr>
    </w:div>
    <w:div w:id="1037002459">
      <w:bodyDiv w:val="1"/>
      <w:marLeft w:val="0"/>
      <w:marRight w:val="0"/>
      <w:marTop w:val="0"/>
      <w:marBottom w:val="0"/>
      <w:divBdr>
        <w:top w:val="none" w:sz="0" w:space="0" w:color="auto"/>
        <w:left w:val="none" w:sz="0" w:space="0" w:color="auto"/>
        <w:bottom w:val="none" w:sz="0" w:space="0" w:color="auto"/>
        <w:right w:val="none" w:sz="0" w:space="0" w:color="auto"/>
      </w:divBdr>
    </w:div>
    <w:div w:id="1054431049">
      <w:bodyDiv w:val="1"/>
      <w:marLeft w:val="0"/>
      <w:marRight w:val="0"/>
      <w:marTop w:val="0"/>
      <w:marBottom w:val="0"/>
      <w:divBdr>
        <w:top w:val="none" w:sz="0" w:space="0" w:color="auto"/>
        <w:left w:val="none" w:sz="0" w:space="0" w:color="auto"/>
        <w:bottom w:val="none" w:sz="0" w:space="0" w:color="auto"/>
        <w:right w:val="none" w:sz="0" w:space="0" w:color="auto"/>
      </w:divBdr>
    </w:div>
    <w:div w:id="1084568003">
      <w:bodyDiv w:val="1"/>
      <w:marLeft w:val="0"/>
      <w:marRight w:val="0"/>
      <w:marTop w:val="0"/>
      <w:marBottom w:val="0"/>
      <w:divBdr>
        <w:top w:val="none" w:sz="0" w:space="0" w:color="auto"/>
        <w:left w:val="none" w:sz="0" w:space="0" w:color="auto"/>
        <w:bottom w:val="none" w:sz="0" w:space="0" w:color="auto"/>
        <w:right w:val="none" w:sz="0" w:space="0" w:color="auto"/>
      </w:divBdr>
    </w:div>
    <w:div w:id="1087581460">
      <w:bodyDiv w:val="1"/>
      <w:marLeft w:val="0"/>
      <w:marRight w:val="0"/>
      <w:marTop w:val="0"/>
      <w:marBottom w:val="0"/>
      <w:divBdr>
        <w:top w:val="none" w:sz="0" w:space="0" w:color="auto"/>
        <w:left w:val="none" w:sz="0" w:space="0" w:color="auto"/>
        <w:bottom w:val="none" w:sz="0" w:space="0" w:color="auto"/>
        <w:right w:val="none" w:sz="0" w:space="0" w:color="auto"/>
      </w:divBdr>
    </w:div>
    <w:div w:id="1090001732">
      <w:bodyDiv w:val="1"/>
      <w:marLeft w:val="0"/>
      <w:marRight w:val="0"/>
      <w:marTop w:val="0"/>
      <w:marBottom w:val="0"/>
      <w:divBdr>
        <w:top w:val="none" w:sz="0" w:space="0" w:color="auto"/>
        <w:left w:val="none" w:sz="0" w:space="0" w:color="auto"/>
        <w:bottom w:val="none" w:sz="0" w:space="0" w:color="auto"/>
        <w:right w:val="none" w:sz="0" w:space="0" w:color="auto"/>
      </w:divBdr>
    </w:div>
    <w:div w:id="1094939878">
      <w:bodyDiv w:val="1"/>
      <w:marLeft w:val="0"/>
      <w:marRight w:val="0"/>
      <w:marTop w:val="0"/>
      <w:marBottom w:val="0"/>
      <w:divBdr>
        <w:top w:val="none" w:sz="0" w:space="0" w:color="auto"/>
        <w:left w:val="none" w:sz="0" w:space="0" w:color="auto"/>
        <w:bottom w:val="none" w:sz="0" w:space="0" w:color="auto"/>
        <w:right w:val="none" w:sz="0" w:space="0" w:color="auto"/>
      </w:divBdr>
    </w:div>
    <w:div w:id="1098141205">
      <w:bodyDiv w:val="1"/>
      <w:marLeft w:val="0"/>
      <w:marRight w:val="0"/>
      <w:marTop w:val="0"/>
      <w:marBottom w:val="0"/>
      <w:divBdr>
        <w:top w:val="none" w:sz="0" w:space="0" w:color="auto"/>
        <w:left w:val="none" w:sz="0" w:space="0" w:color="auto"/>
        <w:bottom w:val="none" w:sz="0" w:space="0" w:color="auto"/>
        <w:right w:val="none" w:sz="0" w:space="0" w:color="auto"/>
      </w:divBdr>
    </w:div>
    <w:div w:id="1099065864">
      <w:bodyDiv w:val="1"/>
      <w:marLeft w:val="0"/>
      <w:marRight w:val="0"/>
      <w:marTop w:val="0"/>
      <w:marBottom w:val="0"/>
      <w:divBdr>
        <w:top w:val="none" w:sz="0" w:space="0" w:color="auto"/>
        <w:left w:val="none" w:sz="0" w:space="0" w:color="auto"/>
        <w:bottom w:val="none" w:sz="0" w:space="0" w:color="auto"/>
        <w:right w:val="none" w:sz="0" w:space="0" w:color="auto"/>
      </w:divBdr>
    </w:div>
    <w:div w:id="1103526702">
      <w:bodyDiv w:val="1"/>
      <w:marLeft w:val="0"/>
      <w:marRight w:val="0"/>
      <w:marTop w:val="0"/>
      <w:marBottom w:val="0"/>
      <w:divBdr>
        <w:top w:val="none" w:sz="0" w:space="0" w:color="auto"/>
        <w:left w:val="none" w:sz="0" w:space="0" w:color="auto"/>
        <w:bottom w:val="none" w:sz="0" w:space="0" w:color="auto"/>
        <w:right w:val="none" w:sz="0" w:space="0" w:color="auto"/>
      </w:divBdr>
    </w:div>
    <w:div w:id="1104961973">
      <w:bodyDiv w:val="1"/>
      <w:marLeft w:val="0"/>
      <w:marRight w:val="0"/>
      <w:marTop w:val="0"/>
      <w:marBottom w:val="0"/>
      <w:divBdr>
        <w:top w:val="none" w:sz="0" w:space="0" w:color="auto"/>
        <w:left w:val="none" w:sz="0" w:space="0" w:color="auto"/>
        <w:bottom w:val="none" w:sz="0" w:space="0" w:color="auto"/>
        <w:right w:val="none" w:sz="0" w:space="0" w:color="auto"/>
      </w:divBdr>
      <w:divsChild>
        <w:div w:id="119882144">
          <w:marLeft w:val="547"/>
          <w:marRight w:val="0"/>
          <w:marTop w:val="0"/>
          <w:marBottom w:val="0"/>
          <w:divBdr>
            <w:top w:val="none" w:sz="0" w:space="0" w:color="auto"/>
            <w:left w:val="none" w:sz="0" w:space="0" w:color="auto"/>
            <w:bottom w:val="none" w:sz="0" w:space="0" w:color="auto"/>
            <w:right w:val="none" w:sz="0" w:space="0" w:color="auto"/>
          </w:divBdr>
        </w:div>
      </w:divsChild>
    </w:div>
    <w:div w:id="1112823074">
      <w:bodyDiv w:val="1"/>
      <w:marLeft w:val="0"/>
      <w:marRight w:val="0"/>
      <w:marTop w:val="0"/>
      <w:marBottom w:val="0"/>
      <w:divBdr>
        <w:top w:val="none" w:sz="0" w:space="0" w:color="auto"/>
        <w:left w:val="none" w:sz="0" w:space="0" w:color="auto"/>
        <w:bottom w:val="none" w:sz="0" w:space="0" w:color="auto"/>
        <w:right w:val="none" w:sz="0" w:space="0" w:color="auto"/>
      </w:divBdr>
    </w:div>
    <w:div w:id="1130823924">
      <w:bodyDiv w:val="1"/>
      <w:marLeft w:val="0"/>
      <w:marRight w:val="0"/>
      <w:marTop w:val="0"/>
      <w:marBottom w:val="0"/>
      <w:divBdr>
        <w:top w:val="none" w:sz="0" w:space="0" w:color="auto"/>
        <w:left w:val="none" w:sz="0" w:space="0" w:color="auto"/>
        <w:bottom w:val="none" w:sz="0" w:space="0" w:color="auto"/>
        <w:right w:val="none" w:sz="0" w:space="0" w:color="auto"/>
      </w:divBdr>
    </w:div>
    <w:div w:id="1138837038">
      <w:bodyDiv w:val="1"/>
      <w:marLeft w:val="0"/>
      <w:marRight w:val="0"/>
      <w:marTop w:val="0"/>
      <w:marBottom w:val="0"/>
      <w:divBdr>
        <w:top w:val="none" w:sz="0" w:space="0" w:color="auto"/>
        <w:left w:val="none" w:sz="0" w:space="0" w:color="auto"/>
        <w:bottom w:val="none" w:sz="0" w:space="0" w:color="auto"/>
        <w:right w:val="none" w:sz="0" w:space="0" w:color="auto"/>
      </w:divBdr>
      <w:divsChild>
        <w:div w:id="2140411370">
          <w:marLeft w:val="0"/>
          <w:marRight w:val="0"/>
          <w:marTop w:val="0"/>
          <w:marBottom w:val="0"/>
          <w:divBdr>
            <w:top w:val="none" w:sz="0" w:space="0" w:color="auto"/>
            <w:left w:val="none" w:sz="0" w:space="0" w:color="auto"/>
            <w:bottom w:val="none" w:sz="0" w:space="0" w:color="auto"/>
            <w:right w:val="none" w:sz="0" w:space="0" w:color="auto"/>
          </w:divBdr>
        </w:div>
        <w:div w:id="1181167996">
          <w:marLeft w:val="0"/>
          <w:marRight w:val="0"/>
          <w:marTop w:val="0"/>
          <w:marBottom w:val="0"/>
          <w:divBdr>
            <w:top w:val="none" w:sz="0" w:space="0" w:color="auto"/>
            <w:left w:val="none" w:sz="0" w:space="0" w:color="auto"/>
            <w:bottom w:val="none" w:sz="0" w:space="0" w:color="auto"/>
            <w:right w:val="none" w:sz="0" w:space="0" w:color="auto"/>
          </w:divBdr>
        </w:div>
        <w:div w:id="1869415892">
          <w:marLeft w:val="0"/>
          <w:marRight w:val="0"/>
          <w:marTop w:val="0"/>
          <w:marBottom w:val="0"/>
          <w:divBdr>
            <w:top w:val="none" w:sz="0" w:space="0" w:color="auto"/>
            <w:left w:val="none" w:sz="0" w:space="0" w:color="auto"/>
            <w:bottom w:val="none" w:sz="0" w:space="0" w:color="auto"/>
            <w:right w:val="none" w:sz="0" w:space="0" w:color="auto"/>
          </w:divBdr>
        </w:div>
        <w:div w:id="738867522">
          <w:marLeft w:val="0"/>
          <w:marRight w:val="0"/>
          <w:marTop w:val="0"/>
          <w:marBottom w:val="0"/>
          <w:divBdr>
            <w:top w:val="none" w:sz="0" w:space="0" w:color="auto"/>
            <w:left w:val="none" w:sz="0" w:space="0" w:color="auto"/>
            <w:bottom w:val="none" w:sz="0" w:space="0" w:color="auto"/>
            <w:right w:val="none" w:sz="0" w:space="0" w:color="auto"/>
          </w:divBdr>
        </w:div>
      </w:divsChild>
    </w:div>
    <w:div w:id="1154833065">
      <w:bodyDiv w:val="1"/>
      <w:marLeft w:val="0"/>
      <w:marRight w:val="0"/>
      <w:marTop w:val="0"/>
      <w:marBottom w:val="0"/>
      <w:divBdr>
        <w:top w:val="none" w:sz="0" w:space="0" w:color="auto"/>
        <w:left w:val="none" w:sz="0" w:space="0" w:color="auto"/>
        <w:bottom w:val="none" w:sz="0" w:space="0" w:color="auto"/>
        <w:right w:val="none" w:sz="0" w:space="0" w:color="auto"/>
      </w:divBdr>
    </w:div>
    <w:div w:id="1165821193">
      <w:bodyDiv w:val="1"/>
      <w:marLeft w:val="0"/>
      <w:marRight w:val="0"/>
      <w:marTop w:val="0"/>
      <w:marBottom w:val="0"/>
      <w:divBdr>
        <w:top w:val="none" w:sz="0" w:space="0" w:color="auto"/>
        <w:left w:val="none" w:sz="0" w:space="0" w:color="auto"/>
        <w:bottom w:val="none" w:sz="0" w:space="0" w:color="auto"/>
        <w:right w:val="none" w:sz="0" w:space="0" w:color="auto"/>
      </w:divBdr>
    </w:div>
    <w:div w:id="1193155319">
      <w:bodyDiv w:val="1"/>
      <w:marLeft w:val="0"/>
      <w:marRight w:val="0"/>
      <w:marTop w:val="0"/>
      <w:marBottom w:val="0"/>
      <w:divBdr>
        <w:top w:val="none" w:sz="0" w:space="0" w:color="auto"/>
        <w:left w:val="none" w:sz="0" w:space="0" w:color="auto"/>
        <w:bottom w:val="none" w:sz="0" w:space="0" w:color="auto"/>
        <w:right w:val="none" w:sz="0" w:space="0" w:color="auto"/>
      </w:divBdr>
    </w:div>
    <w:div w:id="1193420495">
      <w:bodyDiv w:val="1"/>
      <w:marLeft w:val="0"/>
      <w:marRight w:val="0"/>
      <w:marTop w:val="0"/>
      <w:marBottom w:val="0"/>
      <w:divBdr>
        <w:top w:val="none" w:sz="0" w:space="0" w:color="auto"/>
        <w:left w:val="none" w:sz="0" w:space="0" w:color="auto"/>
        <w:bottom w:val="none" w:sz="0" w:space="0" w:color="auto"/>
        <w:right w:val="none" w:sz="0" w:space="0" w:color="auto"/>
      </w:divBdr>
    </w:div>
    <w:div w:id="1193885823">
      <w:bodyDiv w:val="1"/>
      <w:marLeft w:val="0"/>
      <w:marRight w:val="0"/>
      <w:marTop w:val="0"/>
      <w:marBottom w:val="0"/>
      <w:divBdr>
        <w:top w:val="none" w:sz="0" w:space="0" w:color="auto"/>
        <w:left w:val="none" w:sz="0" w:space="0" w:color="auto"/>
        <w:bottom w:val="none" w:sz="0" w:space="0" w:color="auto"/>
        <w:right w:val="none" w:sz="0" w:space="0" w:color="auto"/>
      </w:divBdr>
    </w:div>
    <w:div w:id="1218858408">
      <w:bodyDiv w:val="1"/>
      <w:marLeft w:val="0"/>
      <w:marRight w:val="0"/>
      <w:marTop w:val="0"/>
      <w:marBottom w:val="0"/>
      <w:divBdr>
        <w:top w:val="none" w:sz="0" w:space="0" w:color="auto"/>
        <w:left w:val="none" w:sz="0" w:space="0" w:color="auto"/>
        <w:bottom w:val="none" w:sz="0" w:space="0" w:color="auto"/>
        <w:right w:val="none" w:sz="0" w:space="0" w:color="auto"/>
      </w:divBdr>
    </w:div>
    <w:div w:id="1227960960">
      <w:bodyDiv w:val="1"/>
      <w:marLeft w:val="0"/>
      <w:marRight w:val="0"/>
      <w:marTop w:val="0"/>
      <w:marBottom w:val="0"/>
      <w:divBdr>
        <w:top w:val="none" w:sz="0" w:space="0" w:color="auto"/>
        <w:left w:val="none" w:sz="0" w:space="0" w:color="auto"/>
        <w:bottom w:val="none" w:sz="0" w:space="0" w:color="auto"/>
        <w:right w:val="none" w:sz="0" w:space="0" w:color="auto"/>
      </w:divBdr>
      <w:divsChild>
        <w:div w:id="73012864">
          <w:marLeft w:val="0"/>
          <w:marRight w:val="0"/>
          <w:marTop w:val="0"/>
          <w:marBottom w:val="0"/>
          <w:divBdr>
            <w:top w:val="none" w:sz="0" w:space="0" w:color="auto"/>
            <w:left w:val="none" w:sz="0" w:space="0" w:color="auto"/>
            <w:bottom w:val="none" w:sz="0" w:space="0" w:color="auto"/>
            <w:right w:val="none" w:sz="0" w:space="0" w:color="auto"/>
          </w:divBdr>
        </w:div>
        <w:div w:id="1141385111">
          <w:marLeft w:val="0"/>
          <w:marRight w:val="0"/>
          <w:marTop w:val="0"/>
          <w:marBottom w:val="0"/>
          <w:divBdr>
            <w:top w:val="none" w:sz="0" w:space="0" w:color="auto"/>
            <w:left w:val="none" w:sz="0" w:space="0" w:color="auto"/>
            <w:bottom w:val="none" w:sz="0" w:space="0" w:color="auto"/>
            <w:right w:val="none" w:sz="0" w:space="0" w:color="auto"/>
          </w:divBdr>
        </w:div>
        <w:div w:id="1753157316">
          <w:marLeft w:val="0"/>
          <w:marRight w:val="0"/>
          <w:marTop w:val="0"/>
          <w:marBottom w:val="0"/>
          <w:divBdr>
            <w:top w:val="none" w:sz="0" w:space="0" w:color="auto"/>
            <w:left w:val="none" w:sz="0" w:space="0" w:color="auto"/>
            <w:bottom w:val="none" w:sz="0" w:space="0" w:color="auto"/>
            <w:right w:val="none" w:sz="0" w:space="0" w:color="auto"/>
          </w:divBdr>
        </w:div>
        <w:div w:id="1958104212">
          <w:marLeft w:val="0"/>
          <w:marRight w:val="0"/>
          <w:marTop w:val="0"/>
          <w:marBottom w:val="0"/>
          <w:divBdr>
            <w:top w:val="none" w:sz="0" w:space="0" w:color="auto"/>
            <w:left w:val="none" w:sz="0" w:space="0" w:color="auto"/>
            <w:bottom w:val="none" w:sz="0" w:space="0" w:color="auto"/>
            <w:right w:val="none" w:sz="0" w:space="0" w:color="auto"/>
          </w:divBdr>
        </w:div>
        <w:div w:id="1622566818">
          <w:marLeft w:val="0"/>
          <w:marRight w:val="0"/>
          <w:marTop w:val="0"/>
          <w:marBottom w:val="0"/>
          <w:divBdr>
            <w:top w:val="none" w:sz="0" w:space="0" w:color="auto"/>
            <w:left w:val="none" w:sz="0" w:space="0" w:color="auto"/>
            <w:bottom w:val="none" w:sz="0" w:space="0" w:color="auto"/>
            <w:right w:val="none" w:sz="0" w:space="0" w:color="auto"/>
          </w:divBdr>
        </w:div>
      </w:divsChild>
    </w:div>
    <w:div w:id="1242174599">
      <w:bodyDiv w:val="1"/>
      <w:marLeft w:val="0"/>
      <w:marRight w:val="0"/>
      <w:marTop w:val="0"/>
      <w:marBottom w:val="0"/>
      <w:divBdr>
        <w:top w:val="none" w:sz="0" w:space="0" w:color="auto"/>
        <w:left w:val="none" w:sz="0" w:space="0" w:color="auto"/>
        <w:bottom w:val="none" w:sz="0" w:space="0" w:color="auto"/>
        <w:right w:val="none" w:sz="0" w:space="0" w:color="auto"/>
      </w:divBdr>
    </w:div>
    <w:div w:id="1257641122">
      <w:bodyDiv w:val="1"/>
      <w:marLeft w:val="0"/>
      <w:marRight w:val="0"/>
      <w:marTop w:val="0"/>
      <w:marBottom w:val="0"/>
      <w:divBdr>
        <w:top w:val="none" w:sz="0" w:space="0" w:color="auto"/>
        <w:left w:val="none" w:sz="0" w:space="0" w:color="auto"/>
        <w:bottom w:val="none" w:sz="0" w:space="0" w:color="auto"/>
        <w:right w:val="none" w:sz="0" w:space="0" w:color="auto"/>
      </w:divBdr>
    </w:div>
    <w:div w:id="1262296305">
      <w:bodyDiv w:val="1"/>
      <w:marLeft w:val="0"/>
      <w:marRight w:val="0"/>
      <w:marTop w:val="0"/>
      <w:marBottom w:val="0"/>
      <w:divBdr>
        <w:top w:val="none" w:sz="0" w:space="0" w:color="auto"/>
        <w:left w:val="none" w:sz="0" w:space="0" w:color="auto"/>
        <w:bottom w:val="none" w:sz="0" w:space="0" w:color="auto"/>
        <w:right w:val="none" w:sz="0" w:space="0" w:color="auto"/>
      </w:divBdr>
    </w:div>
    <w:div w:id="1325162645">
      <w:bodyDiv w:val="1"/>
      <w:marLeft w:val="0"/>
      <w:marRight w:val="0"/>
      <w:marTop w:val="0"/>
      <w:marBottom w:val="0"/>
      <w:divBdr>
        <w:top w:val="none" w:sz="0" w:space="0" w:color="auto"/>
        <w:left w:val="none" w:sz="0" w:space="0" w:color="auto"/>
        <w:bottom w:val="none" w:sz="0" w:space="0" w:color="auto"/>
        <w:right w:val="none" w:sz="0" w:space="0" w:color="auto"/>
      </w:divBdr>
    </w:div>
    <w:div w:id="1326933256">
      <w:bodyDiv w:val="1"/>
      <w:marLeft w:val="0"/>
      <w:marRight w:val="0"/>
      <w:marTop w:val="0"/>
      <w:marBottom w:val="0"/>
      <w:divBdr>
        <w:top w:val="none" w:sz="0" w:space="0" w:color="auto"/>
        <w:left w:val="none" w:sz="0" w:space="0" w:color="auto"/>
        <w:bottom w:val="none" w:sz="0" w:space="0" w:color="auto"/>
        <w:right w:val="none" w:sz="0" w:space="0" w:color="auto"/>
      </w:divBdr>
    </w:div>
    <w:div w:id="1329793586">
      <w:bodyDiv w:val="1"/>
      <w:marLeft w:val="0"/>
      <w:marRight w:val="0"/>
      <w:marTop w:val="0"/>
      <w:marBottom w:val="0"/>
      <w:divBdr>
        <w:top w:val="none" w:sz="0" w:space="0" w:color="auto"/>
        <w:left w:val="none" w:sz="0" w:space="0" w:color="auto"/>
        <w:bottom w:val="none" w:sz="0" w:space="0" w:color="auto"/>
        <w:right w:val="none" w:sz="0" w:space="0" w:color="auto"/>
      </w:divBdr>
    </w:div>
    <w:div w:id="1345088793">
      <w:bodyDiv w:val="1"/>
      <w:marLeft w:val="0"/>
      <w:marRight w:val="0"/>
      <w:marTop w:val="0"/>
      <w:marBottom w:val="0"/>
      <w:divBdr>
        <w:top w:val="none" w:sz="0" w:space="0" w:color="auto"/>
        <w:left w:val="none" w:sz="0" w:space="0" w:color="auto"/>
        <w:bottom w:val="none" w:sz="0" w:space="0" w:color="auto"/>
        <w:right w:val="none" w:sz="0" w:space="0" w:color="auto"/>
      </w:divBdr>
    </w:div>
    <w:div w:id="1374768102">
      <w:bodyDiv w:val="1"/>
      <w:marLeft w:val="0"/>
      <w:marRight w:val="0"/>
      <w:marTop w:val="0"/>
      <w:marBottom w:val="0"/>
      <w:divBdr>
        <w:top w:val="none" w:sz="0" w:space="0" w:color="auto"/>
        <w:left w:val="none" w:sz="0" w:space="0" w:color="auto"/>
        <w:bottom w:val="none" w:sz="0" w:space="0" w:color="auto"/>
        <w:right w:val="none" w:sz="0" w:space="0" w:color="auto"/>
      </w:divBdr>
    </w:div>
    <w:div w:id="1378894030">
      <w:bodyDiv w:val="1"/>
      <w:marLeft w:val="0"/>
      <w:marRight w:val="0"/>
      <w:marTop w:val="0"/>
      <w:marBottom w:val="0"/>
      <w:divBdr>
        <w:top w:val="none" w:sz="0" w:space="0" w:color="auto"/>
        <w:left w:val="none" w:sz="0" w:space="0" w:color="auto"/>
        <w:bottom w:val="none" w:sz="0" w:space="0" w:color="auto"/>
        <w:right w:val="none" w:sz="0" w:space="0" w:color="auto"/>
      </w:divBdr>
    </w:div>
    <w:div w:id="1384326757">
      <w:bodyDiv w:val="1"/>
      <w:marLeft w:val="0"/>
      <w:marRight w:val="0"/>
      <w:marTop w:val="0"/>
      <w:marBottom w:val="0"/>
      <w:divBdr>
        <w:top w:val="none" w:sz="0" w:space="0" w:color="auto"/>
        <w:left w:val="none" w:sz="0" w:space="0" w:color="auto"/>
        <w:bottom w:val="none" w:sz="0" w:space="0" w:color="auto"/>
        <w:right w:val="none" w:sz="0" w:space="0" w:color="auto"/>
      </w:divBdr>
    </w:div>
    <w:div w:id="1384863665">
      <w:bodyDiv w:val="1"/>
      <w:marLeft w:val="0"/>
      <w:marRight w:val="0"/>
      <w:marTop w:val="0"/>
      <w:marBottom w:val="0"/>
      <w:divBdr>
        <w:top w:val="none" w:sz="0" w:space="0" w:color="auto"/>
        <w:left w:val="none" w:sz="0" w:space="0" w:color="auto"/>
        <w:bottom w:val="none" w:sz="0" w:space="0" w:color="auto"/>
        <w:right w:val="none" w:sz="0" w:space="0" w:color="auto"/>
      </w:divBdr>
    </w:div>
    <w:div w:id="1421370412">
      <w:bodyDiv w:val="1"/>
      <w:marLeft w:val="0"/>
      <w:marRight w:val="0"/>
      <w:marTop w:val="0"/>
      <w:marBottom w:val="0"/>
      <w:divBdr>
        <w:top w:val="none" w:sz="0" w:space="0" w:color="auto"/>
        <w:left w:val="none" w:sz="0" w:space="0" w:color="auto"/>
        <w:bottom w:val="none" w:sz="0" w:space="0" w:color="auto"/>
        <w:right w:val="none" w:sz="0" w:space="0" w:color="auto"/>
      </w:divBdr>
    </w:div>
    <w:div w:id="1435856876">
      <w:bodyDiv w:val="1"/>
      <w:marLeft w:val="0"/>
      <w:marRight w:val="0"/>
      <w:marTop w:val="0"/>
      <w:marBottom w:val="0"/>
      <w:divBdr>
        <w:top w:val="none" w:sz="0" w:space="0" w:color="auto"/>
        <w:left w:val="none" w:sz="0" w:space="0" w:color="auto"/>
        <w:bottom w:val="none" w:sz="0" w:space="0" w:color="auto"/>
        <w:right w:val="none" w:sz="0" w:space="0" w:color="auto"/>
      </w:divBdr>
    </w:div>
    <w:div w:id="1439570359">
      <w:bodyDiv w:val="1"/>
      <w:marLeft w:val="0"/>
      <w:marRight w:val="0"/>
      <w:marTop w:val="0"/>
      <w:marBottom w:val="0"/>
      <w:divBdr>
        <w:top w:val="none" w:sz="0" w:space="0" w:color="auto"/>
        <w:left w:val="none" w:sz="0" w:space="0" w:color="auto"/>
        <w:bottom w:val="none" w:sz="0" w:space="0" w:color="auto"/>
        <w:right w:val="none" w:sz="0" w:space="0" w:color="auto"/>
      </w:divBdr>
    </w:div>
    <w:div w:id="1466049500">
      <w:bodyDiv w:val="1"/>
      <w:marLeft w:val="0"/>
      <w:marRight w:val="0"/>
      <w:marTop w:val="0"/>
      <w:marBottom w:val="0"/>
      <w:divBdr>
        <w:top w:val="none" w:sz="0" w:space="0" w:color="auto"/>
        <w:left w:val="none" w:sz="0" w:space="0" w:color="auto"/>
        <w:bottom w:val="none" w:sz="0" w:space="0" w:color="auto"/>
        <w:right w:val="none" w:sz="0" w:space="0" w:color="auto"/>
      </w:divBdr>
      <w:divsChild>
        <w:div w:id="672344893">
          <w:marLeft w:val="547"/>
          <w:marRight w:val="0"/>
          <w:marTop w:val="0"/>
          <w:marBottom w:val="0"/>
          <w:divBdr>
            <w:top w:val="none" w:sz="0" w:space="0" w:color="auto"/>
            <w:left w:val="none" w:sz="0" w:space="0" w:color="auto"/>
            <w:bottom w:val="none" w:sz="0" w:space="0" w:color="auto"/>
            <w:right w:val="none" w:sz="0" w:space="0" w:color="auto"/>
          </w:divBdr>
        </w:div>
      </w:divsChild>
    </w:div>
    <w:div w:id="1466892318">
      <w:bodyDiv w:val="1"/>
      <w:marLeft w:val="0"/>
      <w:marRight w:val="0"/>
      <w:marTop w:val="0"/>
      <w:marBottom w:val="0"/>
      <w:divBdr>
        <w:top w:val="none" w:sz="0" w:space="0" w:color="auto"/>
        <w:left w:val="none" w:sz="0" w:space="0" w:color="auto"/>
        <w:bottom w:val="none" w:sz="0" w:space="0" w:color="auto"/>
        <w:right w:val="none" w:sz="0" w:space="0" w:color="auto"/>
      </w:divBdr>
    </w:div>
    <w:div w:id="1471944176">
      <w:bodyDiv w:val="1"/>
      <w:marLeft w:val="0"/>
      <w:marRight w:val="0"/>
      <w:marTop w:val="0"/>
      <w:marBottom w:val="0"/>
      <w:divBdr>
        <w:top w:val="none" w:sz="0" w:space="0" w:color="auto"/>
        <w:left w:val="none" w:sz="0" w:space="0" w:color="auto"/>
        <w:bottom w:val="none" w:sz="0" w:space="0" w:color="auto"/>
        <w:right w:val="none" w:sz="0" w:space="0" w:color="auto"/>
      </w:divBdr>
    </w:div>
    <w:div w:id="1482500284">
      <w:bodyDiv w:val="1"/>
      <w:marLeft w:val="0"/>
      <w:marRight w:val="0"/>
      <w:marTop w:val="0"/>
      <w:marBottom w:val="0"/>
      <w:divBdr>
        <w:top w:val="none" w:sz="0" w:space="0" w:color="auto"/>
        <w:left w:val="none" w:sz="0" w:space="0" w:color="auto"/>
        <w:bottom w:val="none" w:sz="0" w:space="0" w:color="auto"/>
        <w:right w:val="none" w:sz="0" w:space="0" w:color="auto"/>
      </w:divBdr>
    </w:div>
    <w:div w:id="1509709113">
      <w:bodyDiv w:val="1"/>
      <w:marLeft w:val="0"/>
      <w:marRight w:val="0"/>
      <w:marTop w:val="0"/>
      <w:marBottom w:val="0"/>
      <w:divBdr>
        <w:top w:val="none" w:sz="0" w:space="0" w:color="auto"/>
        <w:left w:val="none" w:sz="0" w:space="0" w:color="auto"/>
        <w:bottom w:val="none" w:sz="0" w:space="0" w:color="auto"/>
        <w:right w:val="none" w:sz="0" w:space="0" w:color="auto"/>
      </w:divBdr>
    </w:div>
    <w:div w:id="1515605643">
      <w:bodyDiv w:val="1"/>
      <w:marLeft w:val="0"/>
      <w:marRight w:val="0"/>
      <w:marTop w:val="0"/>
      <w:marBottom w:val="0"/>
      <w:divBdr>
        <w:top w:val="none" w:sz="0" w:space="0" w:color="auto"/>
        <w:left w:val="none" w:sz="0" w:space="0" w:color="auto"/>
        <w:bottom w:val="none" w:sz="0" w:space="0" w:color="auto"/>
        <w:right w:val="none" w:sz="0" w:space="0" w:color="auto"/>
      </w:divBdr>
    </w:div>
    <w:div w:id="1518076283">
      <w:bodyDiv w:val="1"/>
      <w:marLeft w:val="0"/>
      <w:marRight w:val="0"/>
      <w:marTop w:val="0"/>
      <w:marBottom w:val="0"/>
      <w:divBdr>
        <w:top w:val="none" w:sz="0" w:space="0" w:color="auto"/>
        <w:left w:val="none" w:sz="0" w:space="0" w:color="auto"/>
        <w:bottom w:val="none" w:sz="0" w:space="0" w:color="auto"/>
        <w:right w:val="none" w:sz="0" w:space="0" w:color="auto"/>
      </w:divBdr>
    </w:div>
    <w:div w:id="1523126836">
      <w:bodyDiv w:val="1"/>
      <w:marLeft w:val="0"/>
      <w:marRight w:val="0"/>
      <w:marTop w:val="0"/>
      <w:marBottom w:val="0"/>
      <w:divBdr>
        <w:top w:val="none" w:sz="0" w:space="0" w:color="auto"/>
        <w:left w:val="none" w:sz="0" w:space="0" w:color="auto"/>
        <w:bottom w:val="none" w:sz="0" w:space="0" w:color="auto"/>
        <w:right w:val="none" w:sz="0" w:space="0" w:color="auto"/>
      </w:divBdr>
    </w:div>
    <w:div w:id="1533415490">
      <w:bodyDiv w:val="1"/>
      <w:marLeft w:val="0"/>
      <w:marRight w:val="0"/>
      <w:marTop w:val="0"/>
      <w:marBottom w:val="0"/>
      <w:divBdr>
        <w:top w:val="none" w:sz="0" w:space="0" w:color="auto"/>
        <w:left w:val="none" w:sz="0" w:space="0" w:color="auto"/>
        <w:bottom w:val="none" w:sz="0" w:space="0" w:color="auto"/>
        <w:right w:val="none" w:sz="0" w:space="0" w:color="auto"/>
      </w:divBdr>
    </w:div>
    <w:div w:id="1560286788">
      <w:bodyDiv w:val="1"/>
      <w:marLeft w:val="0"/>
      <w:marRight w:val="0"/>
      <w:marTop w:val="0"/>
      <w:marBottom w:val="0"/>
      <w:divBdr>
        <w:top w:val="none" w:sz="0" w:space="0" w:color="auto"/>
        <w:left w:val="none" w:sz="0" w:space="0" w:color="auto"/>
        <w:bottom w:val="none" w:sz="0" w:space="0" w:color="auto"/>
        <w:right w:val="none" w:sz="0" w:space="0" w:color="auto"/>
      </w:divBdr>
    </w:div>
    <w:div w:id="1572235363">
      <w:bodyDiv w:val="1"/>
      <w:marLeft w:val="0"/>
      <w:marRight w:val="0"/>
      <w:marTop w:val="0"/>
      <w:marBottom w:val="0"/>
      <w:divBdr>
        <w:top w:val="none" w:sz="0" w:space="0" w:color="auto"/>
        <w:left w:val="none" w:sz="0" w:space="0" w:color="auto"/>
        <w:bottom w:val="none" w:sz="0" w:space="0" w:color="auto"/>
        <w:right w:val="none" w:sz="0" w:space="0" w:color="auto"/>
      </w:divBdr>
    </w:div>
    <w:div w:id="1575435597">
      <w:bodyDiv w:val="1"/>
      <w:marLeft w:val="0"/>
      <w:marRight w:val="0"/>
      <w:marTop w:val="0"/>
      <w:marBottom w:val="0"/>
      <w:divBdr>
        <w:top w:val="none" w:sz="0" w:space="0" w:color="auto"/>
        <w:left w:val="none" w:sz="0" w:space="0" w:color="auto"/>
        <w:bottom w:val="none" w:sz="0" w:space="0" w:color="auto"/>
        <w:right w:val="none" w:sz="0" w:space="0" w:color="auto"/>
      </w:divBdr>
    </w:div>
    <w:div w:id="1578443527">
      <w:bodyDiv w:val="1"/>
      <w:marLeft w:val="0"/>
      <w:marRight w:val="0"/>
      <w:marTop w:val="0"/>
      <w:marBottom w:val="0"/>
      <w:divBdr>
        <w:top w:val="none" w:sz="0" w:space="0" w:color="auto"/>
        <w:left w:val="none" w:sz="0" w:space="0" w:color="auto"/>
        <w:bottom w:val="none" w:sz="0" w:space="0" w:color="auto"/>
        <w:right w:val="none" w:sz="0" w:space="0" w:color="auto"/>
      </w:divBdr>
    </w:div>
    <w:div w:id="1581597414">
      <w:bodyDiv w:val="1"/>
      <w:marLeft w:val="0"/>
      <w:marRight w:val="0"/>
      <w:marTop w:val="0"/>
      <w:marBottom w:val="0"/>
      <w:divBdr>
        <w:top w:val="none" w:sz="0" w:space="0" w:color="auto"/>
        <w:left w:val="none" w:sz="0" w:space="0" w:color="auto"/>
        <w:bottom w:val="none" w:sz="0" w:space="0" w:color="auto"/>
        <w:right w:val="none" w:sz="0" w:space="0" w:color="auto"/>
      </w:divBdr>
    </w:div>
    <w:div w:id="1584489276">
      <w:bodyDiv w:val="1"/>
      <w:marLeft w:val="0"/>
      <w:marRight w:val="0"/>
      <w:marTop w:val="0"/>
      <w:marBottom w:val="0"/>
      <w:divBdr>
        <w:top w:val="none" w:sz="0" w:space="0" w:color="auto"/>
        <w:left w:val="none" w:sz="0" w:space="0" w:color="auto"/>
        <w:bottom w:val="none" w:sz="0" w:space="0" w:color="auto"/>
        <w:right w:val="none" w:sz="0" w:space="0" w:color="auto"/>
      </w:divBdr>
      <w:divsChild>
        <w:div w:id="1513227146">
          <w:marLeft w:val="0"/>
          <w:marRight w:val="0"/>
          <w:marTop w:val="0"/>
          <w:marBottom w:val="0"/>
          <w:divBdr>
            <w:top w:val="none" w:sz="0" w:space="0" w:color="auto"/>
            <w:left w:val="none" w:sz="0" w:space="0" w:color="auto"/>
            <w:bottom w:val="none" w:sz="0" w:space="0" w:color="auto"/>
            <w:right w:val="none" w:sz="0" w:space="0" w:color="auto"/>
          </w:divBdr>
        </w:div>
        <w:div w:id="1423380626">
          <w:marLeft w:val="0"/>
          <w:marRight w:val="0"/>
          <w:marTop w:val="0"/>
          <w:marBottom w:val="0"/>
          <w:divBdr>
            <w:top w:val="none" w:sz="0" w:space="0" w:color="auto"/>
            <w:left w:val="none" w:sz="0" w:space="0" w:color="auto"/>
            <w:bottom w:val="none" w:sz="0" w:space="0" w:color="auto"/>
            <w:right w:val="none" w:sz="0" w:space="0" w:color="auto"/>
          </w:divBdr>
        </w:div>
        <w:div w:id="919487402">
          <w:marLeft w:val="0"/>
          <w:marRight w:val="0"/>
          <w:marTop w:val="0"/>
          <w:marBottom w:val="0"/>
          <w:divBdr>
            <w:top w:val="none" w:sz="0" w:space="0" w:color="auto"/>
            <w:left w:val="none" w:sz="0" w:space="0" w:color="auto"/>
            <w:bottom w:val="none" w:sz="0" w:space="0" w:color="auto"/>
            <w:right w:val="none" w:sz="0" w:space="0" w:color="auto"/>
          </w:divBdr>
        </w:div>
        <w:div w:id="2109038678">
          <w:marLeft w:val="0"/>
          <w:marRight w:val="0"/>
          <w:marTop w:val="0"/>
          <w:marBottom w:val="0"/>
          <w:divBdr>
            <w:top w:val="none" w:sz="0" w:space="0" w:color="auto"/>
            <w:left w:val="none" w:sz="0" w:space="0" w:color="auto"/>
            <w:bottom w:val="none" w:sz="0" w:space="0" w:color="auto"/>
            <w:right w:val="none" w:sz="0" w:space="0" w:color="auto"/>
          </w:divBdr>
        </w:div>
      </w:divsChild>
    </w:div>
    <w:div w:id="1594044699">
      <w:bodyDiv w:val="1"/>
      <w:marLeft w:val="0"/>
      <w:marRight w:val="0"/>
      <w:marTop w:val="0"/>
      <w:marBottom w:val="0"/>
      <w:divBdr>
        <w:top w:val="none" w:sz="0" w:space="0" w:color="auto"/>
        <w:left w:val="none" w:sz="0" w:space="0" w:color="auto"/>
        <w:bottom w:val="none" w:sz="0" w:space="0" w:color="auto"/>
        <w:right w:val="none" w:sz="0" w:space="0" w:color="auto"/>
      </w:divBdr>
      <w:divsChild>
        <w:div w:id="443963448">
          <w:marLeft w:val="0"/>
          <w:marRight w:val="0"/>
          <w:marTop w:val="0"/>
          <w:marBottom w:val="0"/>
          <w:divBdr>
            <w:top w:val="none" w:sz="0" w:space="0" w:color="auto"/>
            <w:left w:val="none" w:sz="0" w:space="0" w:color="auto"/>
            <w:bottom w:val="none" w:sz="0" w:space="0" w:color="auto"/>
            <w:right w:val="none" w:sz="0" w:space="0" w:color="auto"/>
          </w:divBdr>
        </w:div>
        <w:div w:id="258951947">
          <w:marLeft w:val="0"/>
          <w:marRight w:val="0"/>
          <w:marTop w:val="0"/>
          <w:marBottom w:val="0"/>
          <w:divBdr>
            <w:top w:val="none" w:sz="0" w:space="0" w:color="auto"/>
            <w:left w:val="none" w:sz="0" w:space="0" w:color="auto"/>
            <w:bottom w:val="none" w:sz="0" w:space="0" w:color="auto"/>
            <w:right w:val="none" w:sz="0" w:space="0" w:color="auto"/>
          </w:divBdr>
        </w:div>
        <w:div w:id="169952185">
          <w:marLeft w:val="0"/>
          <w:marRight w:val="0"/>
          <w:marTop w:val="0"/>
          <w:marBottom w:val="0"/>
          <w:divBdr>
            <w:top w:val="none" w:sz="0" w:space="0" w:color="auto"/>
            <w:left w:val="none" w:sz="0" w:space="0" w:color="auto"/>
            <w:bottom w:val="none" w:sz="0" w:space="0" w:color="auto"/>
            <w:right w:val="none" w:sz="0" w:space="0" w:color="auto"/>
          </w:divBdr>
        </w:div>
        <w:div w:id="895236392">
          <w:marLeft w:val="0"/>
          <w:marRight w:val="0"/>
          <w:marTop w:val="0"/>
          <w:marBottom w:val="0"/>
          <w:divBdr>
            <w:top w:val="none" w:sz="0" w:space="0" w:color="auto"/>
            <w:left w:val="none" w:sz="0" w:space="0" w:color="auto"/>
            <w:bottom w:val="none" w:sz="0" w:space="0" w:color="auto"/>
            <w:right w:val="none" w:sz="0" w:space="0" w:color="auto"/>
          </w:divBdr>
        </w:div>
      </w:divsChild>
    </w:div>
    <w:div w:id="1611476162">
      <w:bodyDiv w:val="1"/>
      <w:marLeft w:val="0"/>
      <w:marRight w:val="0"/>
      <w:marTop w:val="0"/>
      <w:marBottom w:val="0"/>
      <w:divBdr>
        <w:top w:val="none" w:sz="0" w:space="0" w:color="auto"/>
        <w:left w:val="none" w:sz="0" w:space="0" w:color="auto"/>
        <w:bottom w:val="none" w:sz="0" w:space="0" w:color="auto"/>
        <w:right w:val="none" w:sz="0" w:space="0" w:color="auto"/>
      </w:divBdr>
    </w:div>
    <w:div w:id="1612545912">
      <w:bodyDiv w:val="1"/>
      <w:marLeft w:val="0"/>
      <w:marRight w:val="0"/>
      <w:marTop w:val="0"/>
      <w:marBottom w:val="0"/>
      <w:divBdr>
        <w:top w:val="none" w:sz="0" w:space="0" w:color="auto"/>
        <w:left w:val="none" w:sz="0" w:space="0" w:color="auto"/>
        <w:bottom w:val="none" w:sz="0" w:space="0" w:color="auto"/>
        <w:right w:val="none" w:sz="0" w:space="0" w:color="auto"/>
      </w:divBdr>
    </w:div>
    <w:div w:id="1613171739">
      <w:bodyDiv w:val="1"/>
      <w:marLeft w:val="0"/>
      <w:marRight w:val="0"/>
      <w:marTop w:val="0"/>
      <w:marBottom w:val="0"/>
      <w:divBdr>
        <w:top w:val="none" w:sz="0" w:space="0" w:color="auto"/>
        <w:left w:val="none" w:sz="0" w:space="0" w:color="auto"/>
        <w:bottom w:val="none" w:sz="0" w:space="0" w:color="auto"/>
        <w:right w:val="none" w:sz="0" w:space="0" w:color="auto"/>
      </w:divBdr>
    </w:div>
    <w:div w:id="1627588820">
      <w:bodyDiv w:val="1"/>
      <w:marLeft w:val="0"/>
      <w:marRight w:val="0"/>
      <w:marTop w:val="0"/>
      <w:marBottom w:val="0"/>
      <w:divBdr>
        <w:top w:val="none" w:sz="0" w:space="0" w:color="auto"/>
        <w:left w:val="none" w:sz="0" w:space="0" w:color="auto"/>
        <w:bottom w:val="none" w:sz="0" w:space="0" w:color="auto"/>
        <w:right w:val="none" w:sz="0" w:space="0" w:color="auto"/>
      </w:divBdr>
    </w:div>
    <w:div w:id="1635451718">
      <w:bodyDiv w:val="1"/>
      <w:marLeft w:val="0"/>
      <w:marRight w:val="0"/>
      <w:marTop w:val="0"/>
      <w:marBottom w:val="0"/>
      <w:divBdr>
        <w:top w:val="none" w:sz="0" w:space="0" w:color="auto"/>
        <w:left w:val="none" w:sz="0" w:space="0" w:color="auto"/>
        <w:bottom w:val="none" w:sz="0" w:space="0" w:color="auto"/>
        <w:right w:val="none" w:sz="0" w:space="0" w:color="auto"/>
      </w:divBdr>
      <w:divsChild>
        <w:div w:id="1523860360">
          <w:marLeft w:val="547"/>
          <w:marRight w:val="0"/>
          <w:marTop w:val="0"/>
          <w:marBottom w:val="0"/>
          <w:divBdr>
            <w:top w:val="none" w:sz="0" w:space="0" w:color="auto"/>
            <w:left w:val="none" w:sz="0" w:space="0" w:color="auto"/>
            <w:bottom w:val="none" w:sz="0" w:space="0" w:color="auto"/>
            <w:right w:val="none" w:sz="0" w:space="0" w:color="auto"/>
          </w:divBdr>
        </w:div>
      </w:divsChild>
    </w:div>
    <w:div w:id="1637249058">
      <w:bodyDiv w:val="1"/>
      <w:marLeft w:val="0"/>
      <w:marRight w:val="0"/>
      <w:marTop w:val="0"/>
      <w:marBottom w:val="0"/>
      <w:divBdr>
        <w:top w:val="none" w:sz="0" w:space="0" w:color="auto"/>
        <w:left w:val="none" w:sz="0" w:space="0" w:color="auto"/>
        <w:bottom w:val="none" w:sz="0" w:space="0" w:color="auto"/>
        <w:right w:val="none" w:sz="0" w:space="0" w:color="auto"/>
      </w:divBdr>
    </w:div>
    <w:div w:id="1643731155">
      <w:bodyDiv w:val="1"/>
      <w:marLeft w:val="0"/>
      <w:marRight w:val="0"/>
      <w:marTop w:val="0"/>
      <w:marBottom w:val="0"/>
      <w:divBdr>
        <w:top w:val="none" w:sz="0" w:space="0" w:color="auto"/>
        <w:left w:val="none" w:sz="0" w:space="0" w:color="auto"/>
        <w:bottom w:val="none" w:sz="0" w:space="0" w:color="auto"/>
        <w:right w:val="none" w:sz="0" w:space="0" w:color="auto"/>
      </w:divBdr>
    </w:div>
    <w:div w:id="1647274212">
      <w:bodyDiv w:val="1"/>
      <w:marLeft w:val="0"/>
      <w:marRight w:val="0"/>
      <w:marTop w:val="0"/>
      <w:marBottom w:val="0"/>
      <w:divBdr>
        <w:top w:val="none" w:sz="0" w:space="0" w:color="auto"/>
        <w:left w:val="none" w:sz="0" w:space="0" w:color="auto"/>
        <w:bottom w:val="none" w:sz="0" w:space="0" w:color="auto"/>
        <w:right w:val="none" w:sz="0" w:space="0" w:color="auto"/>
      </w:divBdr>
    </w:div>
    <w:div w:id="1650594325">
      <w:bodyDiv w:val="1"/>
      <w:marLeft w:val="0"/>
      <w:marRight w:val="0"/>
      <w:marTop w:val="0"/>
      <w:marBottom w:val="0"/>
      <w:divBdr>
        <w:top w:val="none" w:sz="0" w:space="0" w:color="auto"/>
        <w:left w:val="none" w:sz="0" w:space="0" w:color="auto"/>
        <w:bottom w:val="none" w:sz="0" w:space="0" w:color="auto"/>
        <w:right w:val="none" w:sz="0" w:space="0" w:color="auto"/>
      </w:divBdr>
      <w:divsChild>
        <w:div w:id="1663042024">
          <w:marLeft w:val="0"/>
          <w:marRight w:val="0"/>
          <w:marTop w:val="0"/>
          <w:marBottom w:val="0"/>
          <w:divBdr>
            <w:top w:val="none" w:sz="0" w:space="0" w:color="auto"/>
            <w:left w:val="none" w:sz="0" w:space="0" w:color="auto"/>
            <w:bottom w:val="none" w:sz="0" w:space="0" w:color="auto"/>
            <w:right w:val="none" w:sz="0" w:space="0" w:color="auto"/>
          </w:divBdr>
        </w:div>
        <w:div w:id="456721149">
          <w:marLeft w:val="0"/>
          <w:marRight w:val="0"/>
          <w:marTop w:val="0"/>
          <w:marBottom w:val="0"/>
          <w:divBdr>
            <w:top w:val="none" w:sz="0" w:space="0" w:color="auto"/>
            <w:left w:val="none" w:sz="0" w:space="0" w:color="auto"/>
            <w:bottom w:val="none" w:sz="0" w:space="0" w:color="auto"/>
            <w:right w:val="none" w:sz="0" w:space="0" w:color="auto"/>
          </w:divBdr>
        </w:div>
        <w:div w:id="740323592">
          <w:marLeft w:val="0"/>
          <w:marRight w:val="0"/>
          <w:marTop w:val="0"/>
          <w:marBottom w:val="0"/>
          <w:divBdr>
            <w:top w:val="none" w:sz="0" w:space="0" w:color="auto"/>
            <w:left w:val="none" w:sz="0" w:space="0" w:color="auto"/>
            <w:bottom w:val="none" w:sz="0" w:space="0" w:color="auto"/>
            <w:right w:val="none" w:sz="0" w:space="0" w:color="auto"/>
          </w:divBdr>
        </w:div>
        <w:div w:id="1584797376">
          <w:marLeft w:val="0"/>
          <w:marRight w:val="0"/>
          <w:marTop w:val="0"/>
          <w:marBottom w:val="0"/>
          <w:divBdr>
            <w:top w:val="none" w:sz="0" w:space="0" w:color="auto"/>
            <w:left w:val="none" w:sz="0" w:space="0" w:color="auto"/>
            <w:bottom w:val="none" w:sz="0" w:space="0" w:color="auto"/>
            <w:right w:val="none" w:sz="0" w:space="0" w:color="auto"/>
          </w:divBdr>
        </w:div>
        <w:div w:id="1203246819">
          <w:marLeft w:val="0"/>
          <w:marRight w:val="0"/>
          <w:marTop w:val="0"/>
          <w:marBottom w:val="0"/>
          <w:divBdr>
            <w:top w:val="none" w:sz="0" w:space="0" w:color="auto"/>
            <w:left w:val="none" w:sz="0" w:space="0" w:color="auto"/>
            <w:bottom w:val="none" w:sz="0" w:space="0" w:color="auto"/>
            <w:right w:val="none" w:sz="0" w:space="0" w:color="auto"/>
          </w:divBdr>
        </w:div>
        <w:div w:id="524052742">
          <w:marLeft w:val="0"/>
          <w:marRight w:val="0"/>
          <w:marTop w:val="0"/>
          <w:marBottom w:val="0"/>
          <w:divBdr>
            <w:top w:val="none" w:sz="0" w:space="0" w:color="auto"/>
            <w:left w:val="none" w:sz="0" w:space="0" w:color="auto"/>
            <w:bottom w:val="none" w:sz="0" w:space="0" w:color="auto"/>
            <w:right w:val="none" w:sz="0" w:space="0" w:color="auto"/>
          </w:divBdr>
        </w:div>
        <w:div w:id="774641654">
          <w:marLeft w:val="0"/>
          <w:marRight w:val="0"/>
          <w:marTop w:val="0"/>
          <w:marBottom w:val="0"/>
          <w:divBdr>
            <w:top w:val="none" w:sz="0" w:space="0" w:color="auto"/>
            <w:left w:val="none" w:sz="0" w:space="0" w:color="auto"/>
            <w:bottom w:val="none" w:sz="0" w:space="0" w:color="auto"/>
            <w:right w:val="none" w:sz="0" w:space="0" w:color="auto"/>
          </w:divBdr>
        </w:div>
        <w:div w:id="1353260864">
          <w:marLeft w:val="0"/>
          <w:marRight w:val="0"/>
          <w:marTop w:val="0"/>
          <w:marBottom w:val="0"/>
          <w:divBdr>
            <w:top w:val="none" w:sz="0" w:space="0" w:color="auto"/>
            <w:left w:val="none" w:sz="0" w:space="0" w:color="auto"/>
            <w:bottom w:val="none" w:sz="0" w:space="0" w:color="auto"/>
            <w:right w:val="none" w:sz="0" w:space="0" w:color="auto"/>
          </w:divBdr>
        </w:div>
        <w:div w:id="1848669021">
          <w:marLeft w:val="0"/>
          <w:marRight w:val="0"/>
          <w:marTop w:val="0"/>
          <w:marBottom w:val="0"/>
          <w:divBdr>
            <w:top w:val="none" w:sz="0" w:space="0" w:color="auto"/>
            <w:left w:val="none" w:sz="0" w:space="0" w:color="auto"/>
            <w:bottom w:val="none" w:sz="0" w:space="0" w:color="auto"/>
            <w:right w:val="none" w:sz="0" w:space="0" w:color="auto"/>
          </w:divBdr>
        </w:div>
        <w:div w:id="1582986065">
          <w:marLeft w:val="0"/>
          <w:marRight w:val="0"/>
          <w:marTop w:val="0"/>
          <w:marBottom w:val="0"/>
          <w:divBdr>
            <w:top w:val="none" w:sz="0" w:space="0" w:color="auto"/>
            <w:left w:val="none" w:sz="0" w:space="0" w:color="auto"/>
            <w:bottom w:val="none" w:sz="0" w:space="0" w:color="auto"/>
            <w:right w:val="none" w:sz="0" w:space="0" w:color="auto"/>
          </w:divBdr>
        </w:div>
        <w:div w:id="487012946">
          <w:marLeft w:val="0"/>
          <w:marRight w:val="0"/>
          <w:marTop w:val="0"/>
          <w:marBottom w:val="0"/>
          <w:divBdr>
            <w:top w:val="none" w:sz="0" w:space="0" w:color="auto"/>
            <w:left w:val="none" w:sz="0" w:space="0" w:color="auto"/>
            <w:bottom w:val="none" w:sz="0" w:space="0" w:color="auto"/>
            <w:right w:val="none" w:sz="0" w:space="0" w:color="auto"/>
          </w:divBdr>
        </w:div>
        <w:div w:id="1848985167">
          <w:marLeft w:val="0"/>
          <w:marRight w:val="0"/>
          <w:marTop w:val="0"/>
          <w:marBottom w:val="0"/>
          <w:divBdr>
            <w:top w:val="none" w:sz="0" w:space="0" w:color="auto"/>
            <w:left w:val="none" w:sz="0" w:space="0" w:color="auto"/>
            <w:bottom w:val="none" w:sz="0" w:space="0" w:color="auto"/>
            <w:right w:val="none" w:sz="0" w:space="0" w:color="auto"/>
          </w:divBdr>
        </w:div>
        <w:div w:id="1688746594">
          <w:marLeft w:val="0"/>
          <w:marRight w:val="0"/>
          <w:marTop w:val="0"/>
          <w:marBottom w:val="0"/>
          <w:divBdr>
            <w:top w:val="none" w:sz="0" w:space="0" w:color="auto"/>
            <w:left w:val="none" w:sz="0" w:space="0" w:color="auto"/>
            <w:bottom w:val="none" w:sz="0" w:space="0" w:color="auto"/>
            <w:right w:val="none" w:sz="0" w:space="0" w:color="auto"/>
          </w:divBdr>
        </w:div>
      </w:divsChild>
    </w:div>
    <w:div w:id="1662387988">
      <w:bodyDiv w:val="1"/>
      <w:marLeft w:val="0"/>
      <w:marRight w:val="0"/>
      <w:marTop w:val="0"/>
      <w:marBottom w:val="0"/>
      <w:divBdr>
        <w:top w:val="none" w:sz="0" w:space="0" w:color="auto"/>
        <w:left w:val="none" w:sz="0" w:space="0" w:color="auto"/>
        <w:bottom w:val="none" w:sz="0" w:space="0" w:color="auto"/>
        <w:right w:val="none" w:sz="0" w:space="0" w:color="auto"/>
      </w:divBdr>
      <w:divsChild>
        <w:div w:id="1008408454">
          <w:marLeft w:val="547"/>
          <w:marRight w:val="0"/>
          <w:marTop w:val="0"/>
          <w:marBottom w:val="0"/>
          <w:divBdr>
            <w:top w:val="none" w:sz="0" w:space="0" w:color="auto"/>
            <w:left w:val="none" w:sz="0" w:space="0" w:color="auto"/>
            <w:bottom w:val="none" w:sz="0" w:space="0" w:color="auto"/>
            <w:right w:val="none" w:sz="0" w:space="0" w:color="auto"/>
          </w:divBdr>
        </w:div>
        <w:div w:id="200559050">
          <w:marLeft w:val="547"/>
          <w:marRight w:val="0"/>
          <w:marTop w:val="0"/>
          <w:marBottom w:val="0"/>
          <w:divBdr>
            <w:top w:val="none" w:sz="0" w:space="0" w:color="auto"/>
            <w:left w:val="none" w:sz="0" w:space="0" w:color="auto"/>
            <w:bottom w:val="none" w:sz="0" w:space="0" w:color="auto"/>
            <w:right w:val="none" w:sz="0" w:space="0" w:color="auto"/>
          </w:divBdr>
        </w:div>
      </w:divsChild>
    </w:div>
    <w:div w:id="1669627372">
      <w:bodyDiv w:val="1"/>
      <w:marLeft w:val="0"/>
      <w:marRight w:val="0"/>
      <w:marTop w:val="0"/>
      <w:marBottom w:val="0"/>
      <w:divBdr>
        <w:top w:val="none" w:sz="0" w:space="0" w:color="auto"/>
        <w:left w:val="none" w:sz="0" w:space="0" w:color="auto"/>
        <w:bottom w:val="none" w:sz="0" w:space="0" w:color="auto"/>
        <w:right w:val="none" w:sz="0" w:space="0" w:color="auto"/>
      </w:divBdr>
    </w:div>
    <w:div w:id="1700352853">
      <w:bodyDiv w:val="1"/>
      <w:marLeft w:val="0"/>
      <w:marRight w:val="0"/>
      <w:marTop w:val="0"/>
      <w:marBottom w:val="0"/>
      <w:divBdr>
        <w:top w:val="none" w:sz="0" w:space="0" w:color="auto"/>
        <w:left w:val="none" w:sz="0" w:space="0" w:color="auto"/>
        <w:bottom w:val="none" w:sz="0" w:space="0" w:color="auto"/>
        <w:right w:val="none" w:sz="0" w:space="0" w:color="auto"/>
      </w:divBdr>
      <w:divsChild>
        <w:div w:id="1161964478">
          <w:marLeft w:val="0"/>
          <w:marRight w:val="0"/>
          <w:marTop w:val="0"/>
          <w:marBottom w:val="0"/>
          <w:divBdr>
            <w:top w:val="none" w:sz="0" w:space="0" w:color="auto"/>
            <w:left w:val="none" w:sz="0" w:space="0" w:color="auto"/>
            <w:bottom w:val="none" w:sz="0" w:space="0" w:color="auto"/>
            <w:right w:val="none" w:sz="0" w:space="0" w:color="auto"/>
          </w:divBdr>
        </w:div>
        <w:div w:id="1010794191">
          <w:marLeft w:val="0"/>
          <w:marRight w:val="0"/>
          <w:marTop w:val="0"/>
          <w:marBottom w:val="0"/>
          <w:divBdr>
            <w:top w:val="none" w:sz="0" w:space="0" w:color="auto"/>
            <w:left w:val="none" w:sz="0" w:space="0" w:color="auto"/>
            <w:bottom w:val="none" w:sz="0" w:space="0" w:color="auto"/>
            <w:right w:val="none" w:sz="0" w:space="0" w:color="auto"/>
          </w:divBdr>
        </w:div>
        <w:div w:id="2102798413">
          <w:marLeft w:val="0"/>
          <w:marRight w:val="0"/>
          <w:marTop w:val="0"/>
          <w:marBottom w:val="0"/>
          <w:divBdr>
            <w:top w:val="none" w:sz="0" w:space="0" w:color="auto"/>
            <w:left w:val="none" w:sz="0" w:space="0" w:color="auto"/>
            <w:bottom w:val="none" w:sz="0" w:space="0" w:color="auto"/>
            <w:right w:val="none" w:sz="0" w:space="0" w:color="auto"/>
          </w:divBdr>
        </w:div>
        <w:div w:id="872041014">
          <w:marLeft w:val="0"/>
          <w:marRight w:val="0"/>
          <w:marTop w:val="0"/>
          <w:marBottom w:val="0"/>
          <w:divBdr>
            <w:top w:val="none" w:sz="0" w:space="0" w:color="auto"/>
            <w:left w:val="none" w:sz="0" w:space="0" w:color="auto"/>
            <w:bottom w:val="none" w:sz="0" w:space="0" w:color="auto"/>
            <w:right w:val="none" w:sz="0" w:space="0" w:color="auto"/>
          </w:divBdr>
        </w:div>
        <w:div w:id="103113140">
          <w:marLeft w:val="0"/>
          <w:marRight w:val="0"/>
          <w:marTop w:val="0"/>
          <w:marBottom w:val="0"/>
          <w:divBdr>
            <w:top w:val="none" w:sz="0" w:space="0" w:color="auto"/>
            <w:left w:val="none" w:sz="0" w:space="0" w:color="auto"/>
            <w:bottom w:val="none" w:sz="0" w:space="0" w:color="auto"/>
            <w:right w:val="none" w:sz="0" w:space="0" w:color="auto"/>
          </w:divBdr>
        </w:div>
      </w:divsChild>
    </w:div>
    <w:div w:id="1716003131">
      <w:bodyDiv w:val="1"/>
      <w:marLeft w:val="0"/>
      <w:marRight w:val="0"/>
      <w:marTop w:val="0"/>
      <w:marBottom w:val="0"/>
      <w:divBdr>
        <w:top w:val="none" w:sz="0" w:space="0" w:color="auto"/>
        <w:left w:val="none" w:sz="0" w:space="0" w:color="auto"/>
        <w:bottom w:val="none" w:sz="0" w:space="0" w:color="auto"/>
        <w:right w:val="none" w:sz="0" w:space="0" w:color="auto"/>
      </w:divBdr>
    </w:div>
    <w:div w:id="1716809689">
      <w:bodyDiv w:val="1"/>
      <w:marLeft w:val="0"/>
      <w:marRight w:val="0"/>
      <w:marTop w:val="0"/>
      <w:marBottom w:val="0"/>
      <w:divBdr>
        <w:top w:val="none" w:sz="0" w:space="0" w:color="auto"/>
        <w:left w:val="none" w:sz="0" w:space="0" w:color="auto"/>
        <w:bottom w:val="none" w:sz="0" w:space="0" w:color="auto"/>
        <w:right w:val="none" w:sz="0" w:space="0" w:color="auto"/>
      </w:divBdr>
    </w:div>
    <w:div w:id="1724645417">
      <w:bodyDiv w:val="1"/>
      <w:marLeft w:val="0"/>
      <w:marRight w:val="0"/>
      <w:marTop w:val="0"/>
      <w:marBottom w:val="0"/>
      <w:divBdr>
        <w:top w:val="none" w:sz="0" w:space="0" w:color="auto"/>
        <w:left w:val="none" w:sz="0" w:space="0" w:color="auto"/>
        <w:bottom w:val="none" w:sz="0" w:space="0" w:color="auto"/>
        <w:right w:val="none" w:sz="0" w:space="0" w:color="auto"/>
      </w:divBdr>
    </w:div>
    <w:div w:id="1725565220">
      <w:bodyDiv w:val="1"/>
      <w:marLeft w:val="0"/>
      <w:marRight w:val="0"/>
      <w:marTop w:val="0"/>
      <w:marBottom w:val="0"/>
      <w:divBdr>
        <w:top w:val="none" w:sz="0" w:space="0" w:color="auto"/>
        <w:left w:val="none" w:sz="0" w:space="0" w:color="auto"/>
        <w:bottom w:val="none" w:sz="0" w:space="0" w:color="auto"/>
        <w:right w:val="none" w:sz="0" w:space="0" w:color="auto"/>
      </w:divBdr>
    </w:div>
    <w:div w:id="1727490007">
      <w:bodyDiv w:val="1"/>
      <w:marLeft w:val="0"/>
      <w:marRight w:val="0"/>
      <w:marTop w:val="0"/>
      <w:marBottom w:val="0"/>
      <w:divBdr>
        <w:top w:val="none" w:sz="0" w:space="0" w:color="auto"/>
        <w:left w:val="none" w:sz="0" w:space="0" w:color="auto"/>
        <w:bottom w:val="none" w:sz="0" w:space="0" w:color="auto"/>
        <w:right w:val="none" w:sz="0" w:space="0" w:color="auto"/>
      </w:divBdr>
    </w:div>
    <w:div w:id="1745563804">
      <w:bodyDiv w:val="1"/>
      <w:marLeft w:val="0"/>
      <w:marRight w:val="0"/>
      <w:marTop w:val="0"/>
      <w:marBottom w:val="0"/>
      <w:divBdr>
        <w:top w:val="none" w:sz="0" w:space="0" w:color="auto"/>
        <w:left w:val="none" w:sz="0" w:space="0" w:color="auto"/>
        <w:bottom w:val="none" w:sz="0" w:space="0" w:color="auto"/>
        <w:right w:val="none" w:sz="0" w:space="0" w:color="auto"/>
      </w:divBdr>
    </w:div>
    <w:div w:id="1778015999">
      <w:bodyDiv w:val="1"/>
      <w:marLeft w:val="0"/>
      <w:marRight w:val="0"/>
      <w:marTop w:val="0"/>
      <w:marBottom w:val="0"/>
      <w:divBdr>
        <w:top w:val="none" w:sz="0" w:space="0" w:color="auto"/>
        <w:left w:val="none" w:sz="0" w:space="0" w:color="auto"/>
        <w:bottom w:val="none" w:sz="0" w:space="0" w:color="auto"/>
        <w:right w:val="none" w:sz="0" w:space="0" w:color="auto"/>
      </w:divBdr>
    </w:div>
    <w:div w:id="1798837968">
      <w:bodyDiv w:val="1"/>
      <w:marLeft w:val="0"/>
      <w:marRight w:val="0"/>
      <w:marTop w:val="0"/>
      <w:marBottom w:val="0"/>
      <w:divBdr>
        <w:top w:val="none" w:sz="0" w:space="0" w:color="auto"/>
        <w:left w:val="none" w:sz="0" w:space="0" w:color="auto"/>
        <w:bottom w:val="none" w:sz="0" w:space="0" w:color="auto"/>
        <w:right w:val="none" w:sz="0" w:space="0" w:color="auto"/>
      </w:divBdr>
    </w:div>
    <w:div w:id="1805274734">
      <w:bodyDiv w:val="1"/>
      <w:marLeft w:val="0"/>
      <w:marRight w:val="0"/>
      <w:marTop w:val="0"/>
      <w:marBottom w:val="0"/>
      <w:divBdr>
        <w:top w:val="none" w:sz="0" w:space="0" w:color="auto"/>
        <w:left w:val="none" w:sz="0" w:space="0" w:color="auto"/>
        <w:bottom w:val="none" w:sz="0" w:space="0" w:color="auto"/>
        <w:right w:val="none" w:sz="0" w:space="0" w:color="auto"/>
      </w:divBdr>
    </w:div>
    <w:div w:id="1819959536">
      <w:bodyDiv w:val="1"/>
      <w:marLeft w:val="0"/>
      <w:marRight w:val="0"/>
      <w:marTop w:val="0"/>
      <w:marBottom w:val="0"/>
      <w:divBdr>
        <w:top w:val="none" w:sz="0" w:space="0" w:color="auto"/>
        <w:left w:val="none" w:sz="0" w:space="0" w:color="auto"/>
        <w:bottom w:val="none" w:sz="0" w:space="0" w:color="auto"/>
        <w:right w:val="none" w:sz="0" w:space="0" w:color="auto"/>
      </w:divBdr>
    </w:div>
    <w:div w:id="1824538628">
      <w:bodyDiv w:val="1"/>
      <w:marLeft w:val="0"/>
      <w:marRight w:val="0"/>
      <w:marTop w:val="0"/>
      <w:marBottom w:val="0"/>
      <w:divBdr>
        <w:top w:val="none" w:sz="0" w:space="0" w:color="auto"/>
        <w:left w:val="none" w:sz="0" w:space="0" w:color="auto"/>
        <w:bottom w:val="none" w:sz="0" w:space="0" w:color="auto"/>
        <w:right w:val="none" w:sz="0" w:space="0" w:color="auto"/>
      </w:divBdr>
    </w:div>
    <w:div w:id="1844467696">
      <w:bodyDiv w:val="1"/>
      <w:marLeft w:val="0"/>
      <w:marRight w:val="0"/>
      <w:marTop w:val="0"/>
      <w:marBottom w:val="0"/>
      <w:divBdr>
        <w:top w:val="none" w:sz="0" w:space="0" w:color="auto"/>
        <w:left w:val="none" w:sz="0" w:space="0" w:color="auto"/>
        <w:bottom w:val="none" w:sz="0" w:space="0" w:color="auto"/>
        <w:right w:val="none" w:sz="0" w:space="0" w:color="auto"/>
      </w:divBdr>
    </w:div>
    <w:div w:id="1846704080">
      <w:bodyDiv w:val="1"/>
      <w:marLeft w:val="0"/>
      <w:marRight w:val="0"/>
      <w:marTop w:val="0"/>
      <w:marBottom w:val="0"/>
      <w:divBdr>
        <w:top w:val="none" w:sz="0" w:space="0" w:color="auto"/>
        <w:left w:val="none" w:sz="0" w:space="0" w:color="auto"/>
        <w:bottom w:val="none" w:sz="0" w:space="0" w:color="auto"/>
        <w:right w:val="none" w:sz="0" w:space="0" w:color="auto"/>
      </w:divBdr>
      <w:divsChild>
        <w:div w:id="768887261">
          <w:marLeft w:val="0"/>
          <w:marRight w:val="0"/>
          <w:marTop w:val="0"/>
          <w:marBottom w:val="0"/>
          <w:divBdr>
            <w:top w:val="none" w:sz="0" w:space="0" w:color="auto"/>
            <w:left w:val="none" w:sz="0" w:space="0" w:color="auto"/>
            <w:bottom w:val="none" w:sz="0" w:space="0" w:color="auto"/>
            <w:right w:val="none" w:sz="0" w:space="0" w:color="auto"/>
          </w:divBdr>
        </w:div>
        <w:div w:id="1235316368">
          <w:marLeft w:val="0"/>
          <w:marRight w:val="0"/>
          <w:marTop w:val="0"/>
          <w:marBottom w:val="0"/>
          <w:divBdr>
            <w:top w:val="none" w:sz="0" w:space="0" w:color="auto"/>
            <w:left w:val="none" w:sz="0" w:space="0" w:color="auto"/>
            <w:bottom w:val="none" w:sz="0" w:space="0" w:color="auto"/>
            <w:right w:val="none" w:sz="0" w:space="0" w:color="auto"/>
          </w:divBdr>
        </w:div>
        <w:div w:id="1070662800">
          <w:marLeft w:val="0"/>
          <w:marRight w:val="0"/>
          <w:marTop w:val="0"/>
          <w:marBottom w:val="0"/>
          <w:divBdr>
            <w:top w:val="none" w:sz="0" w:space="0" w:color="auto"/>
            <w:left w:val="none" w:sz="0" w:space="0" w:color="auto"/>
            <w:bottom w:val="none" w:sz="0" w:space="0" w:color="auto"/>
            <w:right w:val="none" w:sz="0" w:space="0" w:color="auto"/>
          </w:divBdr>
        </w:div>
        <w:div w:id="308243518">
          <w:marLeft w:val="0"/>
          <w:marRight w:val="0"/>
          <w:marTop w:val="0"/>
          <w:marBottom w:val="0"/>
          <w:divBdr>
            <w:top w:val="none" w:sz="0" w:space="0" w:color="auto"/>
            <w:left w:val="none" w:sz="0" w:space="0" w:color="auto"/>
            <w:bottom w:val="none" w:sz="0" w:space="0" w:color="auto"/>
            <w:right w:val="none" w:sz="0" w:space="0" w:color="auto"/>
          </w:divBdr>
        </w:div>
        <w:div w:id="619262051">
          <w:marLeft w:val="0"/>
          <w:marRight w:val="0"/>
          <w:marTop w:val="0"/>
          <w:marBottom w:val="0"/>
          <w:divBdr>
            <w:top w:val="none" w:sz="0" w:space="0" w:color="auto"/>
            <w:left w:val="none" w:sz="0" w:space="0" w:color="auto"/>
            <w:bottom w:val="none" w:sz="0" w:space="0" w:color="auto"/>
            <w:right w:val="none" w:sz="0" w:space="0" w:color="auto"/>
          </w:divBdr>
        </w:div>
        <w:div w:id="1767578111">
          <w:marLeft w:val="0"/>
          <w:marRight w:val="0"/>
          <w:marTop w:val="0"/>
          <w:marBottom w:val="0"/>
          <w:divBdr>
            <w:top w:val="none" w:sz="0" w:space="0" w:color="auto"/>
            <w:left w:val="none" w:sz="0" w:space="0" w:color="auto"/>
            <w:bottom w:val="none" w:sz="0" w:space="0" w:color="auto"/>
            <w:right w:val="none" w:sz="0" w:space="0" w:color="auto"/>
          </w:divBdr>
        </w:div>
        <w:div w:id="1252008927">
          <w:marLeft w:val="0"/>
          <w:marRight w:val="0"/>
          <w:marTop w:val="0"/>
          <w:marBottom w:val="0"/>
          <w:divBdr>
            <w:top w:val="none" w:sz="0" w:space="0" w:color="auto"/>
            <w:left w:val="none" w:sz="0" w:space="0" w:color="auto"/>
            <w:bottom w:val="none" w:sz="0" w:space="0" w:color="auto"/>
            <w:right w:val="none" w:sz="0" w:space="0" w:color="auto"/>
          </w:divBdr>
        </w:div>
        <w:div w:id="1042050847">
          <w:marLeft w:val="0"/>
          <w:marRight w:val="0"/>
          <w:marTop w:val="0"/>
          <w:marBottom w:val="0"/>
          <w:divBdr>
            <w:top w:val="none" w:sz="0" w:space="0" w:color="auto"/>
            <w:left w:val="none" w:sz="0" w:space="0" w:color="auto"/>
            <w:bottom w:val="none" w:sz="0" w:space="0" w:color="auto"/>
            <w:right w:val="none" w:sz="0" w:space="0" w:color="auto"/>
          </w:divBdr>
        </w:div>
        <w:div w:id="591665473">
          <w:marLeft w:val="0"/>
          <w:marRight w:val="0"/>
          <w:marTop w:val="0"/>
          <w:marBottom w:val="0"/>
          <w:divBdr>
            <w:top w:val="none" w:sz="0" w:space="0" w:color="auto"/>
            <w:left w:val="none" w:sz="0" w:space="0" w:color="auto"/>
            <w:bottom w:val="none" w:sz="0" w:space="0" w:color="auto"/>
            <w:right w:val="none" w:sz="0" w:space="0" w:color="auto"/>
          </w:divBdr>
        </w:div>
      </w:divsChild>
    </w:div>
    <w:div w:id="1850830068">
      <w:bodyDiv w:val="1"/>
      <w:marLeft w:val="0"/>
      <w:marRight w:val="0"/>
      <w:marTop w:val="0"/>
      <w:marBottom w:val="0"/>
      <w:divBdr>
        <w:top w:val="none" w:sz="0" w:space="0" w:color="auto"/>
        <w:left w:val="none" w:sz="0" w:space="0" w:color="auto"/>
        <w:bottom w:val="none" w:sz="0" w:space="0" w:color="auto"/>
        <w:right w:val="none" w:sz="0" w:space="0" w:color="auto"/>
      </w:divBdr>
      <w:divsChild>
        <w:div w:id="1062487988">
          <w:marLeft w:val="0"/>
          <w:marRight w:val="0"/>
          <w:marTop w:val="0"/>
          <w:marBottom w:val="0"/>
          <w:divBdr>
            <w:top w:val="none" w:sz="0" w:space="0" w:color="auto"/>
            <w:left w:val="none" w:sz="0" w:space="0" w:color="auto"/>
            <w:bottom w:val="none" w:sz="0" w:space="0" w:color="auto"/>
            <w:right w:val="none" w:sz="0" w:space="0" w:color="auto"/>
          </w:divBdr>
        </w:div>
        <w:div w:id="1319267388">
          <w:marLeft w:val="0"/>
          <w:marRight w:val="0"/>
          <w:marTop w:val="0"/>
          <w:marBottom w:val="0"/>
          <w:divBdr>
            <w:top w:val="none" w:sz="0" w:space="0" w:color="auto"/>
            <w:left w:val="none" w:sz="0" w:space="0" w:color="auto"/>
            <w:bottom w:val="none" w:sz="0" w:space="0" w:color="auto"/>
            <w:right w:val="none" w:sz="0" w:space="0" w:color="auto"/>
          </w:divBdr>
        </w:div>
        <w:div w:id="1964773742">
          <w:marLeft w:val="0"/>
          <w:marRight w:val="0"/>
          <w:marTop w:val="0"/>
          <w:marBottom w:val="0"/>
          <w:divBdr>
            <w:top w:val="none" w:sz="0" w:space="0" w:color="auto"/>
            <w:left w:val="none" w:sz="0" w:space="0" w:color="auto"/>
            <w:bottom w:val="none" w:sz="0" w:space="0" w:color="auto"/>
            <w:right w:val="none" w:sz="0" w:space="0" w:color="auto"/>
          </w:divBdr>
        </w:div>
        <w:div w:id="1120958206">
          <w:marLeft w:val="0"/>
          <w:marRight w:val="0"/>
          <w:marTop w:val="0"/>
          <w:marBottom w:val="0"/>
          <w:divBdr>
            <w:top w:val="none" w:sz="0" w:space="0" w:color="auto"/>
            <w:left w:val="none" w:sz="0" w:space="0" w:color="auto"/>
            <w:bottom w:val="none" w:sz="0" w:space="0" w:color="auto"/>
            <w:right w:val="none" w:sz="0" w:space="0" w:color="auto"/>
          </w:divBdr>
        </w:div>
        <w:div w:id="186602858">
          <w:marLeft w:val="0"/>
          <w:marRight w:val="0"/>
          <w:marTop w:val="0"/>
          <w:marBottom w:val="0"/>
          <w:divBdr>
            <w:top w:val="none" w:sz="0" w:space="0" w:color="auto"/>
            <w:left w:val="none" w:sz="0" w:space="0" w:color="auto"/>
            <w:bottom w:val="none" w:sz="0" w:space="0" w:color="auto"/>
            <w:right w:val="none" w:sz="0" w:space="0" w:color="auto"/>
          </w:divBdr>
        </w:div>
      </w:divsChild>
    </w:div>
    <w:div w:id="1856993768">
      <w:bodyDiv w:val="1"/>
      <w:marLeft w:val="0"/>
      <w:marRight w:val="0"/>
      <w:marTop w:val="0"/>
      <w:marBottom w:val="0"/>
      <w:divBdr>
        <w:top w:val="none" w:sz="0" w:space="0" w:color="auto"/>
        <w:left w:val="none" w:sz="0" w:space="0" w:color="auto"/>
        <w:bottom w:val="none" w:sz="0" w:space="0" w:color="auto"/>
        <w:right w:val="none" w:sz="0" w:space="0" w:color="auto"/>
      </w:divBdr>
    </w:div>
    <w:div w:id="1861888937">
      <w:bodyDiv w:val="1"/>
      <w:marLeft w:val="0"/>
      <w:marRight w:val="0"/>
      <w:marTop w:val="0"/>
      <w:marBottom w:val="0"/>
      <w:divBdr>
        <w:top w:val="none" w:sz="0" w:space="0" w:color="auto"/>
        <w:left w:val="none" w:sz="0" w:space="0" w:color="auto"/>
        <w:bottom w:val="none" w:sz="0" w:space="0" w:color="auto"/>
        <w:right w:val="none" w:sz="0" w:space="0" w:color="auto"/>
      </w:divBdr>
      <w:divsChild>
        <w:div w:id="1739935356">
          <w:marLeft w:val="0"/>
          <w:marRight w:val="0"/>
          <w:marTop w:val="0"/>
          <w:marBottom w:val="0"/>
          <w:divBdr>
            <w:top w:val="none" w:sz="0" w:space="0" w:color="auto"/>
            <w:left w:val="none" w:sz="0" w:space="0" w:color="auto"/>
            <w:bottom w:val="none" w:sz="0" w:space="0" w:color="auto"/>
            <w:right w:val="none" w:sz="0" w:space="0" w:color="auto"/>
          </w:divBdr>
        </w:div>
        <w:div w:id="53048048">
          <w:marLeft w:val="0"/>
          <w:marRight w:val="0"/>
          <w:marTop w:val="0"/>
          <w:marBottom w:val="0"/>
          <w:divBdr>
            <w:top w:val="none" w:sz="0" w:space="0" w:color="auto"/>
            <w:left w:val="none" w:sz="0" w:space="0" w:color="auto"/>
            <w:bottom w:val="none" w:sz="0" w:space="0" w:color="auto"/>
            <w:right w:val="none" w:sz="0" w:space="0" w:color="auto"/>
          </w:divBdr>
        </w:div>
        <w:div w:id="211621575">
          <w:marLeft w:val="0"/>
          <w:marRight w:val="0"/>
          <w:marTop w:val="0"/>
          <w:marBottom w:val="0"/>
          <w:divBdr>
            <w:top w:val="none" w:sz="0" w:space="0" w:color="auto"/>
            <w:left w:val="none" w:sz="0" w:space="0" w:color="auto"/>
            <w:bottom w:val="none" w:sz="0" w:space="0" w:color="auto"/>
            <w:right w:val="none" w:sz="0" w:space="0" w:color="auto"/>
          </w:divBdr>
        </w:div>
      </w:divsChild>
    </w:div>
    <w:div w:id="1866602218">
      <w:bodyDiv w:val="1"/>
      <w:marLeft w:val="0"/>
      <w:marRight w:val="0"/>
      <w:marTop w:val="0"/>
      <w:marBottom w:val="0"/>
      <w:divBdr>
        <w:top w:val="none" w:sz="0" w:space="0" w:color="auto"/>
        <w:left w:val="none" w:sz="0" w:space="0" w:color="auto"/>
        <w:bottom w:val="none" w:sz="0" w:space="0" w:color="auto"/>
        <w:right w:val="none" w:sz="0" w:space="0" w:color="auto"/>
      </w:divBdr>
    </w:div>
    <w:div w:id="1870102186">
      <w:bodyDiv w:val="1"/>
      <w:marLeft w:val="0"/>
      <w:marRight w:val="0"/>
      <w:marTop w:val="0"/>
      <w:marBottom w:val="0"/>
      <w:divBdr>
        <w:top w:val="none" w:sz="0" w:space="0" w:color="auto"/>
        <w:left w:val="none" w:sz="0" w:space="0" w:color="auto"/>
        <w:bottom w:val="none" w:sz="0" w:space="0" w:color="auto"/>
        <w:right w:val="none" w:sz="0" w:space="0" w:color="auto"/>
      </w:divBdr>
      <w:divsChild>
        <w:div w:id="785586870">
          <w:marLeft w:val="0"/>
          <w:marRight w:val="0"/>
          <w:marTop w:val="0"/>
          <w:marBottom w:val="0"/>
          <w:divBdr>
            <w:top w:val="none" w:sz="0" w:space="0" w:color="auto"/>
            <w:left w:val="none" w:sz="0" w:space="0" w:color="auto"/>
            <w:bottom w:val="none" w:sz="0" w:space="0" w:color="auto"/>
            <w:right w:val="none" w:sz="0" w:space="0" w:color="auto"/>
          </w:divBdr>
        </w:div>
        <w:div w:id="1000423709">
          <w:marLeft w:val="0"/>
          <w:marRight w:val="0"/>
          <w:marTop w:val="0"/>
          <w:marBottom w:val="0"/>
          <w:divBdr>
            <w:top w:val="none" w:sz="0" w:space="0" w:color="auto"/>
            <w:left w:val="none" w:sz="0" w:space="0" w:color="auto"/>
            <w:bottom w:val="none" w:sz="0" w:space="0" w:color="auto"/>
            <w:right w:val="none" w:sz="0" w:space="0" w:color="auto"/>
          </w:divBdr>
        </w:div>
        <w:div w:id="81995317">
          <w:marLeft w:val="0"/>
          <w:marRight w:val="0"/>
          <w:marTop w:val="0"/>
          <w:marBottom w:val="0"/>
          <w:divBdr>
            <w:top w:val="none" w:sz="0" w:space="0" w:color="auto"/>
            <w:left w:val="none" w:sz="0" w:space="0" w:color="auto"/>
            <w:bottom w:val="none" w:sz="0" w:space="0" w:color="auto"/>
            <w:right w:val="none" w:sz="0" w:space="0" w:color="auto"/>
          </w:divBdr>
        </w:div>
        <w:div w:id="1597323939">
          <w:marLeft w:val="0"/>
          <w:marRight w:val="0"/>
          <w:marTop w:val="0"/>
          <w:marBottom w:val="0"/>
          <w:divBdr>
            <w:top w:val="none" w:sz="0" w:space="0" w:color="auto"/>
            <w:left w:val="none" w:sz="0" w:space="0" w:color="auto"/>
            <w:bottom w:val="none" w:sz="0" w:space="0" w:color="auto"/>
            <w:right w:val="none" w:sz="0" w:space="0" w:color="auto"/>
          </w:divBdr>
        </w:div>
        <w:div w:id="626742872">
          <w:marLeft w:val="0"/>
          <w:marRight w:val="0"/>
          <w:marTop w:val="0"/>
          <w:marBottom w:val="0"/>
          <w:divBdr>
            <w:top w:val="none" w:sz="0" w:space="0" w:color="auto"/>
            <w:left w:val="none" w:sz="0" w:space="0" w:color="auto"/>
            <w:bottom w:val="none" w:sz="0" w:space="0" w:color="auto"/>
            <w:right w:val="none" w:sz="0" w:space="0" w:color="auto"/>
          </w:divBdr>
        </w:div>
        <w:div w:id="310253244">
          <w:marLeft w:val="0"/>
          <w:marRight w:val="0"/>
          <w:marTop w:val="0"/>
          <w:marBottom w:val="0"/>
          <w:divBdr>
            <w:top w:val="none" w:sz="0" w:space="0" w:color="auto"/>
            <w:left w:val="none" w:sz="0" w:space="0" w:color="auto"/>
            <w:bottom w:val="none" w:sz="0" w:space="0" w:color="auto"/>
            <w:right w:val="none" w:sz="0" w:space="0" w:color="auto"/>
          </w:divBdr>
        </w:div>
        <w:div w:id="911431335">
          <w:marLeft w:val="0"/>
          <w:marRight w:val="0"/>
          <w:marTop w:val="0"/>
          <w:marBottom w:val="0"/>
          <w:divBdr>
            <w:top w:val="none" w:sz="0" w:space="0" w:color="auto"/>
            <w:left w:val="none" w:sz="0" w:space="0" w:color="auto"/>
            <w:bottom w:val="none" w:sz="0" w:space="0" w:color="auto"/>
            <w:right w:val="none" w:sz="0" w:space="0" w:color="auto"/>
          </w:divBdr>
        </w:div>
        <w:div w:id="1442451076">
          <w:marLeft w:val="0"/>
          <w:marRight w:val="0"/>
          <w:marTop w:val="0"/>
          <w:marBottom w:val="0"/>
          <w:divBdr>
            <w:top w:val="none" w:sz="0" w:space="0" w:color="auto"/>
            <w:left w:val="none" w:sz="0" w:space="0" w:color="auto"/>
            <w:bottom w:val="none" w:sz="0" w:space="0" w:color="auto"/>
            <w:right w:val="none" w:sz="0" w:space="0" w:color="auto"/>
          </w:divBdr>
        </w:div>
      </w:divsChild>
    </w:div>
    <w:div w:id="1895390257">
      <w:bodyDiv w:val="1"/>
      <w:marLeft w:val="0"/>
      <w:marRight w:val="0"/>
      <w:marTop w:val="0"/>
      <w:marBottom w:val="0"/>
      <w:divBdr>
        <w:top w:val="none" w:sz="0" w:space="0" w:color="auto"/>
        <w:left w:val="none" w:sz="0" w:space="0" w:color="auto"/>
        <w:bottom w:val="none" w:sz="0" w:space="0" w:color="auto"/>
        <w:right w:val="none" w:sz="0" w:space="0" w:color="auto"/>
      </w:divBdr>
    </w:div>
    <w:div w:id="1898471605">
      <w:bodyDiv w:val="1"/>
      <w:marLeft w:val="0"/>
      <w:marRight w:val="0"/>
      <w:marTop w:val="0"/>
      <w:marBottom w:val="0"/>
      <w:divBdr>
        <w:top w:val="none" w:sz="0" w:space="0" w:color="auto"/>
        <w:left w:val="none" w:sz="0" w:space="0" w:color="auto"/>
        <w:bottom w:val="none" w:sz="0" w:space="0" w:color="auto"/>
        <w:right w:val="none" w:sz="0" w:space="0" w:color="auto"/>
      </w:divBdr>
    </w:div>
    <w:div w:id="1901014305">
      <w:bodyDiv w:val="1"/>
      <w:marLeft w:val="0"/>
      <w:marRight w:val="0"/>
      <w:marTop w:val="0"/>
      <w:marBottom w:val="0"/>
      <w:divBdr>
        <w:top w:val="none" w:sz="0" w:space="0" w:color="auto"/>
        <w:left w:val="none" w:sz="0" w:space="0" w:color="auto"/>
        <w:bottom w:val="none" w:sz="0" w:space="0" w:color="auto"/>
        <w:right w:val="none" w:sz="0" w:space="0" w:color="auto"/>
      </w:divBdr>
    </w:div>
    <w:div w:id="1914774184">
      <w:bodyDiv w:val="1"/>
      <w:marLeft w:val="0"/>
      <w:marRight w:val="0"/>
      <w:marTop w:val="0"/>
      <w:marBottom w:val="0"/>
      <w:divBdr>
        <w:top w:val="none" w:sz="0" w:space="0" w:color="auto"/>
        <w:left w:val="none" w:sz="0" w:space="0" w:color="auto"/>
        <w:bottom w:val="none" w:sz="0" w:space="0" w:color="auto"/>
        <w:right w:val="none" w:sz="0" w:space="0" w:color="auto"/>
      </w:divBdr>
    </w:div>
    <w:div w:id="1937325093">
      <w:bodyDiv w:val="1"/>
      <w:marLeft w:val="0"/>
      <w:marRight w:val="0"/>
      <w:marTop w:val="0"/>
      <w:marBottom w:val="0"/>
      <w:divBdr>
        <w:top w:val="none" w:sz="0" w:space="0" w:color="auto"/>
        <w:left w:val="none" w:sz="0" w:space="0" w:color="auto"/>
        <w:bottom w:val="none" w:sz="0" w:space="0" w:color="auto"/>
        <w:right w:val="none" w:sz="0" w:space="0" w:color="auto"/>
      </w:divBdr>
    </w:div>
    <w:div w:id="1955016828">
      <w:bodyDiv w:val="1"/>
      <w:marLeft w:val="0"/>
      <w:marRight w:val="0"/>
      <w:marTop w:val="0"/>
      <w:marBottom w:val="0"/>
      <w:divBdr>
        <w:top w:val="none" w:sz="0" w:space="0" w:color="auto"/>
        <w:left w:val="none" w:sz="0" w:space="0" w:color="auto"/>
        <w:bottom w:val="none" w:sz="0" w:space="0" w:color="auto"/>
        <w:right w:val="none" w:sz="0" w:space="0" w:color="auto"/>
      </w:divBdr>
    </w:div>
    <w:div w:id="1958559809">
      <w:bodyDiv w:val="1"/>
      <w:marLeft w:val="0"/>
      <w:marRight w:val="0"/>
      <w:marTop w:val="0"/>
      <w:marBottom w:val="0"/>
      <w:divBdr>
        <w:top w:val="none" w:sz="0" w:space="0" w:color="auto"/>
        <w:left w:val="none" w:sz="0" w:space="0" w:color="auto"/>
        <w:bottom w:val="none" w:sz="0" w:space="0" w:color="auto"/>
        <w:right w:val="none" w:sz="0" w:space="0" w:color="auto"/>
      </w:divBdr>
    </w:div>
    <w:div w:id="1967931370">
      <w:bodyDiv w:val="1"/>
      <w:marLeft w:val="0"/>
      <w:marRight w:val="0"/>
      <w:marTop w:val="0"/>
      <w:marBottom w:val="0"/>
      <w:divBdr>
        <w:top w:val="none" w:sz="0" w:space="0" w:color="auto"/>
        <w:left w:val="none" w:sz="0" w:space="0" w:color="auto"/>
        <w:bottom w:val="none" w:sz="0" w:space="0" w:color="auto"/>
        <w:right w:val="none" w:sz="0" w:space="0" w:color="auto"/>
      </w:divBdr>
    </w:div>
    <w:div w:id="1989092785">
      <w:bodyDiv w:val="1"/>
      <w:marLeft w:val="0"/>
      <w:marRight w:val="0"/>
      <w:marTop w:val="0"/>
      <w:marBottom w:val="0"/>
      <w:divBdr>
        <w:top w:val="none" w:sz="0" w:space="0" w:color="auto"/>
        <w:left w:val="none" w:sz="0" w:space="0" w:color="auto"/>
        <w:bottom w:val="none" w:sz="0" w:space="0" w:color="auto"/>
        <w:right w:val="none" w:sz="0" w:space="0" w:color="auto"/>
      </w:divBdr>
    </w:div>
    <w:div w:id="1998419429">
      <w:bodyDiv w:val="1"/>
      <w:marLeft w:val="0"/>
      <w:marRight w:val="0"/>
      <w:marTop w:val="0"/>
      <w:marBottom w:val="0"/>
      <w:divBdr>
        <w:top w:val="none" w:sz="0" w:space="0" w:color="auto"/>
        <w:left w:val="none" w:sz="0" w:space="0" w:color="auto"/>
        <w:bottom w:val="none" w:sz="0" w:space="0" w:color="auto"/>
        <w:right w:val="none" w:sz="0" w:space="0" w:color="auto"/>
      </w:divBdr>
    </w:div>
    <w:div w:id="2016421983">
      <w:bodyDiv w:val="1"/>
      <w:marLeft w:val="0"/>
      <w:marRight w:val="0"/>
      <w:marTop w:val="0"/>
      <w:marBottom w:val="0"/>
      <w:divBdr>
        <w:top w:val="none" w:sz="0" w:space="0" w:color="auto"/>
        <w:left w:val="none" w:sz="0" w:space="0" w:color="auto"/>
        <w:bottom w:val="none" w:sz="0" w:space="0" w:color="auto"/>
        <w:right w:val="none" w:sz="0" w:space="0" w:color="auto"/>
      </w:divBdr>
    </w:div>
    <w:div w:id="2017879189">
      <w:bodyDiv w:val="1"/>
      <w:marLeft w:val="0"/>
      <w:marRight w:val="0"/>
      <w:marTop w:val="0"/>
      <w:marBottom w:val="0"/>
      <w:divBdr>
        <w:top w:val="none" w:sz="0" w:space="0" w:color="auto"/>
        <w:left w:val="none" w:sz="0" w:space="0" w:color="auto"/>
        <w:bottom w:val="none" w:sz="0" w:space="0" w:color="auto"/>
        <w:right w:val="none" w:sz="0" w:space="0" w:color="auto"/>
      </w:divBdr>
    </w:div>
    <w:div w:id="2035694548">
      <w:bodyDiv w:val="1"/>
      <w:marLeft w:val="0"/>
      <w:marRight w:val="0"/>
      <w:marTop w:val="0"/>
      <w:marBottom w:val="0"/>
      <w:divBdr>
        <w:top w:val="none" w:sz="0" w:space="0" w:color="auto"/>
        <w:left w:val="none" w:sz="0" w:space="0" w:color="auto"/>
        <w:bottom w:val="none" w:sz="0" w:space="0" w:color="auto"/>
        <w:right w:val="none" w:sz="0" w:space="0" w:color="auto"/>
      </w:divBdr>
    </w:div>
    <w:div w:id="2040351044">
      <w:bodyDiv w:val="1"/>
      <w:marLeft w:val="0"/>
      <w:marRight w:val="0"/>
      <w:marTop w:val="0"/>
      <w:marBottom w:val="0"/>
      <w:divBdr>
        <w:top w:val="none" w:sz="0" w:space="0" w:color="auto"/>
        <w:left w:val="none" w:sz="0" w:space="0" w:color="auto"/>
        <w:bottom w:val="none" w:sz="0" w:space="0" w:color="auto"/>
        <w:right w:val="none" w:sz="0" w:space="0" w:color="auto"/>
      </w:divBdr>
      <w:divsChild>
        <w:div w:id="310646733">
          <w:marLeft w:val="0"/>
          <w:marRight w:val="0"/>
          <w:marTop w:val="0"/>
          <w:marBottom w:val="0"/>
          <w:divBdr>
            <w:top w:val="none" w:sz="0" w:space="0" w:color="auto"/>
            <w:left w:val="none" w:sz="0" w:space="0" w:color="auto"/>
            <w:bottom w:val="none" w:sz="0" w:space="0" w:color="auto"/>
            <w:right w:val="none" w:sz="0" w:space="0" w:color="auto"/>
          </w:divBdr>
        </w:div>
        <w:div w:id="318078105">
          <w:marLeft w:val="0"/>
          <w:marRight w:val="0"/>
          <w:marTop w:val="0"/>
          <w:marBottom w:val="0"/>
          <w:divBdr>
            <w:top w:val="none" w:sz="0" w:space="0" w:color="auto"/>
            <w:left w:val="none" w:sz="0" w:space="0" w:color="auto"/>
            <w:bottom w:val="none" w:sz="0" w:space="0" w:color="auto"/>
            <w:right w:val="none" w:sz="0" w:space="0" w:color="auto"/>
          </w:divBdr>
        </w:div>
        <w:div w:id="425080118">
          <w:marLeft w:val="0"/>
          <w:marRight w:val="0"/>
          <w:marTop w:val="0"/>
          <w:marBottom w:val="0"/>
          <w:divBdr>
            <w:top w:val="none" w:sz="0" w:space="0" w:color="auto"/>
            <w:left w:val="none" w:sz="0" w:space="0" w:color="auto"/>
            <w:bottom w:val="none" w:sz="0" w:space="0" w:color="auto"/>
            <w:right w:val="none" w:sz="0" w:space="0" w:color="auto"/>
          </w:divBdr>
        </w:div>
        <w:div w:id="27030107">
          <w:marLeft w:val="0"/>
          <w:marRight w:val="0"/>
          <w:marTop w:val="0"/>
          <w:marBottom w:val="0"/>
          <w:divBdr>
            <w:top w:val="none" w:sz="0" w:space="0" w:color="auto"/>
            <w:left w:val="none" w:sz="0" w:space="0" w:color="auto"/>
            <w:bottom w:val="none" w:sz="0" w:space="0" w:color="auto"/>
            <w:right w:val="none" w:sz="0" w:space="0" w:color="auto"/>
          </w:divBdr>
        </w:div>
        <w:div w:id="999385938">
          <w:marLeft w:val="0"/>
          <w:marRight w:val="0"/>
          <w:marTop w:val="0"/>
          <w:marBottom w:val="0"/>
          <w:divBdr>
            <w:top w:val="none" w:sz="0" w:space="0" w:color="auto"/>
            <w:left w:val="none" w:sz="0" w:space="0" w:color="auto"/>
            <w:bottom w:val="none" w:sz="0" w:space="0" w:color="auto"/>
            <w:right w:val="none" w:sz="0" w:space="0" w:color="auto"/>
          </w:divBdr>
        </w:div>
        <w:div w:id="1533153801">
          <w:marLeft w:val="0"/>
          <w:marRight w:val="0"/>
          <w:marTop w:val="0"/>
          <w:marBottom w:val="0"/>
          <w:divBdr>
            <w:top w:val="none" w:sz="0" w:space="0" w:color="auto"/>
            <w:left w:val="none" w:sz="0" w:space="0" w:color="auto"/>
            <w:bottom w:val="none" w:sz="0" w:space="0" w:color="auto"/>
            <w:right w:val="none" w:sz="0" w:space="0" w:color="auto"/>
          </w:divBdr>
        </w:div>
      </w:divsChild>
    </w:div>
    <w:div w:id="2079592930">
      <w:bodyDiv w:val="1"/>
      <w:marLeft w:val="0"/>
      <w:marRight w:val="0"/>
      <w:marTop w:val="0"/>
      <w:marBottom w:val="0"/>
      <w:divBdr>
        <w:top w:val="none" w:sz="0" w:space="0" w:color="auto"/>
        <w:left w:val="none" w:sz="0" w:space="0" w:color="auto"/>
        <w:bottom w:val="none" w:sz="0" w:space="0" w:color="auto"/>
        <w:right w:val="none" w:sz="0" w:space="0" w:color="auto"/>
      </w:divBdr>
    </w:div>
    <w:div w:id="2090538528">
      <w:bodyDiv w:val="1"/>
      <w:marLeft w:val="0"/>
      <w:marRight w:val="0"/>
      <w:marTop w:val="0"/>
      <w:marBottom w:val="0"/>
      <w:divBdr>
        <w:top w:val="none" w:sz="0" w:space="0" w:color="auto"/>
        <w:left w:val="none" w:sz="0" w:space="0" w:color="auto"/>
        <w:bottom w:val="none" w:sz="0" w:space="0" w:color="auto"/>
        <w:right w:val="none" w:sz="0" w:space="0" w:color="auto"/>
      </w:divBdr>
    </w:div>
    <w:div w:id="2093233177">
      <w:bodyDiv w:val="1"/>
      <w:marLeft w:val="0"/>
      <w:marRight w:val="0"/>
      <w:marTop w:val="0"/>
      <w:marBottom w:val="0"/>
      <w:divBdr>
        <w:top w:val="none" w:sz="0" w:space="0" w:color="auto"/>
        <w:left w:val="none" w:sz="0" w:space="0" w:color="auto"/>
        <w:bottom w:val="none" w:sz="0" w:space="0" w:color="auto"/>
        <w:right w:val="none" w:sz="0" w:space="0" w:color="auto"/>
      </w:divBdr>
    </w:div>
    <w:div w:id="2097945598">
      <w:bodyDiv w:val="1"/>
      <w:marLeft w:val="0"/>
      <w:marRight w:val="0"/>
      <w:marTop w:val="0"/>
      <w:marBottom w:val="0"/>
      <w:divBdr>
        <w:top w:val="none" w:sz="0" w:space="0" w:color="auto"/>
        <w:left w:val="none" w:sz="0" w:space="0" w:color="auto"/>
        <w:bottom w:val="none" w:sz="0" w:space="0" w:color="auto"/>
        <w:right w:val="none" w:sz="0" w:space="0" w:color="auto"/>
      </w:divBdr>
    </w:div>
    <w:div w:id="2101489044">
      <w:bodyDiv w:val="1"/>
      <w:marLeft w:val="0"/>
      <w:marRight w:val="0"/>
      <w:marTop w:val="0"/>
      <w:marBottom w:val="0"/>
      <w:divBdr>
        <w:top w:val="none" w:sz="0" w:space="0" w:color="auto"/>
        <w:left w:val="none" w:sz="0" w:space="0" w:color="auto"/>
        <w:bottom w:val="none" w:sz="0" w:space="0" w:color="auto"/>
        <w:right w:val="none" w:sz="0" w:space="0" w:color="auto"/>
      </w:divBdr>
    </w:div>
    <w:div w:id="2106530767">
      <w:bodyDiv w:val="1"/>
      <w:marLeft w:val="0"/>
      <w:marRight w:val="0"/>
      <w:marTop w:val="0"/>
      <w:marBottom w:val="0"/>
      <w:divBdr>
        <w:top w:val="none" w:sz="0" w:space="0" w:color="auto"/>
        <w:left w:val="none" w:sz="0" w:space="0" w:color="auto"/>
        <w:bottom w:val="none" w:sz="0" w:space="0" w:color="auto"/>
        <w:right w:val="none" w:sz="0" w:space="0" w:color="auto"/>
      </w:divBdr>
    </w:div>
    <w:div w:id="2111469948">
      <w:bodyDiv w:val="1"/>
      <w:marLeft w:val="0"/>
      <w:marRight w:val="0"/>
      <w:marTop w:val="0"/>
      <w:marBottom w:val="0"/>
      <w:divBdr>
        <w:top w:val="none" w:sz="0" w:space="0" w:color="auto"/>
        <w:left w:val="none" w:sz="0" w:space="0" w:color="auto"/>
        <w:bottom w:val="none" w:sz="0" w:space="0" w:color="auto"/>
        <w:right w:val="none" w:sz="0" w:space="0" w:color="auto"/>
      </w:divBdr>
    </w:div>
    <w:div w:id="2116320870">
      <w:bodyDiv w:val="1"/>
      <w:marLeft w:val="0"/>
      <w:marRight w:val="0"/>
      <w:marTop w:val="0"/>
      <w:marBottom w:val="0"/>
      <w:divBdr>
        <w:top w:val="none" w:sz="0" w:space="0" w:color="auto"/>
        <w:left w:val="none" w:sz="0" w:space="0" w:color="auto"/>
        <w:bottom w:val="none" w:sz="0" w:space="0" w:color="auto"/>
        <w:right w:val="none" w:sz="0" w:space="0" w:color="auto"/>
      </w:divBdr>
    </w:div>
    <w:div w:id="21244995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customXml" Target="../customXml/item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unevaluation.org/document/detail/191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3114950096121"/>
          <c:y val="3.2375594960444301E-2"/>
          <c:w val="0.78745361177678896"/>
          <c:h val="0.76903444098665397"/>
        </c:manualLayout>
      </c:layout>
      <c:barChart>
        <c:barDir val="col"/>
        <c:grouping val="stacked"/>
        <c:varyColors val="0"/>
        <c:ser>
          <c:idx val="0"/>
          <c:order val="0"/>
          <c:spPr>
            <a:solidFill>
              <a:schemeClr val="accent1">
                <a:lumMod val="50000"/>
              </a:schemeClr>
            </a:solidFill>
            <a:ln>
              <a:noFill/>
            </a:ln>
            <a:effectLst/>
          </c:spPr>
          <c:invertIfNegative val="0"/>
          <c:dPt>
            <c:idx val="2"/>
            <c:invertIfNegative val="0"/>
            <c:bubble3D val="0"/>
            <c:spPr>
              <a:solidFill>
                <a:schemeClr val="accent2">
                  <a:lumMod val="50000"/>
                </a:schemeClr>
              </a:solidFill>
              <a:ln>
                <a:noFill/>
              </a:ln>
              <a:effectLst/>
            </c:spPr>
            <c:extLst>
              <c:ext xmlns:c16="http://schemas.microsoft.com/office/drawing/2014/chart" uri="{C3380CC4-5D6E-409C-BE32-E72D297353CC}">
                <c16:uniqueId val="{00000001-EEBE-48E8-8ADE-E1220F017802}"/>
              </c:ext>
            </c:extLst>
          </c:dPt>
          <c:cat>
            <c:strRef>
              <c:f>'[Tablas resumen y resultados.xlsx]Resultados'!$B$18:$B$20</c:f>
              <c:strCache>
                <c:ptCount val="3"/>
                <c:pt idx="0">
                  <c:v>Variación de los costos (intra)</c:v>
                </c:pt>
                <c:pt idx="1">
                  <c:v>Variación de los costos (hogar)</c:v>
                </c:pt>
                <c:pt idx="2">
                  <c:v>Variación de los costos (total)</c:v>
                </c:pt>
              </c:strCache>
            </c:strRef>
          </c:cat>
          <c:val>
            <c:numRef>
              <c:f>'[Tablas resumen y resultados.xlsx]Resultados'!$C$18:$C$20</c:f>
              <c:numCache>
                <c:formatCode>"$"#,##0</c:formatCode>
                <c:ptCount val="3"/>
                <c:pt idx="0">
                  <c:v>-29923211</c:v>
                </c:pt>
                <c:pt idx="1">
                  <c:v>14978868</c:v>
                </c:pt>
                <c:pt idx="2">
                  <c:v>-14944343</c:v>
                </c:pt>
              </c:numCache>
            </c:numRef>
          </c:val>
          <c:extLst>
            <c:ext xmlns:c16="http://schemas.microsoft.com/office/drawing/2014/chart" uri="{C3380CC4-5D6E-409C-BE32-E72D297353CC}">
              <c16:uniqueId val="{00000002-EEBE-48E8-8ADE-E1220F017802}"/>
            </c:ext>
          </c:extLst>
        </c:ser>
        <c:dLbls>
          <c:showLegendKey val="0"/>
          <c:showVal val="0"/>
          <c:showCatName val="0"/>
          <c:showSerName val="0"/>
          <c:showPercent val="0"/>
          <c:showBubbleSize val="0"/>
        </c:dLbls>
        <c:gapWidth val="50"/>
        <c:overlap val="100"/>
        <c:axId val="-2138638272"/>
        <c:axId val="2110631824"/>
      </c:barChart>
      <c:catAx>
        <c:axId val="-213863827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110631824"/>
        <c:crosses val="autoZero"/>
        <c:auto val="1"/>
        <c:lblAlgn val="ctr"/>
        <c:lblOffset val="100"/>
        <c:noMultiLvlLbl val="0"/>
      </c:catAx>
      <c:valAx>
        <c:axId val="2110631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s-CO"/>
                  <a:t>Miles d epesos</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2138638272"/>
        <c:crosses val="autoZero"/>
        <c:crossBetween val="between"/>
        <c:dispUnits>
          <c:builtInUnit val="thousands"/>
        </c:dispUnits>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overPageProperties xmlns="http://schemas.microsoft.com/office/2006/coverPageProps">
  <PublishDate/>
  <Abstract>XXX</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b:Source>
    <b:Tag>Far14</b:Tag>
    <b:SourceType>JournalArticle</b:SourceType>
    <b:Guid>{019D490A-DB3A-400C-ADE7-49EB3E60FD9F}</b:Guid>
    <b:Author>
      <b:Author>
        <b:NameList>
          <b:Person>
            <b:Last>Faria</b:Last>
            <b:First>Rita</b:First>
          </b:Person>
          <b:Person>
            <b:Last>Duarte</b:Last>
            <b:First>Ana</b:First>
          </b:Person>
          <b:Person>
            <b:Last>McKenna</b:Last>
            <b:First>Claire</b:First>
          </b:Person>
          <b:Person>
            <b:Last>Revill</b:Last>
            <b:First>Paul</b:First>
          </b:Person>
          <b:Person>
            <b:Last>Cary</b:Last>
            <b:First>Maria</b:First>
          </b:Person>
          <b:Person>
            <b:Last>Byford</b:Last>
            <b:First>Sarah</b:First>
          </b:Person>
        </b:NameList>
      </b:Author>
    </b:Author>
    <b:Title>Guidelines for the economic evaluation of healthcare technologies in Colombia: technical support documents</b:Title>
    <b:JournalName>Instituto de Evaluación Tecnologico en Salud-IETS</b:JournalName>
    <b:Year>2014</b:Year>
    <b:RefOrder>7</b:RefOrder>
  </b:Source>
  <b:Source>
    <b:Tag>Dru01</b:Tag>
    <b:SourceType>Book</b:SourceType>
    <b:Guid>{A56BFEEC-555B-45F8-ADC8-E887DF7E969A}</b:Guid>
    <b:Title>Métodos para la Evualuación Económica de los Programas de Asistencia Sanitaria</b:Title>
    <b:Year>2001</b:Year>
    <b:Publisher>Diaz de Santos</b:Publisher>
    <b:City>Madrid</b:City>
    <b:Author>
      <b:Author>
        <b:NameList>
          <b:Person>
            <b:Last>Drummond</b:Last>
            <b:First>Michael</b:First>
          </b:Person>
          <b:Person>
            <b:Last>O'Brien</b:Last>
            <b:First>Bernie</b:First>
          </b:Person>
          <b:Person>
            <b:Last>Stoddart</b:Last>
            <b:First>Greg</b:First>
          </b:Person>
          <b:Person>
            <b:Last>Torrance</b:Last>
            <b:First>George</b:First>
          </b:Person>
        </b:NameList>
      </b:Author>
    </b:Author>
    <b:RefOrder>1</b:RefOrder>
  </b:Source>
  <b:Source>
    <b:Tag>Con06</b:Tag>
    <b:SourceType>JournalArticle</b:SourceType>
    <b:Guid>{5F411A2A-0F68-4322-878A-26887A2DC37C}</b:Guid>
    <b:Title>Evaluación de costo-efectividad de la vacuna antirotavirus en Chile</b:Title>
    <b:Year>2006</b:Year>
    <b:Pages>679-688</b:Pages>
    <b:Author>
      <b:Author>
        <b:NameList>
          <b:Person>
            <b:Last>Constenla</b:Last>
            <b:First>Dagna</b:First>
          </b:Person>
          <b:Person>
            <b:Last>O'Ryan</b:Last>
            <b:First>Miguel</b:First>
          </b:Person>
          <b:Person>
            <b:Last>Navarrete</b:Last>
            <b:First>María</b:First>
          </b:Person>
          <b:Person>
            <b:Last>Antil</b:Last>
            <b:First>Lynn</b:First>
          </b:Person>
          <b:Person>
            <b:Last>Rheingans</b:Last>
            <b:First>Richard</b:First>
          </b:Person>
        </b:NameList>
      </b:Author>
    </b:Author>
    <b:JournalName>Revista Médica de Chile</b:JournalName>
    <b:RefOrder>2</b:RefOrder>
  </b:Source>
  <b:Source>
    <b:Tag>Dev14</b:Tag>
    <b:SourceType>JournalArticle</b:SourceType>
    <b:Guid>{6D3DBE67-9283-4805-8184-2C15AB82D1E5}</b:Guid>
    <b:Author>
      <b:Author>
        <b:NameList>
          <b:Person>
            <b:Last>Devleesschauwer B</b:Last>
            <b:First>Havelaar</b:First>
            <b:Middle>AH, De Noordhout CM, Haagsma JA, Praet N, Dorny P, Duchateau L, Torgerson PR, Van Oyen H, Speybroeck N</b:Middle>
          </b:Person>
        </b:NameList>
      </b:Author>
    </b:Author>
    <b:Title>Calculating disability-adjusted life years to quantify burden of disease</b:Title>
    <b:JournalName>International journal of public health</b:JournalName>
    <b:Year>2014</b:Year>
    <b:RefOrder>3</b:RefOrder>
  </b:Source>
  <b:Source>
    <b:Tag>Mur96</b:Tag>
    <b:SourceType>JournalArticle</b:SourceType>
    <b:Guid>{4B4F1EDC-8579-4177-A206-CBE23DC82712}</b:Guid>
    <b:Author>
      <b:Author>
        <b:NameList>
          <b:Person>
            <b:Last>Murray CJL</b:Last>
            <b:First>Lopez</b:First>
            <b:Middle>AD</b:Middle>
          </b:Person>
        </b:NameList>
      </b:Author>
    </b:Author>
    <b:Title>The Global Burden of Disease: a comprehensive assessment of mortality and disability from diseases, injuries and risk factors in 1990 and projected to 2020</b:Title>
    <b:JournalName>Harvard University Press</b:JournalName>
    <b:Year>1996</b:Year>
    <b:RefOrder>4</b:RefOrder>
  </b:Source>
  <b:Source>
    <b:Tag>Alv11</b:Tag>
    <b:SourceType>JournalArticle</b:SourceType>
    <b:Guid>{C2387FF9-614A-D748-8271-979B19633E81}</b:Guid>
    <b:Author>
      <b:Author>
        <b:NameList>
          <b:Person>
            <b:Last>Franco-Giraldo</b:Last>
            <b:First>Alvaro</b:First>
          </b:Person>
        </b:NameList>
      </b:Author>
    </b:Author>
    <b:Title>Atención primaria en salud (aps). ¿De regreso al pasado?</b:Title>
    <b:JournalName>Rev. Fac. Nac. Salud Pública</b:JournalName>
    <b:Year>2011</b:Year>
    <b:Pages>83-94</b:Pages>
    <b:RefOrder>8</b:RefOrder>
  </b:Source>
  <b:Source>
    <b:Tag>Bac09</b:Tag>
    <b:SourceType>JournalArticle</b:SourceType>
    <b:Guid>{614DCDAC-7A18-4D50-835F-FD505E9C8CE6}</b:Guid>
    <b:Author>
      <b:Author>
        <b:NameList>
          <b:Person>
            <b:Last>Bachmann</b:Last>
            <b:First>Max</b:First>
            <b:Middle>O</b:Middle>
          </b:Person>
        </b:NameList>
      </b:Author>
    </b:Author>
    <b:Title>Cost effectiveness of community-based therapeutic care for children with severe acute malnutrition in Zambia: decision tree model</b:Title>
    <b:Year>2009</b:Year>
    <b:JournalName>Cost Effectiveness and Resource Allocation</b:JournalName>
    <b:RefOrder>9</b:RefOrder>
  </b:Source>
  <b:Source>
    <b:Tag>Pue13</b:Tag>
    <b:SourceType>JournalArticle</b:SourceType>
    <b:Guid>{0988818E-C54A-4FA5-90A1-8AA30894AD32}</b:Guid>
    <b:Author>
      <b:Author>
        <b:NameList>
          <b:Person>
            <b:Last>Puett</b:Last>
            <b:First>Chloe</b:First>
          </b:Person>
          <b:Person>
            <b:Last>Sadler</b:Last>
            <b:First>Kate</b:First>
          </b:Person>
          <b:Person>
            <b:Last>Alderman</b:Last>
            <b:First>Harold</b:First>
          </b:Person>
          <b:Person>
            <b:Last>Coates</b:Last>
            <b:First>Jennifer</b:First>
          </b:Person>
          <b:Person>
            <b:Last>Fiedler</b:Last>
            <b:First>John</b:First>
            <b:Middle>L.</b:Middle>
          </b:Person>
          <b:Person>
            <b:Last>Myatt</b:Last>
            <b:First>Mark</b:First>
          </b:Person>
        </b:NameList>
      </b:Author>
    </b:Author>
    <b:Title>Cost-effectiveness of the community-based management of severe acute malnutrition by community health workers in southern Bangladesh</b:Title>
    <b:JournalName>Health Policy and Planning</b:JournalName>
    <b:Year>2013</b:Year>
    <b:RefOrder>10</b:RefOrder>
  </b:Source>
  <b:Source>
    <b:Tag>Min16</b:Tag>
    <b:SourceType>Book</b:SourceType>
    <b:Guid>{97665A54-4B02-466D-84AE-3ECA7F4B115E}</b:Guid>
    <b:Title>Lineamiento para el manejo integrado de la denustrición aguda moderada y severa en los niños de 0 a 59 meses de edad</b:Title>
    <b:Year>2016</b:Year>
    <b:Author>
      <b:Author>
        <b:Corporate>Ministerio de Salud y Protección Social y UNICEF</b:Corporate>
      </b:Author>
    </b:Author>
    <b:RefOrder>11</b:RefOrder>
  </b:Source>
  <b:Source>
    <b:Tag>Gue14</b:Tag>
    <b:SourceType>JournalArticle</b:SourceType>
    <b:Guid>{985675A6-B6CF-43E5-BB19-95AF2D57D043}</b:Guid>
    <b:Author>
      <b:Author>
        <b:NameList>
          <b:Person>
            <b:Last>Guerrero</b:Last>
            <b:First>Ramiro</b:First>
          </b:Person>
          <b:Person>
            <b:Last>Guevara</b:Last>
            <b:First>César</b:First>
          </b:Person>
          <b:Person>
            <b:Last>Parody</b:Last>
            <b:First>Elizabeth</b:First>
          </b:Person>
        </b:NameList>
      </b:Author>
    </b:Author>
    <b:Title>Guía metodológica para la realización de evaluaciones económicas en el marco de Guías de Práctica Clínica</b:Title>
    <b:JournalName>Instituto de Evaluación Tecnologico en Salud-IETS</b:JournalName>
    <b:Year>2014</b:Year>
    <b:RefOrder>12</b:RefOrder>
  </b:Source>
  <b:Source>
    <b:Tag>Mor14</b:Tag>
    <b:SourceType>JournalArticle</b:SourceType>
    <b:Guid>{5BBF56C2-03FD-4884-8339-11CF86507AA3}</b:Guid>
    <b:Author>
      <b:Author>
        <b:NameList>
          <b:Person>
            <b:Last>Moreno Viscaya</b:Last>
            <b:First>Mabel</b:First>
          </b:Person>
          <b:Person>
            <b:Last>Mejía Mejía</b:Last>
            <b:First>Aurelio</b:First>
          </b:Person>
          <b:Person>
            <b:Last>Castro Jaramillo</b:Last>
            <b:First>Héctor</b:First>
            <b:Middle>Eduardo</b:Middle>
          </b:Person>
        </b:NameList>
      </b:Author>
    </b:Author>
    <b:Title>Manual para la elaboración de evaluaciones económicas en salud</b:Title>
    <b:JournalName>Instituto de Evaluación Tecnologico en Salud-IETS</b:JournalName>
    <b:Year>2014</b:Year>
    <b:RefOrder>13</b:RefOrder>
  </b:Source>
  <b:Source>
    <b:Tag>Tek12</b:Tag>
    <b:SourceType>JournalArticle</b:SourceType>
    <b:Guid>{3F4CA22B-8CFE-4C12-924F-A9AF5472A5BB}</b:Guid>
    <b:Author>
      <b:Author>
        <b:NameList>
          <b:Person>
            <b:Last>Tekeste</b:Last>
            <b:First>A.</b:First>
          </b:Person>
          <b:Person>
            <b:Last>Wondafrash</b:Last>
            <b:First>M.</b:First>
          </b:Person>
          <b:Person>
            <b:Last>Azene</b:Last>
            <b:First>M.</b:First>
          </b:Person>
          <b:Person>
            <b:Last>Deribe</b:Last>
            <b:First>K.</b:First>
          </b:Person>
        </b:NameList>
      </b:Author>
    </b:Author>
    <b:Title>Cost effectiveness of community-based and in-patient therapeutic feeding programs to treat severe acute malnutrition in Ethiopia</b:Title>
    <b:JournalName>Cost Effectiveness and Resource Allocation</b:JournalName>
    <b:Year>2012</b:Year>
    <b:RefOrder>14</b:RefOrder>
  </b:Source>
  <b:Source>
    <b:Tag>Pue131</b:Tag>
    <b:SourceType>JournalArticle</b:SourceType>
    <b:Guid>{8C9244FD-CF91-4F7B-AE1A-6AD4647A0174}</b:Guid>
    <b:Author>
      <b:Author>
        <b:NameList>
          <b:Person>
            <b:Last>Puett</b:Last>
            <b:First>C.</b:First>
          </b:Person>
          <b:Person>
            <b:Last>Sadler</b:Last>
            <b:First>K.</b:First>
          </b:Person>
          <b:Person>
            <b:Last>Alderman</b:Last>
            <b:First>H.,</b:First>
            <b:Middle>Coates, J.</b:Middle>
          </b:Person>
          <b:Person>
            <b:Last>Fiedler</b:Last>
            <b:First>JL.</b:First>
          </b:Person>
          <b:Person>
            <b:Last>Myatt</b:Last>
            <b:First>M.</b:First>
          </b:Person>
        </b:NameList>
      </b:Author>
    </b:Author>
    <b:Title>Cost-effectiveness of the community-based management of severe acute malnutrition by community health workers in southern Bangladesh</b:Title>
    <b:JournalName>Health policy and planning</b:JournalName>
    <b:Year>2013</b:Year>
    <b:RefOrder>15</b:RefOrder>
  </b:Source>
  <b:Source>
    <b:Tag>Ash97</b:Tag>
    <b:SourceType>JournalArticle</b:SourceType>
    <b:Guid>{32F4B6E5-3CCF-4771-AE68-CCF93BD85D7B}</b:Guid>
    <b:Author>
      <b:Author>
        <b:NameList>
          <b:Person>
            <b:Last>Ashworth</b:Last>
            <b:First>A.</b:First>
          </b:Person>
          <b:Person>
            <b:Last>Khanum</b:Last>
            <b:First>S.</b:First>
          </b:Person>
        </b:NameList>
      </b:Author>
    </b:Author>
    <b:Title>Cost-effective treatment for severely malnourished children: what is the best approach?</b:Title>
    <b:JournalName>Health Policy and Planning.</b:JournalName>
    <b:Year>1997</b:Year>
    <b:RefOrder>16</b:RefOrder>
  </b:Source>
  <b:Source>
    <b:Tag>Bac10</b:Tag>
    <b:SourceType>JournalArticle</b:SourceType>
    <b:Guid>{4911AD42-5530-472A-9170-389F13C3F027}</b:Guid>
    <b:Author>
      <b:Author>
        <b:NameList>
          <b:Person>
            <b:Last>Bachmann</b:Last>
            <b:First>MO</b:First>
          </b:Person>
        </b:NameList>
      </b:Author>
    </b:Author>
    <b:Title>Cost–effectiveness of community-based treatment of severe acute malnutrition in children</b:Title>
    <b:JournalName>Expert review of pharmacoeconomics &amp; outcomes research</b:JournalName>
    <b:Year>2010</b:Year>
    <b:RefOrder>17</b:RefOrder>
  </b:Source>
  <b:Source>
    <b:Tag>Col06</b:Tag>
    <b:SourceType>JournalArticle</b:SourceType>
    <b:Guid>{3AF8870D-F695-4919-A004-A47B89F0B0A8}</b:Guid>
    <b:Author>
      <b:Author>
        <b:NameList>
          <b:Person>
            <b:Last>Collins</b:Last>
            <b:First>S.</b:First>
          </b:Person>
          <b:Person>
            <b:Last>Dent</b:Last>
            <b:First>N.</b:First>
          </b:Person>
          <b:Person>
            <b:Last>Binns</b:Last>
            <b:First>P.</b:First>
          </b:Person>
          <b:Person>
            <b:Last>Bahwere</b:Last>
            <b:First>P.</b:First>
          </b:Person>
          <b:Person>
            <b:Last>Sadler</b:Last>
            <b:First>K.</b:First>
          </b:Person>
          <b:Person>
            <b:Last>Hallam</b:Last>
            <b:First>A.</b:First>
          </b:Person>
        </b:NameList>
      </b:Author>
    </b:Author>
    <b:Title>Management of severe acute malnutrition in children</b:Title>
    <b:JournalName>The Lancet</b:JournalName>
    <b:Year>2006</b:Year>
    <b:RefOrder>18</b:RefOrder>
  </b:Source>
  <b:Source>
    <b:Tag>Mur13</b:Tag>
    <b:SourceType>JournalArticle</b:SourceType>
    <b:Guid>{2FC24D35-1D1D-446D-A283-A8EFB9893ECB}</b:Guid>
    <b:Author>
      <b:Author>
        <b:NameList>
          <b:Person>
            <b:Last>Murray</b:Last>
            <b:First>CJ</b:First>
          </b:Person>
          <b:Person>
            <b:Last>Vos</b:Last>
            <b:First>T</b:First>
          </b:Person>
          <b:Person>
            <b:Last>Lozano</b:Last>
            <b:First>R</b:First>
          </b:Person>
          <b:Person>
            <b:Last>Naghavi</b:Last>
            <b:First>M</b:First>
          </b:Person>
          <b:Person>
            <b:Last>Flaxman</b:Last>
            <b:First>AD</b:First>
          </b:Person>
          <b:Person>
            <b:Last>Michaud</b:Last>
            <b:First>C</b:First>
          </b:Person>
          <b:Person>
            <b:Last>Ezzati</b:Last>
            <b:First>M</b:First>
          </b:Person>
          <b:Person>
            <b:Last>Shibuya</b:Last>
            <b:First>K</b:First>
          </b:Person>
          <b:Person>
            <b:Last>Salomon</b:Last>
            <b:First>JA</b:First>
          </b:Person>
          <b:Person>
            <b:Last>Abdalla</b:Last>
            <b:First>S</b:First>
          </b:Person>
          <b:Person>
            <b:Last>Aboyans</b:Last>
            <b:First>V</b:First>
          </b:Person>
        </b:NameList>
      </b:Author>
    </b:Author>
    <b:Title>Disability-adjusted life years (DALYs) for 291 diseases and injuries in 21 regions, 1990–2010: a systematic analysis for the Global Burden of Disease Study 2010</b:Title>
    <b:JournalName>The lancet</b:JournalName>
    <b:Year>2013</b:Year>
    <b:RefOrder>5</b:RefOrder>
  </b:Source>
  <b:Source>
    <b:Tag>Dep13</b:Tag>
    <b:SourceType>JournalArticle</b:SourceType>
    <b:Guid>{451F8B21-130B-4549-ABD9-970825B26C0F}</b:Guid>
    <b:Author>
      <b:Author>
        <b:NameList>
          <b:Person>
            <b:Last>OMS</b:Last>
          </b:Person>
        </b:NameList>
      </b:Author>
    </b:Author>
    <b:Title>WHO methods and data sources for global burden of disease estimates 2000-2011</b:Title>
    <b:JournalName>Department of Health Statistics and Information</b:JournalName>
    <b:Year>2013</b:Year>
    <b:RefOrder>6</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2D3D31-B915-49F3-9D20-4726641E8B1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E750A656-BB77-4596-82B3-4AD82CBC03AD}"/>
</file>

<file path=customXml/itemProps4.xml><?xml version="1.0" encoding="utf-8"?>
<ds:datastoreItem xmlns:ds="http://schemas.openxmlformats.org/officeDocument/2006/customXml" ds:itemID="{A0833D58-0DC7-4B19-BBDE-846705EF8633}"/>
</file>

<file path=customXml/itemProps5.xml><?xml version="1.0" encoding="utf-8"?>
<ds:datastoreItem xmlns:ds="http://schemas.openxmlformats.org/officeDocument/2006/customXml" ds:itemID="{F1BC6F84-5FF2-4E2B-BDF9-14D4CB33A88C}"/>
</file>

<file path=docProps/app.xml><?xml version="1.0" encoding="utf-8"?>
<Properties xmlns="http://schemas.openxmlformats.org/officeDocument/2006/extended-properties" xmlns:vt="http://schemas.openxmlformats.org/officeDocument/2006/docPropsVTypes">
  <Template>Normal</Template>
  <TotalTime>188</TotalTime>
  <Pages>58</Pages>
  <Words>21694</Words>
  <Characters>123657</Characters>
  <Application>Microsoft Office Word</Application>
  <DocSecurity>0</DocSecurity>
  <Lines>1030</Lines>
  <Paragraphs>290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Informe FINAL</vt:lpstr>
      <vt:lpstr>Informe FINAL</vt:lpstr>
    </vt:vector>
  </TitlesOfParts>
  <Manager/>
  <Company/>
  <LinksUpToDate>false</LinksUpToDate>
  <CharactersWithSpaces>145061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FINAL</dc:title>
  <dc:subject>Evaluación de adherencia y costo-efectividad del lineamiento para el manejo integrado de la desnutrición aguda en niños y niñas de 0 a 59 meses de edad, en los municipios de Maicao, Manaure, Riohacha y Uribia del Departamento de La Guajira (2016-2017).</dc:subject>
  <dc:creator>Orlando Gracia Fajardo</dc:creator>
  <cp:keywords/>
  <dc:description/>
  <cp:lastModifiedBy>Sergio Riaga</cp:lastModifiedBy>
  <cp:revision>23</cp:revision>
  <dcterms:created xsi:type="dcterms:W3CDTF">2018-01-30T15:59:00Z</dcterms:created>
  <dcterms:modified xsi:type="dcterms:W3CDTF">2018-01-30T21:51:00Z</dcterms:modified>
  <cp:category>Colombia</cp:category>
</cp:coreProperties>
</file>