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4FB" w:rsidRPr="00D61C8A" w:rsidRDefault="00B454FB" w:rsidP="00B454FB">
      <w:pPr>
        <w:spacing w:line="276" w:lineRule="auto"/>
        <w:jc w:val="center"/>
        <w:rPr>
          <w:rFonts w:ascii="Calibri" w:eastAsia="Cambria" w:hAnsi="Calibri"/>
          <w:sz w:val="22"/>
          <w:szCs w:val="22"/>
        </w:rPr>
      </w:pPr>
    </w:p>
    <w:p w:rsidR="00B454FB" w:rsidRDefault="00B454FB" w:rsidP="00B454FB">
      <w:pPr>
        <w:spacing w:line="276" w:lineRule="auto"/>
        <w:jc w:val="center"/>
        <w:rPr>
          <w:rFonts w:ascii="Calibri" w:eastAsia="Cambria" w:hAnsi="Calibri"/>
          <w:sz w:val="22"/>
          <w:szCs w:val="22"/>
        </w:rPr>
      </w:pPr>
    </w:p>
    <w:p w:rsidR="00B454FB" w:rsidRDefault="00B454FB" w:rsidP="00B454FB">
      <w:pPr>
        <w:spacing w:line="276" w:lineRule="auto"/>
        <w:jc w:val="center"/>
        <w:rPr>
          <w:rFonts w:ascii="Calibri" w:eastAsia="Cambria" w:hAnsi="Calibri"/>
          <w:sz w:val="22"/>
          <w:szCs w:val="22"/>
        </w:rPr>
      </w:pPr>
    </w:p>
    <w:p w:rsidR="00B454FB" w:rsidRDefault="00B454FB" w:rsidP="00B454FB">
      <w:pPr>
        <w:spacing w:line="276" w:lineRule="auto"/>
        <w:jc w:val="center"/>
        <w:rPr>
          <w:rFonts w:ascii="Calibri" w:eastAsia="Cambria" w:hAnsi="Calibri"/>
          <w:sz w:val="22"/>
          <w:szCs w:val="22"/>
        </w:rPr>
      </w:pPr>
    </w:p>
    <w:p w:rsidR="00B454FB" w:rsidRDefault="00B454FB" w:rsidP="00B454FB">
      <w:pPr>
        <w:spacing w:line="276" w:lineRule="auto"/>
        <w:jc w:val="center"/>
        <w:rPr>
          <w:rFonts w:ascii="Calibri" w:eastAsia="Cambria" w:hAnsi="Calibri"/>
          <w:sz w:val="22"/>
          <w:szCs w:val="22"/>
        </w:rPr>
      </w:pPr>
    </w:p>
    <w:p w:rsidR="00B454FB" w:rsidRPr="00D61C8A" w:rsidRDefault="00B454FB" w:rsidP="00B454FB">
      <w:pPr>
        <w:spacing w:line="276" w:lineRule="auto"/>
        <w:jc w:val="center"/>
        <w:rPr>
          <w:rFonts w:ascii="Calibri" w:eastAsia="Cambria" w:hAnsi="Calibri"/>
          <w:sz w:val="22"/>
          <w:szCs w:val="22"/>
        </w:rPr>
      </w:pPr>
    </w:p>
    <w:p w:rsidR="00B454FB" w:rsidRPr="00D61C8A" w:rsidRDefault="00B454FB" w:rsidP="00B454FB">
      <w:pPr>
        <w:spacing w:line="276" w:lineRule="auto"/>
        <w:jc w:val="center"/>
        <w:rPr>
          <w:rFonts w:ascii="Calibri" w:eastAsia="Cambria" w:hAnsi="Calibri"/>
          <w:sz w:val="22"/>
          <w:szCs w:val="22"/>
        </w:rPr>
      </w:pPr>
    </w:p>
    <w:p w:rsidR="00B454FB" w:rsidRPr="00D61C8A" w:rsidRDefault="00B454FB" w:rsidP="00B454FB">
      <w:pPr>
        <w:spacing w:line="276" w:lineRule="auto"/>
        <w:jc w:val="center"/>
        <w:rPr>
          <w:rFonts w:ascii="Calibri" w:eastAsia="Cambria" w:hAnsi="Calibri"/>
          <w:sz w:val="22"/>
          <w:szCs w:val="22"/>
        </w:rPr>
      </w:pPr>
    </w:p>
    <w:p w:rsidR="00B454FB" w:rsidRPr="00D61C8A" w:rsidRDefault="00B454FB" w:rsidP="00B454FB">
      <w:pPr>
        <w:spacing w:line="276" w:lineRule="auto"/>
        <w:jc w:val="center"/>
        <w:rPr>
          <w:rFonts w:ascii="Calibri" w:eastAsia="Cambria" w:hAnsi="Calibri"/>
          <w:b/>
          <w:sz w:val="34"/>
          <w:szCs w:val="34"/>
        </w:rPr>
      </w:pPr>
      <w:r w:rsidRPr="00D61C8A">
        <w:rPr>
          <w:rFonts w:ascii="Calibri" w:eastAsia="Cambria" w:hAnsi="Calibri"/>
          <w:b/>
          <w:sz w:val="34"/>
          <w:szCs w:val="34"/>
        </w:rPr>
        <w:t>Evaluation of UNICEF Nepal Mine Action Activities:</w:t>
      </w:r>
    </w:p>
    <w:p w:rsidR="00B454FB" w:rsidRPr="00D61C8A" w:rsidRDefault="00B454FB" w:rsidP="00B454FB">
      <w:pPr>
        <w:spacing w:line="276" w:lineRule="auto"/>
        <w:jc w:val="center"/>
        <w:rPr>
          <w:rFonts w:ascii="Calibri" w:eastAsia="Cambria" w:hAnsi="Calibri"/>
          <w:b/>
          <w:sz w:val="34"/>
          <w:szCs w:val="34"/>
        </w:rPr>
      </w:pPr>
      <w:r w:rsidRPr="00D61C8A">
        <w:rPr>
          <w:rFonts w:ascii="Calibri" w:eastAsia="Cambria" w:hAnsi="Calibri"/>
          <w:b/>
          <w:sz w:val="34"/>
          <w:szCs w:val="34"/>
        </w:rPr>
        <w:t xml:space="preserve">Victim-Activated Explosion Injury Surveillance </w:t>
      </w:r>
    </w:p>
    <w:p w:rsidR="00B454FB" w:rsidRPr="00D61C8A" w:rsidRDefault="00B454FB" w:rsidP="00B454FB">
      <w:pPr>
        <w:spacing w:line="276" w:lineRule="auto"/>
        <w:jc w:val="center"/>
        <w:rPr>
          <w:rFonts w:ascii="Calibri" w:eastAsia="Cambria" w:hAnsi="Calibri"/>
          <w:b/>
          <w:sz w:val="34"/>
          <w:szCs w:val="34"/>
        </w:rPr>
      </w:pPr>
      <w:r w:rsidRPr="00D61C8A">
        <w:rPr>
          <w:rFonts w:ascii="Calibri" w:eastAsia="Cambria" w:hAnsi="Calibri"/>
          <w:b/>
          <w:sz w:val="34"/>
          <w:szCs w:val="34"/>
        </w:rPr>
        <w:t>and Mine Risk Education</w:t>
      </w:r>
    </w:p>
    <w:p w:rsidR="00B454FB" w:rsidRPr="00D61C8A" w:rsidRDefault="00B454FB" w:rsidP="00B454FB">
      <w:pPr>
        <w:spacing w:line="276" w:lineRule="auto"/>
        <w:jc w:val="center"/>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jc w:val="right"/>
        <w:rPr>
          <w:rFonts w:ascii="Calibri" w:eastAsia="Cambria" w:hAnsi="Calibri"/>
          <w:sz w:val="32"/>
          <w:szCs w:val="22"/>
        </w:rPr>
      </w:pPr>
      <w:r w:rsidRPr="00D61C8A">
        <w:rPr>
          <w:rFonts w:ascii="Calibri" w:eastAsia="Cambria" w:hAnsi="Calibri"/>
          <w:sz w:val="32"/>
          <w:szCs w:val="22"/>
        </w:rPr>
        <w:t>International Emergency and Refugee Health Branch</w:t>
      </w:r>
    </w:p>
    <w:p w:rsidR="00B454FB" w:rsidRPr="00D61C8A" w:rsidRDefault="00B454FB" w:rsidP="00B454FB">
      <w:pPr>
        <w:spacing w:line="276" w:lineRule="auto"/>
        <w:jc w:val="right"/>
        <w:rPr>
          <w:rFonts w:ascii="Calibri" w:eastAsia="Cambria" w:hAnsi="Calibri"/>
          <w:sz w:val="32"/>
          <w:szCs w:val="22"/>
        </w:rPr>
      </w:pPr>
      <w:r w:rsidRPr="00D61C8A">
        <w:rPr>
          <w:rFonts w:ascii="Calibri" w:eastAsia="Cambria" w:hAnsi="Calibri"/>
          <w:sz w:val="32"/>
          <w:szCs w:val="22"/>
        </w:rPr>
        <w:t>Centers for Disease Control and Prevention</w:t>
      </w:r>
    </w:p>
    <w:p w:rsidR="00B454FB" w:rsidRPr="00D61C8A" w:rsidRDefault="00B454FB" w:rsidP="00B454FB">
      <w:pPr>
        <w:spacing w:line="276" w:lineRule="auto"/>
        <w:jc w:val="right"/>
        <w:rPr>
          <w:rFonts w:ascii="Calibri" w:eastAsia="Cambria" w:hAnsi="Calibri"/>
          <w:sz w:val="32"/>
          <w:szCs w:val="22"/>
        </w:rPr>
      </w:pPr>
      <w:r w:rsidRPr="00D61C8A">
        <w:rPr>
          <w:rFonts w:ascii="Calibri" w:eastAsia="Cambria" w:hAnsi="Calibri"/>
          <w:sz w:val="32"/>
          <w:szCs w:val="22"/>
        </w:rPr>
        <w:t>Atlanta, U.S.A.</w:t>
      </w:r>
    </w:p>
    <w:p w:rsidR="00B454FB" w:rsidRPr="00D61C8A" w:rsidRDefault="00B454FB" w:rsidP="00B454FB">
      <w:pPr>
        <w:spacing w:line="276" w:lineRule="auto"/>
        <w:jc w:val="right"/>
        <w:rPr>
          <w:rFonts w:ascii="Calibri" w:eastAsia="Cambria" w:hAnsi="Calibri"/>
          <w:sz w:val="32"/>
          <w:szCs w:val="22"/>
        </w:rPr>
      </w:pPr>
      <w:r>
        <w:rPr>
          <w:rFonts w:ascii="Calibri" w:eastAsia="Cambria" w:hAnsi="Calibri"/>
          <w:sz w:val="32"/>
          <w:szCs w:val="22"/>
        </w:rPr>
        <w:t>August</w:t>
      </w:r>
      <w:r w:rsidRPr="00D61C8A">
        <w:rPr>
          <w:rFonts w:ascii="Calibri" w:eastAsia="Cambria" w:hAnsi="Calibri"/>
          <w:sz w:val="32"/>
          <w:szCs w:val="22"/>
        </w:rPr>
        <w:t xml:space="preserve"> 2010</w:t>
      </w:r>
    </w:p>
    <w:p w:rsidR="00B454FB" w:rsidRPr="00D61C8A" w:rsidRDefault="00B454FB" w:rsidP="00B454FB">
      <w:pPr>
        <w:pStyle w:val="Heading1"/>
        <w:numPr>
          <w:ilvl w:val="0"/>
          <w:numId w:val="0"/>
        </w:numPr>
        <w:spacing w:before="0"/>
        <w:rPr>
          <w:rFonts w:ascii="Calibri" w:hAnsi="Calibri"/>
        </w:rPr>
      </w:pPr>
      <w:r w:rsidRPr="00D61C8A">
        <w:rPr>
          <w:rFonts w:ascii="Calibri" w:hAnsi="Calibri"/>
        </w:rPr>
        <w:br w:type="page"/>
      </w:r>
      <w:r w:rsidRPr="00D61C8A">
        <w:rPr>
          <w:rFonts w:ascii="Calibri" w:hAnsi="Calibri"/>
        </w:rPr>
        <w:lastRenderedPageBreak/>
        <w:t>EXECUTIVE SUMMARY</w:t>
      </w:r>
    </w:p>
    <w:p w:rsidR="00B454FB" w:rsidRPr="00D61C8A" w:rsidRDefault="00B454FB" w:rsidP="00B454FB">
      <w:pPr>
        <w:rPr>
          <w:rFonts w:ascii="Calibri" w:hAnsi="Calibri"/>
        </w:rPr>
      </w:pPr>
    </w:p>
    <w:p w:rsidR="00B454FB" w:rsidRPr="00D61C8A" w:rsidRDefault="00B454FB" w:rsidP="00B454FB">
      <w:pPr>
        <w:spacing w:line="276" w:lineRule="auto"/>
        <w:rPr>
          <w:rFonts w:ascii="Calibri" w:hAnsi="Calibri"/>
          <w:bCs/>
          <w:sz w:val="20"/>
          <w:szCs w:val="20"/>
        </w:rPr>
      </w:pPr>
      <w:r w:rsidRPr="00D61C8A">
        <w:rPr>
          <w:rFonts w:ascii="Calibri" w:hAnsi="Calibri"/>
          <w:bCs/>
          <w:sz w:val="20"/>
          <w:szCs w:val="20"/>
        </w:rPr>
        <w:t xml:space="preserve">Ten years of civil conflict between </w:t>
      </w:r>
      <w:r>
        <w:rPr>
          <w:rFonts w:ascii="Calibri" w:hAnsi="Calibri"/>
          <w:bCs/>
          <w:sz w:val="20"/>
          <w:szCs w:val="20"/>
        </w:rPr>
        <w:t xml:space="preserve">Nepali </w:t>
      </w:r>
      <w:r w:rsidRPr="00D61C8A">
        <w:rPr>
          <w:rFonts w:ascii="Calibri" w:hAnsi="Calibri"/>
          <w:bCs/>
          <w:sz w:val="20"/>
          <w:szCs w:val="20"/>
        </w:rPr>
        <w:t xml:space="preserve">government and Maoist forces resulted in explosive device (ED) contamination </w:t>
      </w:r>
      <w:r>
        <w:rPr>
          <w:rFonts w:ascii="Calibri" w:hAnsi="Calibri"/>
          <w:bCs/>
          <w:sz w:val="20"/>
          <w:szCs w:val="20"/>
        </w:rPr>
        <w:t>in</w:t>
      </w:r>
      <w:r w:rsidRPr="00D61C8A">
        <w:rPr>
          <w:rFonts w:ascii="Calibri" w:hAnsi="Calibri"/>
          <w:bCs/>
          <w:sz w:val="20"/>
          <w:szCs w:val="20"/>
        </w:rPr>
        <w:t xml:space="preserve"> all 75 districts of Nepal.  Systematic clearance operations began following the signing of the Comprehensive Peace Agreement in 2006, but significant contamination remains.  As in other conflict and post-conflict settings, civilians have suffered disproportionately from ED contamination.  In recent years, non-state armed groups </w:t>
      </w:r>
      <w:r>
        <w:rPr>
          <w:rFonts w:ascii="Calibri" w:hAnsi="Calibri"/>
          <w:bCs/>
          <w:sz w:val="20"/>
          <w:szCs w:val="20"/>
        </w:rPr>
        <w:t xml:space="preserve">(NSAGs) </w:t>
      </w:r>
      <w:r w:rsidRPr="00D61C8A">
        <w:rPr>
          <w:rFonts w:ascii="Calibri" w:hAnsi="Calibri"/>
          <w:bCs/>
          <w:sz w:val="20"/>
          <w:szCs w:val="20"/>
        </w:rPr>
        <w:t xml:space="preserve">seeking autonomy have become active in the southern Terai region, </w:t>
      </w:r>
      <w:r>
        <w:rPr>
          <w:rFonts w:ascii="Calibri" w:hAnsi="Calibri"/>
          <w:bCs/>
          <w:sz w:val="20"/>
          <w:szCs w:val="20"/>
        </w:rPr>
        <w:t>leading to</w:t>
      </w:r>
      <w:r w:rsidRPr="00D61C8A">
        <w:rPr>
          <w:rFonts w:ascii="Calibri" w:hAnsi="Calibri"/>
          <w:bCs/>
          <w:sz w:val="20"/>
          <w:szCs w:val="20"/>
        </w:rPr>
        <w:t xml:space="preserve"> further </w:t>
      </w:r>
      <w:r>
        <w:rPr>
          <w:rFonts w:ascii="Calibri" w:hAnsi="Calibri"/>
          <w:bCs/>
          <w:sz w:val="20"/>
          <w:szCs w:val="20"/>
        </w:rPr>
        <w:t xml:space="preserve">ED </w:t>
      </w:r>
      <w:r w:rsidRPr="00D61C8A">
        <w:rPr>
          <w:rFonts w:ascii="Calibri" w:hAnsi="Calibri"/>
          <w:bCs/>
          <w:sz w:val="20"/>
          <w:szCs w:val="20"/>
        </w:rPr>
        <w:t>proliferation.</w:t>
      </w:r>
    </w:p>
    <w:p w:rsidR="00B454FB" w:rsidRPr="00D61C8A" w:rsidRDefault="00B454FB" w:rsidP="00B454FB">
      <w:pPr>
        <w:spacing w:line="276" w:lineRule="auto"/>
        <w:rPr>
          <w:rFonts w:ascii="Calibri" w:hAnsi="Calibri"/>
          <w:bCs/>
          <w:sz w:val="20"/>
          <w:szCs w:val="20"/>
        </w:rPr>
      </w:pPr>
    </w:p>
    <w:p w:rsidR="00B454FB" w:rsidRPr="00D61C8A" w:rsidRDefault="00B454FB" w:rsidP="00B454FB">
      <w:pPr>
        <w:spacing w:line="276" w:lineRule="auto"/>
        <w:rPr>
          <w:rFonts w:ascii="Calibri" w:hAnsi="Calibri"/>
          <w:bCs/>
          <w:sz w:val="20"/>
          <w:szCs w:val="20"/>
        </w:rPr>
      </w:pPr>
      <w:r w:rsidRPr="00D61C8A">
        <w:rPr>
          <w:rFonts w:ascii="Calibri" w:hAnsi="Calibri"/>
          <w:bCs/>
          <w:sz w:val="20"/>
          <w:szCs w:val="20"/>
        </w:rPr>
        <w:t xml:space="preserve">The United Nations Children’s Fund (UNICEF) in Nepal works with partner organizations to </w:t>
      </w:r>
      <w:r>
        <w:rPr>
          <w:rFonts w:ascii="Calibri" w:hAnsi="Calibri"/>
          <w:bCs/>
          <w:sz w:val="20"/>
          <w:szCs w:val="20"/>
        </w:rPr>
        <w:t>diminish</w:t>
      </w:r>
      <w:r w:rsidRPr="00D61C8A">
        <w:rPr>
          <w:rFonts w:ascii="Calibri" w:hAnsi="Calibri"/>
          <w:bCs/>
          <w:sz w:val="20"/>
          <w:szCs w:val="20"/>
        </w:rPr>
        <w:t xml:space="preserve"> the effects of ED injury among civilians.  While UNICEF conducts a wide range of mine action </w:t>
      </w:r>
      <w:r>
        <w:rPr>
          <w:rFonts w:ascii="Calibri" w:hAnsi="Calibri"/>
          <w:bCs/>
          <w:sz w:val="20"/>
          <w:szCs w:val="20"/>
        </w:rPr>
        <w:t xml:space="preserve">(MA) </w:t>
      </w:r>
      <w:r w:rsidRPr="00D61C8A">
        <w:rPr>
          <w:rFonts w:ascii="Calibri" w:hAnsi="Calibri"/>
          <w:bCs/>
          <w:sz w:val="20"/>
          <w:szCs w:val="20"/>
        </w:rPr>
        <w:t xml:space="preserve">activities, most of its resources </w:t>
      </w:r>
      <w:r>
        <w:rPr>
          <w:rFonts w:ascii="Calibri" w:hAnsi="Calibri"/>
          <w:bCs/>
          <w:sz w:val="20"/>
          <w:szCs w:val="20"/>
        </w:rPr>
        <w:t>support</w:t>
      </w:r>
      <w:r w:rsidRPr="00D61C8A">
        <w:rPr>
          <w:rFonts w:ascii="Calibri" w:hAnsi="Calibri"/>
          <w:bCs/>
          <w:sz w:val="20"/>
          <w:szCs w:val="20"/>
        </w:rPr>
        <w:t xml:space="preserve"> two </w:t>
      </w:r>
      <w:r>
        <w:rPr>
          <w:rFonts w:ascii="Calibri" w:hAnsi="Calibri"/>
          <w:bCs/>
          <w:sz w:val="20"/>
          <w:szCs w:val="20"/>
        </w:rPr>
        <w:t>tasks</w:t>
      </w:r>
      <w:r w:rsidRPr="00D61C8A">
        <w:rPr>
          <w:rFonts w:ascii="Calibri" w:hAnsi="Calibri"/>
          <w:bCs/>
          <w:sz w:val="20"/>
          <w:szCs w:val="20"/>
        </w:rPr>
        <w:t xml:space="preserve">: </w:t>
      </w:r>
    </w:p>
    <w:p w:rsidR="00B454FB" w:rsidRPr="00D61C8A" w:rsidRDefault="00B454FB" w:rsidP="00B454FB">
      <w:pPr>
        <w:pStyle w:val="ColorfulList-Accent11"/>
        <w:numPr>
          <w:ilvl w:val="0"/>
          <w:numId w:val="74"/>
        </w:numPr>
        <w:spacing w:line="276" w:lineRule="auto"/>
        <w:rPr>
          <w:rFonts w:ascii="Calibri" w:hAnsi="Calibri"/>
          <w:bCs/>
          <w:sz w:val="20"/>
          <w:szCs w:val="20"/>
        </w:rPr>
      </w:pPr>
      <w:r>
        <w:rPr>
          <w:rFonts w:ascii="Calibri" w:hAnsi="Calibri"/>
          <w:bCs/>
          <w:sz w:val="20"/>
          <w:szCs w:val="20"/>
        </w:rPr>
        <w:t>maintenance</w:t>
      </w:r>
      <w:r w:rsidRPr="00D61C8A">
        <w:rPr>
          <w:rFonts w:ascii="Calibri" w:hAnsi="Calibri"/>
          <w:bCs/>
          <w:sz w:val="20"/>
          <w:szCs w:val="20"/>
        </w:rPr>
        <w:t xml:space="preserve"> of the victim-activated explosion </w:t>
      </w:r>
      <w:r>
        <w:rPr>
          <w:rFonts w:ascii="Calibri" w:hAnsi="Calibri"/>
          <w:bCs/>
          <w:sz w:val="20"/>
          <w:szCs w:val="20"/>
        </w:rPr>
        <w:t xml:space="preserve">(VAE) </w:t>
      </w:r>
      <w:r w:rsidRPr="00D61C8A">
        <w:rPr>
          <w:rFonts w:ascii="Calibri" w:hAnsi="Calibri"/>
          <w:bCs/>
          <w:sz w:val="20"/>
          <w:szCs w:val="20"/>
        </w:rPr>
        <w:t xml:space="preserve">injury surveillance system run by </w:t>
      </w:r>
      <w:r>
        <w:rPr>
          <w:rFonts w:ascii="Calibri" w:hAnsi="Calibri"/>
          <w:bCs/>
          <w:sz w:val="20"/>
          <w:szCs w:val="20"/>
        </w:rPr>
        <w:t xml:space="preserve">the </w:t>
      </w:r>
      <w:r w:rsidRPr="00D61C8A">
        <w:rPr>
          <w:rFonts w:ascii="Calibri" w:hAnsi="Calibri"/>
          <w:bCs/>
          <w:sz w:val="20"/>
          <w:szCs w:val="20"/>
        </w:rPr>
        <w:t>nationa</w:t>
      </w:r>
      <w:r>
        <w:rPr>
          <w:rFonts w:ascii="Calibri" w:hAnsi="Calibri"/>
          <w:bCs/>
          <w:sz w:val="20"/>
          <w:szCs w:val="20"/>
        </w:rPr>
        <w:t>l non-governmental organization</w:t>
      </w:r>
      <w:r w:rsidRPr="00D61C8A">
        <w:rPr>
          <w:rFonts w:ascii="Calibri" w:hAnsi="Calibri"/>
          <w:bCs/>
          <w:sz w:val="20"/>
          <w:szCs w:val="20"/>
        </w:rPr>
        <w:t xml:space="preserve"> Informal Sector Service Centre (INSEC); and</w:t>
      </w:r>
    </w:p>
    <w:p w:rsidR="00B454FB" w:rsidRPr="00D61C8A" w:rsidRDefault="00B454FB" w:rsidP="00B454FB">
      <w:pPr>
        <w:pStyle w:val="ColorfulList-Accent11"/>
        <w:numPr>
          <w:ilvl w:val="0"/>
          <w:numId w:val="74"/>
        </w:numPr>
        <w:spacing w:line="276" w:lineRule="auto"/>
        <w:rPr>
          <w:rFonts w:ascii="Calibri" w:hAnsi="Calibri"/>
          <w:bCs/>
          <w:sz w:val="20"/>
          <w:szCs w:val="20"/>
        </w:rPr>
      </w:pPr>
      <w:r w:rsidRPr="00D61C8A">
        <w:rPr>
          <w:rFonts w:ascii="Calibri" w:hAnsi="Calibri"/>
          <w:bCs/>
          <w:sz w:val="20"/>
          <w:szCs w:val="20"/>
        </w:rPr>
        <w:t xml:space="preserve">coordination and support of mine risk education (MRE) </w:t>
      </w:r>
      <w:r>
        <w:rPr>
          <w:rFonts w:ascii="Calibri" w:hAnsi="Calibri"/>
          <w:bCs/>
          <w:sz w:val="20"/>
          <w:szCs w:val="20"/>
        </w:rPr>
        <w:t>activitie</w:t>
      </w:r>
      <w:r w:rsidRPr="00D61C8A">
        <w:rPr>
          <w:rFonts w:ascii="Calibri" w:hAnsi="Calibri"/>
          <w:bCs/>
          <w:sz w:val="20"/>
          <w:szCs w:val="20"/>
        </w:rPr>
        <w:t xml:space="preserve">s in partnership with over </w:t>
      </w:r>
      <w:r>
        <w:rPr>
          <w:rFonts w:ascii="Calibri" w:hAnsi="Calibri"/>
          <w:bCs/>
          <w:sz w:val="20"/>
          <w:szCs w:val="20"/>
        </w:rPr>
        <w:t>20</w:t>
      </w:r>
      <w:r w:rsidRPr="00D61C8A">
        <w:rPr>
          <w:rFonts w:ascii="Calibri" w:hAnsi="Calibri"/>
          <w:bCs/>
          <w:sz w:val="20"/>
          <w:szCs w:val="20"/>
        </w:rPr>
        <w:t xml:space="preserve"> national and international </w:t>
      </w:r>
      <w:r>
        <w:rPr>
          <w:rFonts w:ascii="Calibri" w:hAnsi="Calibri"/>
          <w:bCs/>
          <w:sz w:val="20"/>
          <w:szCs w:val="20"/>
        </w:rPr>
        <w:t>organizations</w:t>
      </w:r>
      <w:r w:rsidRPr="00D61C8A">
        <w:rPr>
          <w:rFonts w:ascii="Calibri" w:hAnsi="Calibri"/>
          <w:bCs/>
          <w:sz w:val="20"/>
          <w:szCs w:val="20"/>
        </w:rPr>
        <w:t>.</w:t>
      </w:r>
    </w:p>
    <w:p w:rsidR="00B454FB" w:rsidRPr="00D61C8A" w:rsidRDefault="00B454FB" w:rsidP="00B454FB">
      <w:pPr>
        <w:spacing w:line="276" w:lineRule="auto"/>
        <w:rPr>
          <w:rFonts w:ascii="Calibri" w:hAnsi="Calibri"/>
          <w:bCs/>
          <w:sz w:val="20"/>
          <w:szCs w:val="20"/>
        </w:rPr>
      </w:pPr>
      <w:r w:rsidRPr="00D61C8A">
        <w:rPr>
          <w:rFonts w:ascii="Calibri" w:hAnsi="Calibri"/>
          <w:bCs/>
          <w:sz w:val="20"/>
          <w:szCs w:val="20"/>
        </w:rPr>
        <w:t>In November 2009, UNICEF Nepal initiated an external evaluation in order to learn how to improve its MA activities and to fulfill obligations outlined in its annual work plan and donor proposals.</w:t>
      </w:r>
    </w:p>
    <w:p w:rsidR="00B454FB" w:rsidRPr="00D61C8A" w:rsidRDefault="00B454FB" w:rsidP="00B454FB">
      <w:pPr>
        <w:rPr>
          <w:rFonts w:ascii="Calibri" w:hAnsi="Calibri"/>
          <w:sz w:val="20"/>
          <w:szCs w:val="20"/>
        </w:rPr>
      </w:pPr>
    </w:p>
    <w:p w:rsidR="00B454FB" w:rsidRPr="00D61C8A" w:rsidRDefault="00B454FB" w:rsidP="00B454FB">
      <w:pPr>
        <w:rPr>
          <w:rFonts w:ascii="Calibri" w:eastAsia="Cambria" w:hAnsi="Calibri"/>
          <w:sz w:val="20"/>
          <w:szCs w:val="20"/>
        </w:rPr>
      </w:pPr>
      <w:r w:rsidRPr="00D61C8A">
        <w:rPr>
          <w:rFonts w:ascii="Calibri" w:hAnsi="Calibri"/>
          <w:sz w:val="20"/>
          <w:szCs w:val="20"/>
        </w:rPr>
        <w:t>The goal of the evaluation, according to the Terms of Reference, is “to contribute to the review, planning and improvement of the prevention strategies which have been implemented thus far in Nepal for the purposes of minimizing the number of victim-activated explosions.</w:t>
      </w:r>
      <w:r>
        <w:rPr>
          <w:rFonts w:ascii="Calibri" w:hAnsi="Calibri"/>
          <w:sz w:val="20"/>
          <w:szCs w:val="20"/>
        </w:rPr>
        <w:t>”</w:t>
      </w:r>
      <w:r>
        <w:rPr>
          <w:rStyle w:val="EndnoteReference"/>
          <w:rFonts w:ascii="Calibri" w:hAnsi="Calibri"/>
          <w:sz w:val="20"/>
          <w:szCs w:val="20"/>
        </w:rPr>
        <w:endnoteReference w:id="1"/>
      </w:r>
      <w:r w:rsidRPr="00D61C8A">
        <w:rPr>
          <w:rFonts w:ascii="Calibri" w:hAnsi="Calibri"/>
          <w:sz w:val="20"/>
          <w:szCs w:val="20"/>
        </w:rPr>
        <w:t xml:space="preserve">  The objective is “to assess the relevance, effectiveness, efficiency, impact and sustainability of the support provided by UNICEF in addressing the mine action needs in Nepal in…MRE</w:t>
      </w:r>
      <w:r w:rsidRPr="00D61C8A" w:rsidDel="003F7730">
        <w:rPr>
          <w:rFonts w:ascii="Calibri" w:hAnsi="Calibri"/>
          <w:sz w:val="20"/>
          <w:szCs w:val="20"/>
        </w:rPr>
        <w:t xml:space="preserve"> </w:t>
      </w:r>
      <w:r w:rsidRPr="00D61C8A">
        <w:rPr>
          <w:rFonts w:ascii="Calibri" w:hAnsi="Calibri"/>
          <w:sz w:val="20"/>
          <w:szCs w:val="20"/>
        </w:rPr>
        <w:t>and surveillance.”</w:t>
      </w:r>
      <w:r>
        <w:rPr>
          <w:rStyle w:val="EndnoteReference"/>
          <w:rFonts w:ascii="Calibri" w:hAnsi="Calibri"/>
          <w:sz w:val="20"/>
          <w:szCs w:val="20"/>
        </w:rPr>
        <w:endnoteReference w:id="2"/>
      </w:r>
      <w:r w:rsidRPr="00D61C8A">
        <w:rPr>
          <w:rFonts w:ascii="Calibri" w:hAnsi="Calibri"/>
          <w:sz w:val="20"/>
          <w:szCs w:val="20"/>
        </w:rPr>
        <w:t xml:space="preserve">  The intended audience for the evaluation report includes UNICEF Nepal and all other stakeholders in UNICEF </w:t>
      </w:r>
      <w:r>
        <w:rPr>
          <w:rFonts w:ascii="Calibri" w:hAnsi="Calibri"/>
          <w:sz w:val="20"/>
          <w:szCs w:val="20"/>
        </w:rPr>
        <w:t>MA</w:t>
      </w:r>
      <w:r w:rsidRPr="00D61C8A">
        <w:rPr>
          <w:rFonts w:ascii="Calibri" w:hAnsi="Calibri"/>
          <w:sz w:val="20"/>
          <w:szCs w:val="20"/>
        </w:rPr>
        <w:t xml:space="preserve"> activities.</w:t>
      </w:r>
    </w:p>
    <w:p w:rsidR="00B454FB" w:rsidRPr="00D61C8A" w:rsidRDefault="00B454FB" w:rsidP="00B454FB">
      <w:pPr>
        <w:spacing w:line="276" w:lineRule="auto"/>
        <w:rPr>
          <w:rFonts w:ascii="Calibri" w:hAnsi="Calibri"/>
          <w:sz w:val="20"/>
          <w:szCs w:val="20"/>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 xml:space="preserve">The evaluation was conducted by members of the International Emergency and Refugee Health Branch at the United States Centers for Disease Control and Prevention </w:t>
      </w:r>
      <w:r>
        <w:rPr>
          <w:rFonts w:ascii="Calibri" w:hAnsi="Calibri"/>
          <w:sz w:val="20"/>
          <w:szCs w:val="20"/>
        </w:rPr>
        <w:t>(CDC)</w:t>
      </w:r>
      <w:r w:rsidRPr="00D61C8A">
        <w:rPr>
          <w:rFonts w:ascii="Calibri" w:hAnsi="Calibri"/>
          <w:sz w:val="20"/>
          <w:szCs w:val="20"/>
        </w:rPr>
        <w:t xml:space="preserve">.  It was carried out in consultation with </w:t>
      </w:r>
      <w:r>
        <w:rPr>
          <w:rFonts w:ascii="Calibri" w:hAnsi="Calibri"/>
          <w:sz w:val="20"/>
          <w:szCs w:val="20"/>
        </w:rPr>
        <w:t>MA</w:t>
      </w:r>
      <w:r w:rsidRPr="00D61C8A">
        <w:rPr>
          <w:rFonts w:ascii="Calibri" w:hAnsi="Calibri"/>
          <w:sz w:val="20"/>
          <w:szCs w:val="20"/>
        </w:rPr>
        <w:t xml:space="preserve"> experts at UNICEF Headquarters in New York </w:t>
      </w:r>
      <w:r>
        <w:rPr>
          <w:rFonts w:ascii="Calibri" w:hAnsi="Calibri"/>
          <w:sz w:val="20"/>
          <w:szCs w:val="20"/>
        </w:rPr>
        <w:t xml:space="preserve">City </w:t>
      </w:r>
      <w:r w:rsidRPr="00D61C8A">
        <w:rPr>
          <w:rFonts w:ascii="Calibri" w:hAnsi="Calibri"/>
          <w:sz w:val="20"/>
          <w:szCs w:val="20"/>
        </w:rPr>
        <w:t>and the United Nations Development Programme</w:t>
      </w:r>
      <w:r>
        <w:rPr>
          <w:rFonts w:ascii="Calibri" w:hAnsi="Calibri"/>
          <w:sz w:val="20"/>
          <w:szCs w:val="20"/>
        </w:rPr>
        <w:t xml:space="preserve"> (UNDP)</w:t>
      </w:r>
      <w:r w:rsidRPr="00D61C8A">
        <w:rPr>
          <w:rFonts w:ascii="Calibri" w:hAnsi="Calibri"/>
          <w:sz w:val="20"/>
          <w:szCs w:val="20"/>
        </w:rPr>
        <w:t>, with technical and logistical support from the Child Prote</w:t>
      </w:r>
      <w:r>
        <w:rPr>
          <w:rFonts w:ascii="Calibri" w:hAnsi="Calibri"/>
          <w:sz w:val="20"/>
          <w:szCs w:val="20"/>
        </w:rPr>
        <w:t>ction Section at UNICEF Nepal.</w:t>
      </w:r>
    </w:p>
    <w:p w:rsidR="00B454FB" w:rsidRPr="00D61C8A" w:rsidRDefault="00B454FB" w:rsidP="00B454FB">
      <w:pPr>
        <w:spacing w:line="276" w:lineRule="auto"/>
        <w:rPr>
          <w:rFonts w:ascii="Calibri" w:hAnsi="Calibri"/>
          <w:sz w:val="20"/>
          <w:szCs w:val="20"/>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The evaluation team conducted a field visit to Nepal in November 2009.  Prior to the field visit, the evaluation team review</w:t>
      </w:r>
      <w:r>
        <w:rPr>
          <w:rFonts w:ascii="Calibri" w:hAnsi="Calibri"/>
          <w:sz w:val="20"/>
          <w:szCs w:val="20"/>
        </w:rPr>
        <w:t xml:space="preserve">ed </w:t>
      </w:r>
      <w:r w:rsidRPr="00D61C8A">
        <w:rPr>
          <w:rFonts w:ascii="Calibri" w:hAnsi="Calibri"/>
          <w:sz w:val="20"/>
          <w:szCs w:val="20"/>
        </w:rPr>
        <w:t xml:space="preserve">relevant literature and consulted with MA specialists at CDC, UNDP and UNICEF </w:t>
      </w:r>
      <w:r>
        <w:rPr>
          <w:rFonts w:ascii="Calibri" w:hAnsi="Calibri"/>
          <w:sz w:val="20"/>
          <w:szCs w:val="20"/>
        </w:rPr>
        <w:t>Headquarters</w:t>
      </w:r>
      <w:r w:rsidRPr="00D61C8A">
        <w:rPr>
          <w:rFonts w:ascii="Calibri" w:hAnsi="Calibri"/>
          <w:sz w:val="20"/>
          <w:szCs w:val="20"/>
        </w:rPr>
        <w:t>.  During the field visit, the evaluation team conducted individual meetings with key informants working in organizations that conduct MA activities in Nepal</w:t>
      </w:r>
      <w:r>
        <w:rPr>
          <w:rFonts w:ascii="Calibri" w:hAnsi="Calibri"/>
          <w:sz w:val="20"/>
          <w:szCs w:val="20"/>
        </w:rPr>
        <w:t>.  Follow-up interviews were</w:t>
      </w:r>
      <w:r w:rsidRPr="00D61C8A">
        <w:rPr>
          <w:rFonts w:ascii="Calibri" w:hAnsi="Calibri"/>
          <w:sz w:val="20"/>
          <w:szCs w:val="20"/>
        </w:rPr>
        <w:t xml:space="preserve"> conducted as needed by </w:t>
      </w:r>
      <w:r>
        <w:rPr>
          <w:rFonts w:ascii="Calibri" w:hAnsi="Calibri"/>
          <w:sz w:val="20"/>
          <w:szCs w:val="20"/>
        </w:rPr>
        <w:t>tele</w:t>
      </w:r>
      <w:r w:rsidRPr="00D61C8A">
        <w:rPr>
          <w:rFonts w:ascii="Calibri" w:hAnsi="Calibri"/>
          <w:sz w:val="20"/>
          <w:szCs w:val="20"/>
        </w:rPr>
        <w:t>phone and e-mail.  Preliminary findings and recommendations were presented at a meeting held in Kathmandu in November 2009 and</w:t>
      </w:r>
      <w:r>
        <w:rPr>
          <w:rFonts w:ascii="Calibri" w:hAnsi="Calibri"/>
          <w:sz w:val="20"/>
          <w:szCs w:val="20"/>
        </w:rPr>
        <w:t xml:space="preserve"> attended by MA stakeholders in Nepal; a follow-up presentation was held in May 2010.  An evaluation report was completed in August 2010.</w:t>
      </w:r>
    </w:p>
    <w:p w:rsidR="00B454FB" w:rsidRPr="00D61C8A" w:rsidRDefault="00B454FB" w:rsidP="00B454FB">
      <w:pPr>
        <w:spacing w:line="276" w:lineRule="auto"/>
        <w:rPr>
          <w:rFonts w:ascii="Calibri" w:hAnsi="Calibri"/>
          <w:sz w:val="20"/>
          <w:szCs w:val="20"/>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 xml:space="preserve">Surveillance activities were evaluated according to CDC’s </w:t>
      </w:r>
      <w:r w:rsidRPr="00D61C8A">
        <w:rPr>
          <w:rFonts w:ascii="Calibri" w:hAnsi="Calibri"/>
          <w:i/>
          <w:sz w:val="20"/>
          <w:szCs w:val="20"/>
        </w:rPr>
        <w:t>Updated Guidelines for Evaluating Public Health Surveillance Systems</w:t>
      </w:r>
      <w:r w:rsidRPr="00D61C8A">
        <w:rPr>
          <w:rFonts w:ascii="Calibri" w:hAnsi="Calibri"/>
          <w:sz w:val="20"/>
          <w:szCs w:val="20"/>
        </w:rPr>
        <w:t xml:space="preserve">, developed by CDC’s Guidelines Working Group and published in 2001.  MRE methods were evaluated according to the </w:t>
      </w:r>
      <w:r>
        <w:rPr>
          <w:rFonts w:ascii="Calibri" w:hAnsi="Calibri"/>
          <w:sz w:val="20"/>
          <w:szCs w:val="20"/>
        </w:rPr>
        <w:t>International Mine Action Standards</w:t>
      </w:r>
      <w:r w:rsidRPr="00D61C8A">
        <w:rPr>
          <w:rFonts w:ascii="Calibri" w:hAnsi="Calibri"/>
          <w:sz w:val="20"/>
          <w:szCs w:val="20"/>
        </w:rPr>
        <w:t xml:space="preserve"> </w:t>
      </w:r>
      <w:r w:rsidRPr="00D61C8A">
        <w:rPr>
          <w:rFonts w:ascii="Calibri" w:hAnsi="Calibri"/>
          <w:i/>
          <w:sz w:val="20"/>
          <w:szCs w:val="20"/>
        </w:rPr>
        <w:t>Mine Risk Education Best Practice Guidebook 8</w:t>
      </w:r>
      <w:r w:rsidRPr="00D61C8A">
        <w:rPr>
          <w:rFonts w:ascii="Calibri" w:hAnsi="Calibri"/>
          <w:sz w:val="20"/>
          <w:szCs w:val="20"/>
        </w:rPr>
        <w:t xml:space="preserve"> on evaluation.  </w:t>
      </w:r>
    </w:p>
    <w:p w:rsidR="00B454FB" w:rsidRPr="00D61C8A" w:rsidRDefault="00B454FB" w:rsidP="00B454FB">
      <w:pPr>
        <w:spacing w:line="276" w:lineRule="auto"/>
        <w:rPr>
          <w:rFonts w:ascii="Calibri" w:hAnsi="Calibri"/>
          <w:sz w:val="20"/>
          <w:szCs w:val="20"/>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The evaluation team made the following recommendations</w:t>
      </w:r>
      <w:r>
        <w:rPr>
          <w:rFonts w:ascii="Calibri" w:hAnsi="Calibri"/>
          <w:sz w:val="20"/>
          <w:szCs w:val="20"/>
        </w:rPr>
        <w:t xml:space="preserve"> (Section names in parentheses indicate where explanations of recommendations can be found throughout the report)</w:t>
      </w:r>
      <w:r w:rsidRPr="00D61C8A">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A. Recommendations for the VAE injury surveillance system</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 xml:space="preserve">1) Improve data collection </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Rename the narrative field currently labeled “Other injuries” on the data collection form as “Description of injuries” to better distinguish between this field and the diagram with the same name.  Change the name of this field from “Others” to “Description of injuries” in the database.</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Ensure that </w:t>
      </w:r>
      <w:r>
        <w:rPr>
          <w:rFonts w:ascii="Calibri" w:hAnsi="Calibri"/>
          <w:sz w:val="20"/>
          <w:szCs w:val="20"/>
        </w:rPr>
        <w:t xml:space="preserve">INSEC district representatives </w:t>
      </w:r>
      <w:r w:rsidRPr="006F2F4A">
        <w:rPr>
          <w:rFonts w:ascii="Calibri" w:hAnsi="Calibri"/>
          <w:sz w:val="20"/>
          <w:szCs w:val="20"/>
        </w:rPr>
        <w:t>(DRs) understand the difference between the two diagrams and can read and understand the English labels.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lastRenderedPageBreak/>
        <w:t>Ensure that DRs understand how to select checkboxes in the “Other injuries” diagram.  “Head/neck”, for example, should be selected for all injuries to the eyes, ears, face, etc.; “arm” should be selected for all injuries to the fingers, wrists, hands, elbows, etc.</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Encourage DRs to select checkboxes on the two diagrams whenever possible </w:t>
      </w:r>
      <w:r w:rsidRPr="006F2F4A">
        <w:rPr>
          <w:rFonts w:ascii="Calibri" w:hAnsi="Calibri"/>
          <w:b/>
          <w:sz w:val="20"/>
          <w:szCs w:val="20"/>
        </w:rPr>
        <w:t>and</w:t>
      </w:r>
      <w:r w:rsidRPr="006F2F4A">
        <w:rPr>
          <w:rFonts w:ascii="Calibri" w:hAnsi="Calibri"/>
          <w:sz w:val="20"/>
          <w:szCs w:val="20"/>
        </w:rPr>
        <w:t xml:space="preserve"> to describe all injuries in the narrative “other injuries” field.  In this manner, the accuracy of data entered in the two diagrams can be validated using the narrative field.  Any descriptions in the narrative field should include locations of injuries.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Train data entry personnel who enter records into the database and regional- and central-level INSEC personnel who conduct quality checks to understand the concepts mentioned in the preceding three recommendations and to thoroughly check each record for errors.  In the future these personnel should be able to recognize coding errors, recode them correctly in the database and communicate with DRs to prevent future errors.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Review past records in which injuries were described in the narrative “Other injuries” field but checkboxes in the “Loss of” and “Other injuries” diagram fields were not selected sufficiently.  Wherever possible, select appropriate “Loss of” and “Other injuries” diagram columns in the database based on the descriptions available in the narrative “Other injuries” field.</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35389"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Consider completion of a “quick guide” for all data collection, entry and quality assurance personnel to draw attention to data entry concerns and recent changes to the data collection form and the database.</w:t>
      </w:r>
      <w:r>
        <w:rPr>
          <w:rFonts w:ascii="Calibri" w:hAnsi="Calibri"/>
          <w:sz w:val="20"/>
          <w:szCs w:val="20"/>
        </w:rPr>
        <w:t xml:space="preserve">  This guide could be included in the data collection form or printed as a laminated card or other separate document.</w:t>
      </w:r>
      <w:r w:rsidR="00B454FB">
        <w:rPr>
          <w:rFonts w:ascii="Calibri" w:hAnsi="Calibri"/>
          <w:bCs/>
          <w:iCs/>
          <w:sz w:val="20"/>
          <w:szCs w:val="20"/>
        </w:rPr>
        <w:t xml:space="preserve">  (</w:t>
      </w:r>
      <w:r w:rsidR="00B454FB" w:rsidRPr="00786225">
        <w:rPr>
          <w:rFonts w:ascii="Calibri" w:hAnsi="Calibri"/>
          <w:bCs/>
          <w:i/>
          <w:iCs/>
          <w:sz w:val="20"/>
          <w:szCs w:val="20"/>
        </w:rPr>
        <w:t xml:space="preserve">Section </w:t>
      </w:r>
      <w:r w:rsidR="00B454FB" w:rsidRPr="00786225">
        <w:rPr>
          <w:rFonts w:ascii="Calibri" w:hAnsi="Calibri"/>
          <w:i/>
          <w:sz w:val="20"/>
          <w:szCs w:val="20"/>
        </w:rPr>
        <w:t>V.B.2.c</w:t>
      </w:r>
      <w:r w:rsidR="00B454FB">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Remove the “Occupation at the time of accident” question from the “Victim Description” table and list it as a separate question with checkboxes for answer options, in the same format as “Activity at the time of accident”.</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Create three data source categories on the data collection form and in the database: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“Source name” with a narrative field;</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 xml:space="preserve">“Source address” with a narrative field (may be omitted from the database if not considered necessary); and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“Relationship of source to victim” with the following answer choices: victim (self); witness family member; witness non-family member; non-witness family member; and non-witness non-family member.</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sz w:val="20"/>
          <w:szCs w:val="20"/>
        </w:rPr>
      </w:pPr>
      <w:r w:rsidRPr="00BF261A">
        <w:rPr>
          <w:rFonts w:ascii="Calibri" w:hAnsi="Calibri"/>
          <w:sz w:val="20"/>
          <w:szCs w:val="20"/>
        </w:rPr>
        <w:t>Ensure that all fields in the data collection form and database are labeled and arranged consistently:</w:t>
      </w:r>
    </w:p>
    <w:p w:rsidR="00B454FB" w:rsidRDefault="00B454FB" w:rsidP="00B454FB">
      <w:pPr>
        <w:pStyle w:val="ColorfulList-Accent11"/>
        <w:numPr>
          <w:ilvl w:val="1"/>
          <w:numId w:val="82"/>
        </w:numPr>
        <w:spacing w:line="276" w:lineRule="auto"/>
        <w:rPr>
          <w:rFonts w:ascii="Calibri" w:hAnsi="Calibri"/>
          <w:sz w:val="20"/>
          <w:szCs w:val="20"/>
        </w:rPr>
      </w:pPr>
      <w:r w:rsidRPr="00101F79">
        <w:rPr>
          <w:rFonts w:ascii="Calibri" w:hAnsi="Calibri"/>
          <w:sz w:val="20"/>
          <w:szCs w:val="20"/>
        </w:rPr>
        <w:t>Change the order of SN (record number assigned by DR) and CSN (casualty number) on the data collection form to match the order in the database and consider adding ISN (incident number) and VSN (casualty number per incident</w:t>
      </w:r>
      <w:r>
        <w:rPr>
          <w:rFonts w:ascii="Calibri" w:hAnsi="Calibri"/>
          <w:sz w:val="20"/>
          <w:szCs w:val="20"/>
        </w:rPr>
        <w:t xml:space="preserve">) </w:t>
      </w:r>
      <w:r w:rsidRPr="006F2F4A">
        <w:rPr>
          <w:rFonts w:ascii="Calibri" w:hAnsi="Calibri"/>
          <w:sz w:val="20"/>
          <w:szCs w:val="20"/>
        </w:rPr>
        <w:t>to the form.  Completion of ISN and VSN fields on the data collection form by data entry personnel could facilitate matching of data collection forms with database rows for necessary follow-up.</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Change “Prepared by” on the data collection form to “DR name” to match the database.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Place the three questions related to incident circumstances (“Who activated the ED?”, “How did the ED explode?” and “Activity at time of accident”) together on the data collection form to match the database.</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fields on the Nepali and English data collection forms are consistent.</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DRs understand and code answers to the following questions in a consistent manner: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“Was area marked as dangerous?”: this refers to official markings (such as a sign posted by the N</w:t>
      </w:r>
      <w:r w:rsidR="003C25FD">
        <w:rPr>
          <w:rFonts w:ascii="Calibri" w:hAnsi="Calibri"/>
          <w:sz w:val="20"/>
          <w:szCs w:val="20"/>
        </w:rPr>
        <w:t>epalese Army (N</w:t>
      </w:r>
      <w:r w:rsidRPr="006F2F4A">
        <w:rPr>
          <w:rFonts w:ascii="Calibri" w:hAnsi="Calibri"/>
          <w:sz w:val="20"/>
          <w:szCs w:val="20"/>
        </w:rPr>
        <w:t>A</w:t>
      </w:r>
      <w:r w:rsidR="003C25FD">
        <w:rPr>
          <w:rFonts w:ascii="Calibri" w:hAnsi="Calibri"/>
          <w:sz w:val="20"/>
          <w:szCs w:val="20"/>
        </w:rPr>
        <w:t>)</w:t>
      </w:r>
      <w:r w:rsidRPr="006F2F4A">
        <w:rPr>
          <w:rFonts w:ascii="Calibri" w:hAnsi="Calibri"/>
          <w:sz w:val="20"/>
          <w:szCs w:val="20"/>
        </w:rPr>
        <w:t>) and not unofficial markings (such as a piece of cloth tied to a fence by a community member);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“Literacy”: an injured individual is considered literate if he/she can read and write simple sentences in his/her mother tongue;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Family size”: family members are defined as those who have been using the same kitchen and sitting and eating together in the same home for the past six months;</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Number of dependents”: dependents are family members who rely on the injured individual for food, education, and other resources);</w:t>
      </w:r>
    </w:p>
    <w:p w:rsidR="00B454FB" w:rsidRDefault="00B454FB" w:rsidP="00B454FB">
      <w:pPr>
        <w:spacing w:line="276" w:lineRule="auto"/>
        <w:ind w:left="288"/>
        <w:rPr>
          <w:rFonts w:ascii="Calibri" w:hAnsi="Calibri"/>
          <w:sz w:val="20"/>
          <w:szCs w:val="20"/>
        </w:rPr>
      </w:pPr>
      <w:r>
        <w:rPr>
          <w:rFonts w:ascii="Calibri" w:hAnsi="Calibri"/>
          <w:sz w:val="20"/>
          <w:szCs w:val="20"/>
        </w:rPr>
        <w:t>Steps to ensure that these definitions are clear may include additional training of DRs, provision of a “quick guide” drawing attention to data quality concerns and/or additional clarification on the data collection form.</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b/>
          <w:sz w:val="20"/>
          <w:szCs w:val="20"/>
        </w:rPr>
      </w:pPr>
      <w:r w:rsidRPr="00BF261A">
        <w:rPr>
          <w:rFonts w:ascii="Calibri" w:hAnsi="Calibri"/>
          <w:sz w:val="20"/>
          <w:szCs w:val="20"/>
        </w:rPr>
        <w:t xml:space="preserve">Consider </w:t>
      </w:r>
      <w:r>
        <w:rPr>
          <w:rFonts w:ascii="Calibri" w:hAnsi="Calibri"/>
          <w:sz w:val="20"/>
          <w:szCs w:val="20"/>
        </w:rPr>
        <w:t>modifying</w:t>
      </w:r>
      <w:r w:rsidRPr="00BF261A">
        <w:rPr>
          <w:rFonts w:ascii="Calibri" w:hAnsi="Calibri"/>
          <w:sz w:val="20"/>
          <w:szCs w:val="20"/>
        </w:rPr>
        <w:t xml:space="preserve"> </w:t>
      </w:r>
      <w:r>
        <w:rPr>
          <w:rFonts w:ascii="Calibri" w:hAnsi="Calibri"/>
          <w:sz w:val="20"/>
          <w:szCs w:val="20"/>
        </w:rPr>
        <w:t>definitions of economic status and MRE to increase clarity</w:t>
      </w:r>
      <w:r w:rsidRPr="00BF261A">
        <w:rPr>
          <w:rFonts w:ascii="Calibri" w:hAnsi="Calibri"/>
          <w:sz w:val="20"/>
          <w:szCs w:val="20"/>
        </w:rPr>
        <w:t xml:space="preserve">: </w:t>
      </w:r>
    </w:p>
    <w:p w:rsidR="00B454FB"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 xml:space="preserve">Current options listed under “Economic status” are “lowest (family members must work to feed themselves)”, “lower (family has food surplus that will last six months)”, “middle (family has food surplus that will last one year)” and “higher (family has food surplus that will last more than one year)”.  The evaluation team suggests the following alternative </w:t>
      </w:r>
      <w:r w:rsidRPr="006F2F4A">
        <w:rPr>
          <w:rFonts w:ascii="Calibri" w:hAnsi="Calibri"/>
          <w:sz w:val="20"/>
          <w:szCs w:val="20"/>
        </w:rPr>
        <w:lastRenderedPageBreak/>
        <w:t>options: “No food surplus”; “Food surplus for 1-6 months”; “Food surplus for 7-12 months”; and “Food surplus for &gt; 12 months”.</w:t>
      </w:r>
    </w:p>
    <w:p w:rsidR="00B454FB" w:rsidRPr="006F2F4A"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It may be desirable to differentiate between formal MRE (such as attendance at a session conducted by UNICEF or a partner organization) and informal MRE (such as looking at a leaflet passed along by a family member); some partners may wish to limit this data element to formal MRE to study the coverage of MRE programming).</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 xml:space="preserve">Adjust types of ED listed on the form and in the database to reflect past and current injury trends.  Remove answer choices that have never been chosen: “bucket”, “pressure cooker”, “flag”, “banner”, “roadblock”, “cartridge”, “claymore type” and “anti-vehicle mine” for “Type of ED” and “health worker”, “social worker”, “political worker” for “Occupation at the time of accident”.  Add some answer choices (such as “detonator” for “Type of ED” and “housewife”, “police” and “child” for “Occupation at the time of accident”) that have been entered frequently in “Other” fields in the past.  Please note that “removing roadblock/flag/banner” should be removed from the answer choices following “Activity at time of accident” if these ED types are removed from the </w:t>
      </w:r>
      <w:r w:rsidR="003C25FD">
        <w:rPr>
          <w:rFonts w:ascii="Calibri" w:hAnsi="Calibri"/>
          <w:sz w:val="20"/>
          <w:szCs w:val="20"/>
        </w:rPr>
        <w:t xml:space="preserve">answer choices for </w:t>
      </w:r>
      <w:r w:rsidRPr="006F2F4A">
        <w:rPr>
          <w:rFonts w:ascii="Calibri" w:hAnsi="Calibri"/>
          <w:sz w:val="20"/>
          <w:szCs w:val="20"/>
        </w:rPr>
        <w:t>“Type of ED”</w:t>
      </w:r>
      <w:r w:rsidR="003C25FD">
        <w:rPr>
          <w:rFonts w:ascii="Calibri" w:hAnsi="Calibri"/>
          <w:sz w:val="20"/>
          <w:szCs w:val="20"/>
        </w:rPr>
        <w:t xml:space="preserve"> question</w:t>
      </w:r>
      <w:r w:rsidRPr="006F2F4A">
        <w:rPr>
          <w:rFonts w:ascii="Calibri" w:hAnsi="Calibri"/>
          <w:sz w:val="20"/>
          <w:szCs w:val="20"/>
        </w:rPr>
        <w:t>.  Such activities should be coded as one of the “Handling ED” choices.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If partners are trying to understand the incidence of known risk behaviors (intentionally striking/throwing ED, handling ED, etc.), the data collection form may be changed to ensure that “Did victim know activity was dangerous?” is asked only of individuals who report high-risk behaviors at the time of the incident.  If partners prefer to continue asking this question of all respondents, they may wish to disaggregate responses by activity at time of accident during analysis.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 xml:space="preserve">Revisit the exclusion of members of NSAGs from the case definition, especially given the recent decision to include members of government security forces.  This may encourage all injured individuals to seek </w:t>
      </w:r>
      <w:r w:rsidR="003C25FD">
        <w:rPr>
          <w:rFonts w:ascii="Calibri" w:hAnsi="Calibri"/>
          <w:sz w:val="20"/>
          <w:szCs w:val="20"/>
        </w:rPr>
        <w:t>victim assistance (</w:t>
      </w:r>
      <w:r w:rsidRPr="006F2F4A">
        <w:rPr>
          <w:rFonts w:ascii="Calibri" w:hAnsi="Calibri"/>
          <w:sz w:val="20"/>
          <w:szCs w:val="20"/>
        </w:rPr>
        <w:t>VA</w:t>
      </w:r>
      <w:r w:rsidR="003C25FD">
        <w:rPr>
          <w:rFonts w:ascii="Calibri" w:hAnsi="Calibri"/>
          <w:sz w:val="20"/>
          <w:szCs w:val="20"/>
        </w:rPr>
        <w:t>)</w:t>
      </w:r>
      <w:r w:rsidRPr="006F2F4A">
        <w:rPr>
          <w:rFonts w:ascii="Calibri" w:hAnsi="Calibri"/>
          <w:sz w:val="20"/>
          <w:szCs w:val="20"/>
        </w:rPr>
        <w:t xml:space="preserve"> services, regardless of political affiliation, and may identify previously unknown areas of ED contamination.</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Ensure that a mechanism has been created to incorporate NA and other government security forces injury data into the data collection process, in accordance with the recent decision to include members of government security forces in the case definition.</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r w:rsidRPr="006F2F4A">
        <w:rPr>
          <w:rFonts w:ascii="Calibri" w:hAnsi="Calibri"/>
          <w:sz w:val="20"/>
          <w:szCs w:val="20"/>
        </w:rPr>
        <w:t xml:space="preserve"> </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Ensure that DRs continue to apply the case definition of VAE rigorously, particularly as the inclusion criteria expand to include combatants.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bCs/>
          <w:iCs/>
          <w:sz w:val="20"/>
          <w:szCs w:val="20"/>
        </w:rPr>
        <w:t>Revisit the question about the last grade passed with DRs; this question resulted in</w:t>
      </w:r>
      <w:r w:rsidR="003C25FD">
        <w:rPr>
          <w:rFonts w:ascii="Calibri" w:hAnsi="Calibri"/>
          <w:bCs/>
          <w:iCs/>
          <w:sz w:val="20"/>
          <w:szCs w:val="20"/>
        </w:rPr>
        <w:t xml:space="preserve"> the lowest response rate (82.9</w:t>
      </w:r>
      <w:r w:rsidRPr="006F2F4A">
        <w:rPr>
          <w:rFonts w:ascii="Calibri" w:hAnsi="Calibri"/>
          <w:bCs/>
          <w:iCs/>
          <w:sz w:val="20"/>
          <w:szCs w:val="20"/>
        </w:rPr>
        <w:t>%) in 2009.</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Ensure that a mechanism exists to differentiate between unintentionally skipped and intentionally unanswered questions in the data collection form and database.  This mechanism can be as simple as using “x” to denote one and “?” the other, but should be appropriate for a Nepali data collection form.  DRs and data entry personnel should be trained in the new mechanism.</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Clarify all case definitions and ensure that they are applied consistently in all districts.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eastAsia="Cambria" w:hAnsi="Calibri" w:cs="Times-Roman"/>
          <w:sz w:val="20"/>
          <w:szCs w:val="20"/>
        </w:rPr>
        <w:t xml:space="preserve">Investigate the possibility of conducting a “capture-recapture” comparison of INSEC data with those of other sources (including </w:t>
      </w:r>
      <w:r w:rsidRPr="00896DCD">
        <w:rPr>
          <w:rFonts w:ascii="Calibri" w:hAnsi="Calibri"/>
          <w:bCs/>
          <w:iCs/>
          <w:sz w:val="20"/>
          <w:szCs w:val="20"/>
        </w:rPr>
        <w:t>Ban Landmines Campaign Nepal</w:t>
      </w:r>
      <w:r w:rsidRPr="00896DCD">
        <w:rPr>
          <w:rFonts w:ascii="Calibri" w:eastAsia="Cambria" w:hAnsi="Calibri" w:cs="Times-Roman"/>
          <w:sz w:val="20"/>
          <w:szCs w:val="20"/>
        </w:rPr>
        <w:t xml:space="preserve"> (NCBL),</w:t>
      </w:r>
      <w:r w:rsidRPr="006F2F4A">
        <w:rPr>
          <w:rFonts w:ascii="Calibri" w:eastAsia="Cambria" w:hAnsi="Calibri" w:cs="Times-Roman"/>
          <w:sz w:val="20"/>
          <w:szCs w:val="20"/>
        </w:rPr>
        <w:t xml:space="preserve"> the Nepal Police and HimRights) to reveal more about the sensitivity of the system.</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D61C8A" w:rsidRDefault="00B454FB" w:rsidP="00B454FB">
      <w:pPr>
        <w:rPr>
          <w:rFonts w:ascii="Calibri" w:hAnsi="Calibri"/>
          <w: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 xml:space="preserve">2) </w:t>
      </w:r>
      <w:r>
        <w:rPr>
          <w:rFonts w:ascii="Calibri" w:hAnsi="Calibri"/>
          <w:b/>
          <w:sz w:val="20"/>
          <w:szCs w:val="20"/>
        </w:rPr>
        <w:t>En</w:t>
      </w:r>
      <w:r w:rsidRPr="00D61C8A">
        <w:rPr>
          <w:rFonts w:ascii="Calibri" w:hAnsi="Calibri"/>
          <w:b/>
          <w:sz w:val="20"/>
          <w:szCs w:val="20"/>
        </w:rPr>
        <w:t>sure efficient maintenance of the database</w:t>
      </w:r>
    </w:p>
    <w:p w:rsidR="00B454FB" w:rsidRPr="007579A6" w:rsidRDefault="00B454FB" w:rsidP="00B454FB">
      <w:pPr>
        <w:pStyle w:val="ColorfulList-Accent11"/>
        <w:numPr>
          <w:ilvl w:val="0"/>
          <w:numId w:val="58"/>
        </w:numPr>
        <w:ind w:left="360"/>
        <w:rPr>
          <w:rFonts w:ascii="Calibri" w:hAnsi="Calibri"/>
          <w:sz w:val="20"/>
          <w:szCs w:val="20"/>
        </w:rPr>
      </w:pPr>
      <w:r w:rsidRPr="00D61C8A">
        <w:rPr>
          <w:rFonts w:ascii="Calibri" w:hAnsi="Calibri"/>
          <w:bCs/>
          <w:iCs/>
          <w:sz w:val="20"/>
          <w:szCs w:val="20"/>
        </w:rPr>
        <w:t>Clarify the naming and order of Microsoft Excel database worksheets.</w:t>
      </w:r>
      <w:r>
        <w:rPr>
          <w:rFonts w:ascii="Calibri" w:hAnsi="Calibri"/>
          <w:bCs/>
          <w:iCs/>
          <w:sz w:val="20"/>
          <w:szCs w:val="20"/>
        </w:rPr>
        <w:t xml:space="preserve">  (</w:t>
      </w:r>
      <w:r w:rsidRPr="00786225">
        <w:rPr>
          <w:rFonts w:ascii="Calibri" w:hAnsi="Calibri"/>
          <w:bCs/>
          <w:i/>
          <w:iCs/>
          <w:sz w:val="20"/>
          <w:szCs w:val="20"/>
        </w:rPr>
        <w:t xml:space="preserve">Section </w:t>
      </w:r>
      <w:r w:rsidRPr="00786225">
        <w:rPr>
          <w:rFonts w:ascii="Calibri" w:hAnsi="Calibri"/>
          <w:i/>
          <w:sz w:val="20"/>
          <w:szCs w:val="20"/>
        </w:rPr>
        <w:t>V.B.2.c</w:t>
      </w:r>
      <w:r>
        <w:rPr>
          <w:rFonts w:ascii="Calibri" w:hAnsi="Calibri"/>
          <w:sz w:val="20"/>
          <w:szCs w:val="20"/>
        </w:rPr>
        <w:t>)</w:t>
      </w:r>
    </w:p>
    <w:p w:rsidR="00B454FB" w:rsidRPr="007579A6" w:rsidRDefault="00B454FB" w:rsidP="00B454FB">
      <w:pPr>
        <w:pStyle w:val="ColorfulList-Accent11"/>
        <w:numPr>
          <w:ilvl w:val="0"/>
          <w:numId w:val="58"/>
        </w:numPr>
        <w:ind w:left="360"/>
        <w:rPr>
          <w:rFonts w:ascii="Calibri" w:hAnsi="Calibri"/>
          <w:sz w:val="20"/>
          <w:szCs w:val="20"/>
        </w:rPr>
      </w:pPr>
      <w:r w:rsidRPr="007579A6">
        <w:rPr>
          <w:rFonts w:ascii="Calibri" w:eastAsia="Cambria" w:hAnsi="Calibri"/>
          <w:sz w:val="20"/>
          <w:szCs w:val="20"/>
        </w:rPr>
        <w:t>Consider storage of the database on a secure online data storage system such as Dropbox</w:t>
      </w:r>
      <w:r w:rsidRPr="00D61C8A">
        <w:rPr>
          <w:rStyle w:val="FootnoteReference"/>
          <w:rFonts w:ascii="Calibri" w:eastAsia="Cambria" w:hAnsi="Calibri"/>
          <w:sz w:val="20"/>
          <w:szCs w:val="20"/>
        </w:rPr>
        <w:footnoteReference w:id="1"/>
      </w:r>
      <w:r w:rsidRPr="007579A6">
        <w:rPr>
          <w:rFonts w:ascii="Calibri" w:eastAsia="Cambria" w:hAnsi="Calibri"/>
          <w:sz w:val="20"/>
          <w:szCs w:val="20"/>
        </w:rPr>
        <w:t xml:space="preserve"> or a designated File Transfer Protocol (FTP) site.  Storing the database on such a system would allow the </w:t>
      </w:r>
      <w:r w:rsidRPr="007579A6">
        <w:rPr>
          <w:rFonts w:ascii="Calibri" w:hAnsi="Calibri"/>
          <w:sz w:val="20"/>
          <w:szCs w:val="20"/>
        </w:rPr>
        <w:t>INSEC focal point for MA</w:t>
      </w:r>
      <w:r w:rsidRPr="007579A6">
        <w:rPr>
          <w:rFonts w:ascii="Calibri" w:eastAsia="Cambria" w:hAnsi="Calibri"/>
          <w:sz w:val="20"/>
          <w:szCs w:val="20"/>
        </w:rPr>
        <w:t xml:space="preserve"> to control access to the file and save time currently spent saving the database in multiple locations.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V.B.2.a</w:t>
      </w:r>
      <w:r>
        <w:rPr>
          <w:rFonts w:ascii="Calibri" w:hAnsi="Calibri"/>
          <w:sz w:val="20"/>
          <w:szCs w:val="20"/>
        </w:rPr>
        <w:t>)</w:t>
      </w:r>
    </w:p>
    <w:p w:rsidR="00B454FB" w:rsidRDefault="00B454FB" w:rsidP="00B454FB">
      <w:pPr>
        <w:pStyle w:val="ColorfulList-Accent11"/>
        <w:numPr>
          <w:ilvl w:val="0"/>
          <w:numId w:val="58"/>
        </w:numPr>
        <w:ind w:left="360"/>
        <w:rPr>
          <w:rFonts w:ascii="Calibri" w:hAnsi="Calibri"/>
          <w:sz w:val="20"/>
          <w:szCs w:val="20"/>
        </w:rPr>
      </w:pPr>
      <w:r w:rsidRPr="001B6C2C">
        <w:rPr>
          <w:rFonts w:ascii="Calibri" w:eastAsia="Cambria" w:hAnsi="Calibri"/>
          <w:sz w:val="20"/>
          <w:szCs w:val="20"/>
        </w:rPr>
        <w:t>Address discrepancies between the data collection form and the database</w:t>
      </w:r>
      <w:r>
        <w:rPr>
          <w:rFonts w:ascii="Calibri" w:eastAsia="Cambria" w:hAnsi="Calibri"/>
          <w:sz w:val="20"/>
          <w:szCs w:val="20"/>
        </w:rPr>
        <w:t>.  (</w:t>
      </w:r>
      <w:r w:rsidRPr="00786225">
        <w:rPr>
          <w:rFonts w:ascii="Calibri" w:eastAsia="Cambria" w:hAnsi="Calibri"/>
          <w:i/>
          <w:sz w:val="20"/>
          <w:szCs w:val="20"/>
        </w:rPr>
        <w:t xml:space="preserve">Section </w:t>
      </w:r>
      <w:r w:rsidRPr="00786225">
        <w:rPr>
          <w:rFonts w:ascii="Calibri" w:hAnsi="Calibri"/>
          <w:i/>
          <w:sz w:val="20"/>
          <w:szCs w:val="20"/>
        </w:rPr>
        <w:t>V.B.2.a</w:t>
      </w:r>
      <w:r>
        <w:rPr>
          <w:rFonts w:ascii="Calibri" w:hAnsi="Calibri"/>
          <w:sz w:val="20"/>
          <w:szCs w:val="20"/>
        </w:rPr>
        <w:t>)</w:t>
      </w:r>
    </w:p>
    <w:p w:rsidR="00B454FB" w:rsidRPr="001B6C2C" w:rsidRDefault="00B454FB" w:rsidP="00B454FB">
      <w:pPr>
        <w:pStyle w:val="ColorfulList-Accent11"/>
        <w:numPr>
          <w:ilvl w:val="0"/>
          <w:numId w:val="58"/>
        </w:numPr>
        <w:ind w:left="360"/>
        <w:rPr>
          <w:rFonts w:ascii="Calibri" w:hAnsi="Calibri"/>
          <w:sz w:val="20"/>
          <w:szCs w:val="20"/>
        </w:rPr>
      </w:pPr>
      <w:r w:rsidRPr="001B6C2C">
        <w:rPr>
          <w:rFonts w:ascii="Calibri" w:hAnsi="Calibri"/>
          <w:sz w:val="20"/>
          <w:szCs w:val="20"/>
        </w:rPr>
        <w:t>Reconsider the idea of regional data entry; allowing more people access to the database may jeopardize data quality.  If the primary reason for considering this idea is to allow regional personnel to analyze their own data, it may be possible for the central office to send them the data separately.  On a related note, regional personnel should be cautious when interpreting data at the regional level, at which sample sizes are so small that conclusions may not be statistically significant.</w:t>
      </w:r>
      <w:r>
        <w:rPr>
          <w:rFonts w:ascii="Calibri" w:hAnsi="Calibri"/>
          <w:sz w:val="20"/>
          <w:szCs w:val="20"/>
        </w:rPr>
        <w:t xml:space="preserve">  (</w:t>
      </w:r>
      <w:r w:rsidRPr="00786225">
        <w:rPr>
          <w:rFonts w:ascii="Calibri" w:hAnsi="Calibri"/>
          <w:i/>
          <w:sz w:val="20"/>
          <w:szCs w:val="20"/>
        </w:rPr>
        <w:t>Section V.B.2.c</w:t>
      </w:r>
      <w:r>
        <w:rPr>
          <w:rFonts w:ascii="Calibri" w:hAnsi="Calibri"/>
          <w:sz w:val="20"/>
          <w:szCs w:val="20"/>
        </w:rPr>
        <w:t>)</w:t>
      </w:r>
    </w:p>
    <w:p w:rsidR="00B454FB" w:rsidRPr="00D61C8A" w:rsidRDefault="00B454FB" w:rsidP="00B454FB">
      <w:pPr>
        <w:rPr>
          <w:rFonts w:ascii="Calibri" w:hAnsi="Calibri"/>
          <w:i/>
          <w:sz w:val="20"/>
          <w:szCs w:val="20"/>
        </w:rPr>
      </w:pPr>
    </w:p>
    <w:p w:rsidR="00B454FB" w:rsidRDefault="00B454FB" w:rsidP="00B454FB">
      <w:pPr>
        <w:rPr>
          <w:rFonts w:ascii="Calibri" w:hAnsi="Calibri"/>
          <w:b/>
          <w:sz w:val="20"/>
          <w:szCs w:val="20"/>
        </w:rPr>
      </w:pPr>
      <w:r w:rsidRPr="00D61C8A">
        <w:rPr>
          <w:rFonts w:ascii="Calibri" w:hAnsi="Calibri"/>
          <w:b/>
          <w:sz w:val="20"/>
          <w:szCs w:val="20"/>
        </w:rPr>
        <w:lastRenderedPageBreak/>
        <w:t>3) Encourage use of data collected</w:t>
      </w:r>
    </w:p>
    <w:p w:rsidR="00B454FB" w:rsidRPr="004E54B9" w:rsidRDefault="00B454FB" w:rsidP="00B454FB">
      <w:pPr>
        <w:pStyle w:val="ColorfulList-Accent11"/>
        <w:numPr>
          <w:ilvl w:val="0"/>
          <w:numId w:val="59"/>
        </w:numPr>
        <w:spacing w:line="276" w:lineRule="auto"/>
        <w:ind w:left="360"/>
        <w:rPr>
          <w:rFonts w:ascii="Calibri" w:eastAsia="Cambria" w:hAnsi="Calibri"/>
          <w:sz w:val="20"/>
          <w:szCs w:val="20"/>
        </w:rPr>
      </w:pPr>
      <w:r w:rsidRPr="004E54B9">
        <w:rPr>
          <w:rFonts w:ascii="Calibri" w:hAnsi="Calibri"/>
          <w:sz w:val="20"/>
          <w:szCs w:val="20"/>
        </w:rPr>
        <w:t xml:space="preserve">Consider expanding the surveillance system objectives to link data collection with all pillars of </w:t>
      </w:r>
      <w:r>
        <w:rPr>
          <w:rFonts w:ascii="Calibri" w:hAnsi="Calibri"/>
          <w:sz w:val="20"/>
          <w:szCs w:val="20"/>
        </w:rPr>
        <w:t>MA</w:t>
      </w:r>
      <w:r w:rsidRPr="004E54B9">
        <w:rPr>
          <w:rFonts w:ascii="Calibri" w:hAnsi="Calibri"/>
          <w:sz w:val="20"/>
          <w:szCs w:val="20"/>
        </w:rPr>
        <w:t>.</w:t>
      </w:r>
      <w:r>
        <w:rPr>
          <w:rFonts w:ascii="Calibri" w:hAnsi="Calibri"/>
          <w:sz w:val="20"/>
          <w:szCs w:val="20"/>
        </w:rPr>
        <w:t xml:space="preserve">  (</w:t>
      </w:r>
      <w:r w:rsidRPr="00786225">
        <w:rPr>
          <w:rFonts w:ascii="Calibri" w:hAnsi="Calibri"/>
          <w:i/>
          <w:sz w:val="20"/>
          <w:szCs w:val="20"/>
        </w:rPr>
        <w:t>Section V.B.1</w:t>
      </w:r>
      <w:r>
        <w:rPr>
          <w:rFonts w:ascii="Calibri" w:hAnsi="Calibri"/>
          <w:sz w:val="20"/>
          <w:szCs w:val="20"/>
        </w:rPr>
        <w:t>)</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Clarify the naming of reports posted </w:t>
      </w:r>
      <w:r>
        <w:rPr>
          <w:rFonts w:ascii="Calibri" w:eastAsia="Cambria" w:hAnsi="Calibri"/>
          <w:sz w:val="20"/>
          <w:szCs w:val="20"/>
        </w:rPr>
        <w:t>on the</w:t>
      </w:r>
      <w:r w:rsidRPr="00D61C8A">
        <w:rPr>
          <w:rFonts w:ascii="Calibri" w:eastAsia="Cambria" w:hAnsi="Calibri"/>
          <w:sz w:val="20"/>
          <w:szCs w:val="20"/>
        </w:rPr>
        <w:t xml:space="preserve"> INSEConline</w:t>
      </w:r>
      <w:r>
        <w:rPr>
          <w:rFonts w:ascii="Calibri" w:eastAsia="Cambria" w:hAnsi="Calibri"/>
          <w:sz w:val="20"/>
          <w:szCs w:val="20"/>
        </w:rPr>
        <w:t xml:space="preserve"> website</w:t>
      </w:r>
      <w:r w:rsidRPr="00D61C8A">
        <w:rPr>
          <w:rFonts w:ascii="Calibri" w:eastAsia="Cambria" w:hAnsi="Calibri"/>
          <w:sz w:val="20"/>
          <w:szCs w:val="20"/>
        </w:rPr>
        <w:t>; this will increase the usability of the reports and encourage more users to return to the site.</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V.B.1</w:t>
      </w:r>
      <w:r>
        <w:rPr>
          <w:rFonts w:ascii="Calibri" w:hAnsi="Calibri"/>
          <w:sz w:val="20"/>
          <w:szCs w:val="20"/>
        </w:rPr>
        <w:t>)</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hAnsi="Calibri"/>
          <w:sz w:val="20"/>
          <w:szCs w:val="20"/>
        </w:rPr>
        <w:t xml:space="preserve">Consider making reports available in some other format, as individuals without access to the Internet </w:t>
      </w:r>
      <w:r>
        <w:rPr>
          <w:rFonts w:ascii="Calibri" w:hAnsi="Calibri"/>
          <w:sz w:val="20"/>
          <w:szCs w:val="20"/>
        </w:rPr>
        <w:t>do</w:t>
      </w:r>
      <w:r w:rsidRPr="00D61C8A">
        <w:rPr>
          <w:rFonts w:ascii="Calibri" w:hAnsi="Calibri"/>
          <w:sz w:val="20"/>
          <w:szCs w:val="20"/>
        </w:rPr>
        <w:t xml:space="preserve"> not have access to reports online.  If UNICEF and INSEC do not wish to publish reports elsewhere, they may consider using other media to inform the public about the availability of the online reports.</w:t>
      </w:r>
      <w:r>
        <w:rPr>
          <w:rFonts w:ascii="Calibri" w:hAnsi="Calibri"/>
          <w:sz w:val="20"/>
          <w:szCs w:val="20"/>
        </w:rPr>
        <w:t xml:space="preserve">  (</w:t>
      </w:r>
      <w:r w:rsidRPr="00786225">
        <w:rPr>
          <w:rFonts w:ascii="Calibri" w:hAnsi="Calibri"/>
          <w:i/>
          <w:sz w:val="20"/>
          <w:szCs w:val="20"/>
        </w:rPr>
        <w:t>Section V.B.1</w:t>
      </w:r>
      <w:r>
        <w:rPr>
          <w:rFonts w:ascii="Calibri" w:hAnsi="Calibri"/>
          <w:sz w:val="20"/>
          <w:szCs w:val="20"/>
        </w:rPr>
        <w:t>)</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Collaborate with NA personnel who prioritize areas for demining and clearance to </w:t>
      </w:r>
      <w:r>
        <w:rPr>
          <w:rFonts w:ascii="Calibri" w:eastAsia="Cambria" w:hAnsi="Calibri"/>
          <w:sz w:val="20"/>
          <w:szCs w:val="20"/>
        </w:rPr>
        <w:t>en</w:t>
      </w:r>
      <w:r w:rsidRPr="00D61C8A">
        <w:rPr>
          <w:rFonts w:ascii="Calibri" w:eastAsia="Cambria" w:hAnsi="Calibri"/>
          <w:sz w:val="20"/>
          <w:szCs w:val="20"/>
        </w:rPr>
        <w:t>sure that injury data are being considered during the selection of priority areas.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V.B.1</w:t>
      </w:r>
      <w:r>
        <w:rPr>
          <w:rFonts w:ascii="Calibri" w:hAnsi="Calibri"/>
          <w:sz w:val="20"/>
          <w:szCs w:val="20"/>
        </w:rPr>
        <w:t>)</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Encourage the development of a standardized response mechanism </w:t>
      </w:r>
      <w:r>
        <w:rPr>
          <w:rFonts w:ascii="Calibri" w:eastAsia="Cambria" w:hAnsi="Calibri"/>
          <w:sz w:val="20"/>
          <w:szCs w:val="20"/>
        </w:rPr>
        <w:t xml:space="preserve">by which VAE injury surveillance system data can be used </w:t>
      </w:r>
      <w:r w:rsidRPr="00D61C8A">
        <w:rPr>
          <w:rFonts w:ascii="Calibri" w:eastAsia="Cambria" w:hAnsi="Calibri"/>
          <w:sz w:val="20"/>
          <w:szCs w:val="20"/>
        </w:rPr>
        <w:t xml:space="preserve">to clear newly found ED </w:t>
      </w:r>
      <w:r>
        <w:rPr>
          <w:rFonts w:ascii="Calibri" w:eastAsia="Cambria" w:hAnsi="Calibri"/>
          <w:sz w:val="20"/>
          <w:szCs w:val="20"/>
        </w:rPr>
        <w:t>in a timely manner</w:t>
      </w:r>
      <w:r w:rsidRPr="00D61C8A">
        <w:rPr>
          <w:rFonts w:ascii="Calibri" w:eastAsia="Cambria" w:hAnsi="Calibri"/>
          <w:sz w:val="20"/>
          <w:szCs w:val="20"/>
        </w:rPr>
        <w:t>.</w:t>
      </w:r>
      <w:r>
        <w:rPr>
          <w:rFonts w:ascii="Calibri" w:eastAsia="Cambria" w:hAnsi="Calibri"/>
          <w:sz w:val="20"/>
          <w:szCs w:val="20"/>
        </w:rPr>
        <w:t xml:space="preserve">  At this time, INSEC data reach the NA via UNICEF and the United Nations Mine Action Team; this new mechanism would accelerate the flow of data by sending updates directly from INSEC to the NA.  (</w:t>
      </w:r>
      <w:r w:rsidRPr="00786225">
        <w:rPr>
          <w:rFonts w:ascii="Calibri" w:eastAsia="Cambria" w:hAnsi="Calibri"/>
          <w:i/>
          <w:sz w:val="20"/>
          <w:szCs w:val="20"/>
        </w:rPr>
        <w:t xml:space="preserve">Section </w:t>
      </w:r>
      <w:r w:rsidRPr="00786225">
        <w:rPr>
          <w:rFonts w:ascii="Calibri" w:hAnsi="Calibri"/>
          <w:i/>
          <w:sz w:val="20"/>
          <w:szCs w:val="20"/>
        </w:rPr>
        <w:t>V.B.1</w:t>
      </w:r>
      <w:r>
        <w:rPr>
          <w:rFonts w:ascii="Calibri" w:hAnsi="Calibri"/>
          <w:sz w:val="20"/>
          <w:szCs w:val="20"/>
        </w:rPr>
        <w:t>)</w:t>
      </w:r>
    </w:p>
    <w:p w:rsidR="00B454FB" w:rsidRPr="00D61C8A" w:rsidRDefault="00B454FB" w:rsidP="00B454FB">
      <w:pPr>
        <w:pStyle w:val="CommentText"/>
        <w:numPr>
          <w:ilvl w:val="0"/>
          <w:numId w:val="59"/>
        </w:numPr>
        <w:ind w:left="360"/>
        <w:rPr>
          <w:rFonts w:ascii="Calibri" w:hAnsi="Calibri" w:cs="Arial"/>
        </w:rPr>
      </w:pPr>
      <w:r w:rsidRPr="00D61C8A">
        <w:rPr>
          <w:rFonts w:ascii="Calibri" w:hAnsi="Calibri"/>
        </w:rPr>
        <w:t>Encourage</w:t>
      </w:r>
      <w:r>
        <w:rPr>
          <w:rFonts w:ascii="Calibri" w:hAnsi="Calibri"/>
        </w:rPr>
        <w:t xml:space="preserve"> all MA stakeholders</w:t>
      </w:r>
      <w:r w:rsidRPr="00D61C8A">
        <w:rPr>
          <w:rFonts w:ascii="Calibri" w:hAnsi="Calibri"/>
        </w:rPr>
        <w:t xml:space="preserve"> to use INSEC surveillance data, explaining the benefits of using better data to drive advocacy and MRE activities.</w:t>
      </w:r>
      <w:r>
        <w:rPr>
          <w:rFonts w:ascii="Calibri" w:hAnsi="Calibri"/>
        </w:rPr>
        <w:t xml:space="preserve">  (</w:t>
      </w:r>
      <w:r w:rsidRPr="00786225">
        <w:rPr>
          <w:rFonts w:ascii="Calibri" w:hAnsi="Calibri"/>
          <w:i/>
        </w:rPr>
        <w:t>Section V.B.2.d</w:t>
      </w:r>
      <w:r>
        <w:rPr>
          <w:rFonts w:ascii="Calibri" w:hAnsi="Calibri"/>
        </w:rPr>
        <w:t>)</w:t>
      </w:r>
    </w:p>
    <w:p w:rsidR="00B454FB" w:rsidRPr="00D61C8A" w:rsidRDefault="00B454FB" w:rsidP="00B454FB">
      <w:pPr>
        <w:rPr>
          <w:rFonts w:ascii="Calibri" w:hAnsi="Calibri"/>
          <w: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4) Encourage and protect participation in the surveillance system</w:t>
      </w:r>
    </w:p>
    <w:p w:rsidR="00B454FB" w:rsidRPr="00D61C8A" w:rsidRDefault="00B454FB" w:rsidP="00B454FB">
      <w:pPr>
        <w:pStyle w:val="ColorfulList-Accent11"/>
        <w:numPr>
          <w:ilvl w:val="0"/>
          <w:numId w:val="60"/>
        </w:numPr>
        <w:ind w:left="360"/>
        <w:rPr>
          <w:rFonts w:ascii="Calibri" w:hAnsi="Calibri"/>
          <w:b/>
          <w:sz w:val="20"/>
          <w:szCs w:val="20"/>
        </w:rPr>
      </w:pPr>
      <w:r>
        <w:rPr>
          <w:rFonts w:ascii="Calibri" w:hAnsi="Calibri" w:cs="Arial"/>
          <w:sz w:val="20"/>
          <w:szCs w:val="20"/>
        </w:rPr>
        <w:t>En</w:t>
      </w:r>
      <w:r w:rsidRPr="00D61C8A">
        <w:rPr>
          <w:rFonts w:ascii="Calibri" w:hAnsi="Calibri" w:cs="Arial"/>
          <w:sz w:val="20"/>
          <w:szCs w:val="20"/>
        </w:rPr>
        <w:t>sure that adequate measures are in place to protect the security and confidentiality of informants and DRs.</w:t>
      </w:r>
      <w:r>
        <w:rPr>
          <w:rFonts w:ascii="Calibri" w:hAnsi="Calibri" w:cs="Arial"/>
          <w:sz w:val="20"/>
          <w:szCs w:val="20"/>
        </w:rPr>
        <w:t xml:space="preserve">  (</w:t>
      </w:r>
      <w:r w:rsidRPr="00786225">
        <w:rPr>
          <w:rFonts w:ascii="Calibri" w:hAnsi="Calibri" w:cs="Arial"/>
          <w:i/>
          <w:sz w:val="20"/>
          <w:szCs w:val="20"/>
        </w:rPr>
        <w:t xml:space="preserve">Section </w:t>
      </w:r>
      <w:r w:rsidRPr="00786225">
        <w:rPr>
          <w:rFonts w:ascii="Calibri" w:hAnsi="Calibri"/>
          <w:i/>
          <w:sz w:val="20"/>
          <w:szCs w:val="20"/>
        </w:rPr>
        <w:t>V.B.2.d</w:t>
      </w:r>
      <w:r>
        <w:rPr>
          <w:rFonts w:ascii="Calibri" w:hAnsi="Calibri"/>
          <w:sz w:val="20"/>
          <w:szCs w:val="20"/>
        </w:rPr>
        <w:t>)</w:t>
      </w:r>
    </w:p>
    <w:p w:rsidR="00B454FB" w:rsidRPr="00D61C8A" w:rsidRDefault="00B454FB" w:rsidP="00B454FB">
      <w:pPr>
        <w:pStyle w:val="CommentText"/>
        <w:numPr>
          <w:ilvl w:val="0"/>
          <w:numId w:val="60"/>
        </w:numPr>
        <w:ind w:left="360"/>
        <w:rPr>
          <w:rFonts w:ascii="Calibri" w:hAnsi="Calibri" w:cs="Arial"/>
        </w:rPr>
      </w:pPr>
      <w:r w:rsidRPr="00D61C8A">
        <w:rPr>
          <w:rFonts w:ascii="Calibri" w:hAnsi="Calibri"/>
        </w:rPr>
        <w:t>Address fears of repercussions for reporting among communities through public campaigns or other appropriate means.</w:t>
      </w:r>
      <w:r>
        <w:rPr>
          <w:rFonts w:ascii="Calibri" w:hAnsi="Calibri"/>
        </w:rPr>
        <w:t xml:space="preserve">  (</w:t>
      </w:r>
      <w:r w:rsidRPr="00786225">
        <w:rPr>
          <w:rFonts w:ascii="Calibri" w:hAnsi="Calibri"/>
          <w:i/>
        </w:rPr>
        <w:t>Section V.B.2.e</w:t>
      </w:r>
      <w:r>
        <w:rPr>
          <w:rFonts w:ascii="Calibri" w:hAnsi="Calibri"/>
        </w:rPr>
        <w:t>)</w:t>
      </w:r>
    </w:p>
    <w:p w:rsidR="00B454FB" w:rsidRPr="004B51CD" w:rsidRDefault="00B454FB" w:rsidP="00B454FB">
      <w:pPr>
        <w:pStyle w:val="ColorfulList-Accent11"/>
        <w:numPr>
          <w:ilvl w:val="0"/>
          <w:numId w:val="60"/>
        </w:numPr>
        <w:spacing w:line="276" w:lineRule="auto"/>
        <w:ind w:left="360"/>
        <w:rPr>
          <w:rFonts w:ascii="Calibri" w:eastAsia="Cambria" w:hAnsi="Calibri"/>
          <w:sz w:val="20"/>
          <w:szCs w:val="20"/>
        </w:rPr>
      </w:pPr>
      <w:r w:rsidRPr="00D61C8A">
        <w:rPr>
          <w:rFonts w:ascii="Calibri" w:eastAsia="Cambria" w:hAnsi="Calibri"/>
          <w:sz w:val="20"/>
          <w:szCs w:val="20"/>
        </w:rPr>
        <w:t xml:space="preserve">Improve the accessibility of reports for surveillance system informants and DRs.  Steps may include translating reports into Nepali, renaming the reports posted online for better clarity, or providing access to printed reports.  Special attention may be required to </w:t>
      </w:r>
      <w:r>
        <w:rPr>
          <w:rFonts w:ascii="Calibri" w:eastAsia="Cambria" w:hAnsi="Calibri"/>
          <w:sz w:val="20"/>
          <w:szCs w:val="20"/>
        </w:rPr>
        <w:t>en</w:t>
      </w:r>
      <w:r w:rsidRPr="00D61C8A">
        <w:rPr>
          <w:rFonts w:ascii="Calibri" w:eastAsia="Cambria" w:hAnsi="Calibri"/>
          <w:sz w:val="20"/>
          <w:szCs w:val="20"/>
        </w:rPr>
        <w:t>sure that results reach communities wh</w:t>
      </w:r>
      <w:r>
        <w:rPr>
          <w:rFonts w:ascii="Calibri" w:eastAsia="Cambria" w:hAnsi="Calibri"/>
          <w:sz w:val="20"/>
          <w:szCs w:val="20"/>
        </w:rPr>
        <w:t>o</w:t>
      </w:r>
      <w:r w:rsidRPr="00D61C8A">
        <w:rPr>
          <w:rFonts w:ascii="Calibri" w:eastAsia="Cambria" w:hAnsi="Calibri"/>
          <w:sz w:val="20"/>
          <w:szCs w:val="20"/>
        </w:rPr>
        <w:t xml:space="preserve"> speak languages other than Nepali or have low literacy levels.</w:t>
      </w:r>
      <w:r>
        <w:rPr>
          <w:rFonts w:ascii="Calibri" w:eastAsia="Cambria" w:hAnsi="Calibri"/>
          <w:sz w:val="20"/>
          <w:szCs w:val="20"/>
        </w:rPr>
        <w:t xml:space="preserve">  (</w:t>
      </w:r>
      <w:r w:rsidRPr="00336457">
        <w:rPr>
          <w:rFonts w:ascii="Calibri" w:eastAsia="Cambria" w:hAnsi="Calibri"/>
          <w:i/>
          <w:sz w:val="20"/>
          <w:szCs w:val="20"/>
        </w:rPr>
        <w:t xml:space="preserve">Section </w:t>
      </w:r>
      <w:r w:rsidRPr="00336457">
        <w:rPr>
          <w:rFonts w:ascii="Calibri" w:hAnsi="Calibri"/>
          <w:i/>
          <w:sz w:val="20"/>
          <w:szCs w:val="20"/>
        </w:rPr>
        <w:t>V.B.2.d</w:t>
      </w:r>
      <w:r>
        <w:rPr>
          <w:rFonts w:ascii="Calibri" w:hAnsi="Calibri"/>
          <w:sz w:val="20"/>
          <w:szCs w:val="20"/>
        </w:rPr>
        <w:t>)</w:t>
      </w:r>
    </w:p>
    <w:p w:rsidR="00B454FB" w:rsidRPr="00D61C8A" w:rsidRDefault="00B454FB" w:rsidP="00B454FB">
      <w:pPr>
        <w:rPr>
          <w:rFonts w:ascii="Calibri" w:hAnsi="Calibri"/>
          <w:i/>
          <w:sz w:val="20"/>
          <w:szCs w:val="20"/>
        </w:rPr>
      </w:pPr>
    </w:p>
    <w:p w:rsidR="00B454FB" w:rsidRDefault="00B454FB" w:rsidP="00B454FB">
      <w:pPr>
        <w:rPr>
          <w:rFonts w:ascii="Calibri" w:hAnsi="Calibri"/>
          <w:b/>
          <w:sz w:val="20"/>
          <w:szCs w:val="20"/>
        </w:rPr>
      </w:pPr>
      <w:r w:rsidRPr="00D61C8A">
        <w:rPr>
          <w:rFonts w:ascii="Calibri" w:hAnsi="Calibri"/>
          <w:b/>
          <w:sz w:val="20"/>
          <w:szCs w:val="20"/>
        </w:rPr>
        <w:t>5) Ensure sustainability for necessary surveillance system functions in the future</w:t>
      </w:r>
    </w:p>
    <w:p w:rsidR="00B454FB" w:rsidRPr="00407558" w:rsidRDefault="00B454FB" w:rsidP="00B454FB">
      <w:pPr>
        <w:numPr>
          <w:ilvl w:val="0"/>
          <w:numId w:val="77"/>
        </w:numPr>
        <w:rPr>
          <w:rFonts w:ascii="Calibri" w:hAnsi="Calibri"/>
          <w:b/>
          <w:sz w:val="20"/>
          <w:szCs w:val="20"/>
        </w:rPr>
      </w:pPr>
      <w:r w:rsidRPr="00407558">
        <w:rPr>
          <w:rFonts w:ascii="Calibri" w:hAnsi="Calibri"/>
          <w:sz w:val="20"/>
          <w:szCs w:val="20"/>
        </w:rPr>
        <w:t xml:space="preserve">Start to develop an “exit strategy” for the surveillance system.  Given that so few VAE injuries are occurring every year, it may become increasingly difficult to justify the expense of running a separate surveillance system.  UNICEF and INSEC may wish to establish a threshold at which they will discontinue system activities; this may be </w:t>
      </w:r>
      <w:r w:rsidR="00197F0B">
        <w:rPr>
          <w:rFonts w:ascii="Calibri" w:hAnsi="Calibri"/>
          <w:sz w:val="20"/>
          <w:szCs w:val="20"/>
        </w:rPr>
        <w:t>the</w:t>
      </w:r>
      <w:r w:rsidR="00197F0B" w:rsidRPr="00407558">
        <w:rPr>
          <w:rFonts w:ascii="Calibri" w:hAnsi="Calibri"/>
          <w:sz w:val="20"/>
          <w:szCs w:val="20"/>
        </w:rPr>
        <w:t xml:space="preserve"> </w:t>
      </w:r>
      <w:r w:rsidRPr="00407558">
        <w:rPr>
          <w:rFonts w:ascii="Calibri" w:hAnsi="Calibri"/>
          <w:sz w:val="20"/>
          <w:szCs w:val="20"/>
        </w:rPr>
        <w:t>number of injuries or affected districts.  Given that intentional explosions pose an ongoing threat in Terai districts, it may be possible to combine the VAE surveillance system with monitoring of intentional explosions.</w:t>
      </w:r>
      <w:r>
        <w:rPr>
          <w:rFonts w:ascii="Calibri" w:hAnsi="Calibri"/>
          <w:sz w:val="20"/>
          <w:szCs w:val="20"/>
        </w:rPr>
        <w:t xml:space="preserve">  (</w:t>
      </w:r>
      <w:r w:rsidRPr="00336457">
        <w:rPr>
          <w:rFonts w:ascii="Calibri" w:hAnsi="Calibri"/>
          <w:i/>
          <w:sz w:val="20"/>
          <w:szCs w:val="20"/>
        </w:rPr>
        <w:t>Sections III.D.3 and V.A.2.h</w:t>
      </w:r>
      <w:r>
        <w:rPr>
          <w:rFonts w:ascii="Calibri" w:hAnsi="Calibri"/>
          <w:sz w:val="20"/>
          <w:szCs w:val="20"/>
        </w:rPr>
        <w:t>)</w:t>
      </w:r>
    </w:p>
    <w:p w:rsidR="00B454FB" w:rsidRPr="00407558" w:rsidRDefault="00B454FB" w:rsidP="00B454FB">
      <w:pPr>
        <w:numPr>
          <w:ilvl w:val="0"/>
          <w:numId w:val="77"/>
        </w:numPr>
        <w:rPr>
          <w:rFonts w:ascii="Calibri" w:hAnsi="Calibri"/>
          <w:b/>
          <w:sz w:val="20"/>
          <w:szCs w:val="20"/>
        </w:rPr>
      </w:pPr>
      <w:r w:rsidRPr="00407558">
        <w:rPr>
          <w:rFonts w:ascii="Calibri" w:eastAsia="Cambria" w:hAnsi="Calibri"/>
          <w:sz w:val="20"/>
          <w:szCs w:val="20"/>
        </w:rPr>
        <w:t xml:space="preserve">Reconsider the current level of resource expenditure on VAE injury surveillance, especially if VAE injuries continue to </w:t>
      </w:r>
      <w:r>
        <w:rPr>
          <w:rFonts w:ascii="Calibri" w:eastAsia="Cambria" w:hAnsi="Calibri"/>
          <w:sz w:val="20"/>
          <w:szCs w:val="20"/>
        </w:rPr>
        <w:t>decrease in incidence</w:t>
      </w:r>
      <w:r w:rsidRPr="00407558">
        <w:rPr>
          <w:rFonts w:ascii="Calibri" w:eastAsia="Cambria" w:hAnsi="Calibri"/>
          <w:sz w:val="20"/>
          <w:szCs w:val="20"/>
        </w:rPr>
        <w:t xml:space="preserve">.  It may be possible to </w:t>
      </w:r>
      <w:r w:rsidRPr="00407558">
        <w:rPr>
          <w:rFonts w:ascii="Calibri" w:hAnsi="Calibri"/>
          <w:sz w:val="20"/>
          <w:szCs w:val="20"/>
        </w:rPr>
        <w:t>collaborate with the Ministry of Health, World Health Organization or other partners to establish an all-cause injury surveillance system, which could result in better use of limited resources.  Support already exists among some Nepali medical personnel for the establishment of such a system.</w:t>
      </w:r>
      <w:r>
        <w:rPr>
          <w:rFonts w:ascii="Calibri" w:hAnsi="Calibri"/>
          <w:sz w:val="20"/>
          <w:szCs w:val="20"/>
        </w:rPr>
        <w:t xml:space="preserve">  (</w:t>
      </w:r>
      <w:r w:rsidRPr="00786225">
        <w:rPr>
          <w:rFonts w:ascii="Calibri" w:hAnsi="Calibri"/>
          <w:i/>
          <w:sz w:val="20"/>
          <w:szCs w:val="20"/>
        </w:rPr>
        <w:t>Section V.B.1</w:t>
      </w:r>
      <w:r>
        <w:rPr>
          <w:rFonts w:ascii="Calibri" w:hAnsi="Calibri"/>
          <w:sz w:val="20"/>
          <w:szCs w:val="20"/>
        </w:rPr>
        <w:t>)</w:t>
      </w:r>
    </w:p>
    <w:p w:rsidR="00B454FB" w:rsidRPr="00D61C8A" w:rsidRDefault="00B454FB" w:rsidP="00B454FB">
      <w:pPr>
        <w:pStyle w:val="ColorfulList-Accent11"/>
        <w:numPr>
          <w:ilvl w:val="0"/>
          <w:numId w:val="61"/>
        </w:numPr>
        <w:ind w:left="360"/>
        <w:rPr>
          <w:rFonts w:ascii="Calibri" w:eastAsia="Cambria" w:hAnsi="Calibri"/>
          <w:sz w:val="20"/>
          <w:szCs w:val="20"/>
        </w:rPr>
      </w:pPr>
      <w:r w:rsidRPr="00407558">
        <w:rPr>
          <w:rFonts w:ascii="Calibri" w:hAnsi="Calibri"/>
          <w:sz w:val="20"/>
          <w:szCs w:val="20"/>
        </w:rPr>
        <w:t>Ensure that DRs are paid enough to cover their travel expenses; this may involve paying a travel per diem that varies with duration</w:t>
      </w:r>
      <w:r w:rsidRPr="00D61C8A">
        <w:rPr>
          <w:rFonts w:ascii="Calibri" w:hAnsi="Calibri"/>
          <w:sz w:val="20"/>
          <w:szCs w:val="20"/>
        </w:rPr>
        <w:t xml:space="preserve"> of travel rather than the current fixed sum.</w:t>
      </w:r>
      <w:r>
        <w:rPr>
          <w:rFonts w:ascii="Calibri" w:hAnsi="Calibri"/>
          <w:sz w:val="20"/>
          <w:szCs w:val="20"/>
        </w:rPr>
        <w:t xml:space="preserve">  (</w:t>
      </w:r>
      <w:r w:rsidRPr="00786225">
        <w:rPr>
          <w:rFonts w:ascii="Calibri" w:hAnsi="Calibri"/>
          <w:i/>
          <w:sz w:val="20"/>
          <w:szCs w:val="20"/>
        </w:rPr>
        <w:t>Section V.B.2.i</w:t>
      </w:r>
      <w:r>
        <w:rPr>
          <w:rFonts w:ascii="Calibri" w:hAnsi="Calibri"/>
          <w:sz w:val="20"/>
          <w:szCs w:val="20"/>
        </w:rPr>
        <w:t>)</w:t>
      </w:r>
    </w:p>
    <w:p w:rsidR="00B454FB" w:rsidRDefault="00B454FB" w:rsidP="00B454FB">
      <w:pPr>
        <w:pStyle w:val="ColorfulList-Accent11"/>
        <w:numPr>
          <w:ilvl w:val="0"/>
          <w:numId w:val="61"/>
        </w:numPr>
        <w:ind w:left="360"/>
        <w:rPr>
          <w:rFonts w:ascii="Calibri" w:eastAsia="Cambria" w:hAnsi="Calibri"/>
          <w:sz w:val="20"/>
          <w:szCs w:val="20"/>
        </w:rPr>
      </w:pPr>
      <w:r w:rsidRPr="00D61C8A">
        <w:rPr>
          <w:rFonts w:ascii="Calibri" w:eastAsia="Cambria" w:hAnsi="Calibri"/>
          <w:sz w:val="20"/>
          <w:szCs w:val="20"/>
        </w:rPr>
        <w:t>Develop a full understanding of what expertise and institutional memory would remain if INSEC discontinued participation in the surveillance system, and assess how plausible it would be for another organization to take ownership of the surveillance system.</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V.B.2.i</w:t>
      </w:r>
      <w:r>
        <w:rPr>
          <w:rFonts w:ascii="Calibri" w:hAnsi="Calibri"/>
          <w:sz w:val="20"/>
          <w:szCs w:val="20"/>
        </w:rPr>
        <w:t>)</w:t>
      </w:r>
    </w:p>
    <w:p w:rsidR="00B454FB" w:rsidRPr="006614BA" w:rsidRDefault="00B454FB" w:rsidP="00B454FB">
      <w:pPr>
        <w:pStyle w:val="ColorfulList-Accent11"/>
        <w:numPr>
          <w:ilvl w:val="0"/>
          <w:numId w:val="61"/>
        </w:numPr>
        <w:ind w:left="360"/>
        <w:rPr>
          <w:rFonts w:ascii="Calibri" w:eastAsia="Cambria" w:hAnsi="Calibri"/>
          <w:sz w:val="20"/>
          <w:szCs w:val="20"/>
        </w:rPr>
      </w:pPr>
      <w:r w:rsidRPr="006614BA">
        <w:rPr>
          <w:rFonts w:ascii="Calibri" w:eastAsia="Cambria" w:hAnsi="Calibri"/>
          <w:sz w:val="20"/>
          <w:szCs w:val="20"/>
        </w:rPr>
        <w:t>Collaborate with INSEC to maintain more thorough records on surveillance system expenditures.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V.B.2.i</w:t>
      </w:r>
      <w:r>
        <w:rPr>
          <w:rFonts w:ascii="Calibri" w:hAnsi="Calibri"/>
          <w:sz w:val="20"/>
          <w:szCs w:val="20"/>
        </w:rPr>
        <w:t>)</w:t>
      </w:r>
    </w:p>
    <w:p w:rsidR="00B454FB" w:rsidRPr="00D61C8A" w:rsidRDefault="00B454FB" w:rsidP="00B454FB">
      <w:pPr>
        <w:pStyle w:val="ColorfulList-Accent11"/>
        <w:numPr>
          <w:ilvl w:val="0"/>
          <w:numId w:val="61"/>
        </w:numPr>
        <w:ind w:left="360"/>
        <w:rPr>
          <w:rFonts w:ascii="Calibri" w:eastAsia="Cambria" w:hAnsi="Calibri"/>
          <w:sz w:val="20"/>
          <w:szCs w:val="20"/>
        </w:rPr>
      </w:pPr>
      <w:r>
        <w:rPr>
          <w:rFonts w:ascii="Calibri" w:hAnsi="Calibri"/>
          <w:sz w:val="20"/>
          <w:szCs w:val="20"/>
        </w:rPr>
        <w:t>En</w:t>
      </w:r>
      <w:r w:rsidRPr="00D61C8A">
        <w:rPr>
          <w:rFonts w:ascii="Calibri" w:hAnsi="Calibri"/>
          <w:sz w:val="20"/>
          <w:szCs w:val="20"/>
        </w:rPr>
        <w:t>sure that contingency plans are in place to address problems of delayed access due to transportation and communication problems</w:t>
      </w:r>
      <w:r w:rsidRPr="00D61C8A">
        <w:rPr>
          <w:rFonts w:ascii="Calibri" w:eastAsia="Cambria" w:hAnsi="Calibri"/>
          <w:sz w:val="20"/>
          <w:szCs w:val="20"/>
        </w:rPr>
        <w:t>; the INSEC central office may be able to find additional methods by consulting with DRs and regional staff.</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V.B.2.h</w:t>
      </w:r>
      <w:r>
        <w:rPr>
          <w:rFonts w:ascii="Calibri" w:hAnsi="Calibri"/>
          <w:sz w:val="20"/>
          <w:szCs w:val="20"/>
        </w:rPr>
        <w:t>)</w:t>
      </w:r>
    </w:p>
    <w:p w:rsidR="00B454FB" w:rsidRPr="00D61C8A" w:rsidRDefault="00B454FB" w:rsidP="00B454FB">
      <w:pPr>
        <w:pStyle w:val="ColorfulList-Accent11"/>
        <w:numPr>
          <w:ilvl w:val="0"/>
          <w:numId w:val="61"/>
        </w:numPr>
        <w:ind w:left="360"/>
        <w:rPr>
          <w:rFonts w:ascii="Calibri" w:eastAsia="Cambria" w:hAnsi="Calibri"/>
          <w:sz w:val="20"/>
          <w:szCs w:val="20"/>
        </w:rPr>
      </w:pPr>
      <w:r w:rsidRPr="00D61C8A">
        <w:rPr>
          <w:rFonts w:ascii="Calibri" w:hAnsi="Calibri"/>
          <w:sz w:val="20"/>
          <w:szCs w:val="20"/>
        </w:rPr>
        <w:t>Establish contingency plans to address computer and telephone problems.</w:t>
      </w:r>
      <w:r>
        <w:rPr>
          <w:rFonts w:ascii="Calibri" w:hAnsi="Calibri"/>
          <w:sz w:val="20"/>
          <w:szCs w:val="20"/>
        </w:rPr>
        <w:t xml:space="preserve">  (</w:t>
      </w:r>
      <w:r w:rsidRPr="00786225">
        <w:rPr>
          <w:rFonts w:ascii="Calibri" w:hAnsi="Calibri"/>
          <w:i/>
          <w:sz w:val="20"/>
          <w:szCs w:val="20"/>
        </w:rPr>
        <w:t>Section V.B.2.i</w:t>
      </w:r>
      <w:r>
        <w:rPr>
          <w:rFonts w:ascii="Calibri" w:hAnsi="Calibri"/>
          <w:sz w:val="20"/>
          <w:szCs w:val="20"/>
        </w:rPr>
        <w:t>)</w:t>
      </w:r>
    </w:p>
    <w:p w:rsidR="00B454FB" w:rsidRPr="00D61C8A" w:rsidRDefault="00B454FB" w:rsidP="00B454FB">
      <w:pPr>
        <w:tabs>
          <w:tab w:val="left" w:pos="4950"/>
        </w:tabs>
        <w:rPr>
          <w:rFonts w:ascii="Calibri" w:eastAsia="Cambria"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B. Recommendations for UNICEF MRE activities</w:t>
      </w:r>
    </w:p>
    <w:p w:rsidR="00B454FB" w:rsidRPr="00D61C8A" w:rsidRDefault="00B454FB" w:rsidP="00B454FB">
      <w:pPr>
        <w:spacing w:line="276" w:lineRule="auto"/>
        <w:rPr>
          <w:rFonts w:ascii="Calibri" w:eastAsia="Cambria" w:hAnsi="Calibri"/>
          <w:b/>
          <w:sz w:val="20"/>
          <w:szCs w:val="20"/>
        </w:rPr>
      </w:pPr>
    </w:p>
    <w:p w:rsidR="00B454FB" w:rsidRDefault="00B454FB" w:rsidP="00B454FB">
      <w:pPr>
        <w:spacing w:line="276" w:lineRule="auto"/>
        <w:rPr>
          <w:rFonts w:ascii="Calibri" w:eastAsia="Cambria" w:hAnsi="Calibri"/>
          <w:b/>
          <w:sz w:val="20"/>
          <w:szCs w:val="20"/>
        </w:rPr>
      </w:pPr>
      <w:r w:rsidRPr="00964B4C">
        <w:rPr>
          <w:rFonts w:ascii="Calibri" w:eastAsia="Cambria" w:hAnsi="Calibri"/>
          <w:b/>
          <w:sz w:val="20"/>
          <w:szCs w:val="20"/>
        </w:rPr>
        <w:t>1) Consider integration of MRE activities into broader health and education initiatives.</w:t>
      </w:r>
    </w:p>
    <w:p w:rsidR="00B454FB" w:rsidRPr="00964B4C" w:rsidRDefault="00B454FB" w:rsidP="00B454FB">
      <w:pPr>
        <w:numPr>
          <w:ilvl w:val="0"/>
          <w:numId w:val="76"/>
        </w:numPr>
        <w:spacing w:line="276" w:lineRule="auto"/>
        <w:rPr>
          <w:rFonts w:ascii="Calibri" w:eastAsia="Cambria" w:hAnsi="Calibri"/>
          <w:b/>
          <w:sz w:val="20"/>
          <w:szCs w:val="20"/>
        </w:rPr>
      </w:pPr>
      <w:r w:rsidRPr="00964B4C">
        <w:rPr>
          <w:rFonts w:ascii="Calibri" w:eastAsia="Cambria" w:hAnsi="Calibri"/>
          <w:sz w:val="20"/>
          <w:szCs w:val="20"/>
        </w:rPr>
        <w:t>Continue to evaluate whether systematic MRE coverage is adequate and consider scaling up activities to reach more students.  This may be feasible through incorporation of MRE messages into all school curricula</w:t>
      </w:r>
      <w:r>
        <w:rPr>
          <w:rFonts w:ascii="Calibri" w:eastAsia="Cambria" w:hAnsi="Calibri"/>
          <w:sz w:val="20"/>
          <w:szCs w:val="20"/>
        </w:rPr>
        <w:t xml:space="preserve"> </w:t>
      </w:r>
      <w:r w:rsidRPr="00964B4C">
        <w:rPr>
          <w:rFonts w:ascii="Calibri" w:eastAsia="Cambria" w:hAnsi="Calibri"/>
          <w:sz w:val="20"/>
          <w:szCs w:val="20"/>
        </w:rPr>
        <w:t>and/or integration</w:t>
      </w:r>
      <w:r>
        <w:rPr>
          <w:rFonts w:ascii="Calibri" w:eastAsia="Cambria" w:hAnsi="Calibri"/>
          <w:sz w:val="20"/>
          <w:szCs w:val="20"/>
        </w:rPr>
        <w:t xml:space="preserve"> with</w:t>
      </w:r>
      <w:r w:rsidRPr="000E27F4">
        <w:rPr>
          <w:rFonts w:ascii="Calibri" w:eastAsia="Cambria" w:hAnsi="Calibri"/>
          <w:sz w:val="20"/>
          <w:szCs w:val="20"/>
        </w:rPr>
        <w:t xml:space="preserve"> </w:t>
      </w:r>
      <w:r>
        <w:rPr>
          <w:rFonts w:ascii="Calibri" w:eastAsia="Cambria" w:hAnsi="Calibri"/>
          <w:sz w:val="20"/>
          <w:szCs w:val="20"/>
        </w:rPr>
        <w:t xml:space="preserve">a </w:t>
      </w:r>
      <w:r w:rsidRPr="000E27F4">
        <w:rPr>
          <w:rFonts w:ascii="Calibri" w:eastAsia="Cambria" w:hAnsi="Calibri"/>
          <w:sz w:val="20"/>
          <w:szCs w:val="20"/>
        </w:rPr>
        <w:t>broader injury prevention program</w:t>
      </w:r>
      <w:r>
        <w:rPr>
          <w:rFonts w:ascii="Calibri" w:eastAsia="Cambria" w:hAnsi="Calibri"/>
          <w:sz w:val="20"/>
          <w:szCs w:val="20"/>
        </w:rPr>
        <w:t xml:space="preserve"> (see the following two recommendations below).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Default="00B454FB" w:rsidP="00B454FB">
      <w:pPr>
        <w:pStyle w:val="ColorfulList-Accent11"/>
        <w:numPr>
          <w:ilvl w:val="0"/>
          <w:numId w:val="67"/>
        </w:numPr>
        <w:spacing w:line="276" w:lineRule="auto"/>
        <w:rPr>
          <w:rFonts w:ascii="Calibri" w:eastAsia="Cambria" w:hAnsi="Calibri"/>
          <w:sz w:val="20"/>
          <w:szCs w:val="20"/>
        </w:rPr>
      </w:pPr>
      <w:r>
        <w:rPr>
          <w:rFonts w:ascii="Calibri" w:eastAsia="Cambria" w:hAnsi="Calibri"/>
          <w:sz w:val="20"/>
          <w:szCs w:val="20"/>
        </w:rPr>
        <w:lastRenderedPageBreak/>
        <w:t xml:space="preserve">Consider incorporation of </w:t>
      </w:r>
      <w:r w:rsidRPr="00964B4C">
        <w:rPr>
          <w:rFonts w:ascii="Calibri" w:eastAsia="Cambria" w:hAnsi="Calibri"/>
          <w:sz w:val="20"/>
          <w:szCs w:val="20"/>
        </w:rPr>
        <w:t xml:space="preserve">MRE and broader injury prevention messages into the curricula of all </w:t>
      </w:r>
      <w:r>
        <w:rPr>
          <w:rFonts w:ascii="Calibri" w:eastAsia="Cambria" w:hAnsi="Calibri"/>
          <w:sz w:val="20"/>
          <w:szCs w:val="20"/>
        </w:rPr>
        <w:t>government education</w:t>
      </w:r>
      <w:r w:rsidRPr="00964B4C">
        <w:rPr>
          <w:rFonts w:ascii="Calibri" w:eastAsia="Cambria" w:hAnsi="Calibri"/>
          <w:sz w:val="20"/>
          <w:szCs w:val="20"/>
        </w:rPr>
        <w:t xml:space="preserve"> programs.  Provision of MRE to all recipients of government education activities could reduce the need for other more expensive forms of MRE dissemination.</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Pr="007603D4" w:rsidRDefault="00B454FB" w:rsidP="00B454FB">
      <w:pPr>
        <w:pStyle w:val="ColorfulList-Accent11"/>
        <w:numPr>
          <w:ilvl w:val="0"/>
          <w:numId w:val="67"/>
        </w:numPr>
        <w:spacing w:line="276" w:lineRule="auto"/>
        <w:rPr>
          <w:rFonts w:ascii="Calibri" w:eastAsia="Cambria" w:hAnsi="Calibri"/>
          <w:sz w:val="20"/>
          <w:szCs w:val="20"/>
        </w:rPr>
      </w:pPr>
      <w:r>
        <w:rPr>
          <w:rFonts w:ascii="Calibri" w:eastAsia="Cambria" w:hAnsi="Calibri"/>
          <w:sz w:val="20"/>
          <w:szCs w:val="20"/>
        </w:rPr>
        <w:t>C</w:t>
      </w:r>
      <w:r w:rsidRPr="00D61C8A">
        <w:rPr>
          <w:rFonts w:ascii="Calibri" w:eastAsia="Cambria" w:hAnsi="Calibri"/>
          <w:sz w:val="20"/>
          <w:szCs w:val="20"/>
        </w:rPr>
        <w:t xml:space="preserve">onsider incorporating MRE into a broader injury prevention program. </w:t>
      </w:r>
      <w:r w:rsidRPr="00D61C8A">
        <w:rPr>
          <w:rFonts w:ascii="Calibri" w:eastAsia="Cambria" w:hAnsi="Calibri"/>
          <w:b/>
          <w:sz w:val="20"/>
          <w:szCs w:val="20"/>
        </w:rPr>
        <w:t xml:space="preserve"> </w:t>
      </w:r>
      <w:r w:rsidRPr="00D61C8A">
        <w:rPr>
          <w:rFonts w:ascii="Calibri" w:eastAsia="Cambria" w:hAnsi="Calibri"/>
          <w:sz w:val="20"/>
          <w:szCs w:val="20"/>
        </w:rPr>
        <w:t>Integration of MRE into a health education program could serve to alleviate the burden of injury on the population; better justify program expenditures to donors; and remove some of the political tension associated with ED use and contamination.  UNICEF could continue to work with many of the same partner organizations and seek additional collaboration with the World Health Organization, Ministry of Health, Ministry of Education, and other relevant partners.</w:t>
      </w:r>
      <w:r>
        <w:rPr>
          <w:rFonts w:ascii="Calibri" w:eastAsia="Cambria" w:hAnsi="Calibri"/>
          <w:sz w:val="20"/>
          <w:szCs w:val="20"/>
        </w:rPr>
        <w:t xml:space="preserve">  If partners did not consider ED injury a risk in all areas, ED injury prevention education </w:t>
      </w:r>
      <w:r w:rsidRPr="00964B4C">
        <w:rPr>
          <w:rFonts w:ascii="Calibri" w:eastAsia="Cambria" w:hAnsi="Calibri"/>
          <w:sz w:val="20"/>
          <w:szCs w:val="20"/>
        </w:rPr>
        <w:t>could be included as an optional module for use only in schools in at-risk areas.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Pr="00953679" w:rsidRDefault="00B454FB" w:rsidP="00B454FB">
      <w:pPr>
        <w:pStyle w:val="ColorfulList-Accent11"/>
        <w:numPr>
          <w:ilvl w:val="0"/>
          <w:numId w:val="67"/>
        </w:numPr>
        <w:spacing w:line="276" w:lineRule="auto"/>
        <w:rPr>
          <w:rFonts w:ascii="Calibri" w:eastAsia="Cambria" w:hAnsi="Calibri"/>
          <w:sz w:val="20"/>
          <w:szCs w:val="20"/>
        </w:rPr>
      </w:pPr>
      <w:r w:rsidRPr="00953679">
        <w:rPr>
          <w:rFonts w:ascii="Calibri" w:eastAsia="Cambria" w:hAnsi="Calibri"/>
          <w:sz w:val="20"/>
          <w:szCs w:val="20"/>
        </w:rPr>
        <w:t xml:space="preserve">Promote MRE among marginalized populations by integrating MRE messages into non-formal education activities </w:t>
      </w:r>
      <w:r>
        <w:rPr>
          <w:rFonts w:ascii="Calibri" w:eastAsia="Cambria" w:hAnsi="Calibri"/>
          <w:sz w:val="20"/>
          <w:szCs w:val="20"/>
        </w:rPr>
        <w:t xml:space="preserve">such as </w:t>
      </w:r>
      <w:r w:rsidRPr="00953679">
        <w:rPr>
          <w:rFonts w:ascii="Calibri" w:eastAsia="Cambria" w:hAnsi="Calibri"/>
          <w:sz w:val="20"/>
          <w:szCs w:val="20"/>
        </w:rPr>
        <w:t>those for adult literacy and for children not attending school</w:t>
      </w:r>
      <w:r>
        <w:rPr>
          <w:rFonts w:ascii="Calibri" w:eastAsia="Cambria" w:hAnsi="Calibri"/>
          <w:sz w:val="20"/>
          <w:szCs w:val="20"/>
        </w:rPr>
        <w:t xml:space="preserve">.  </w:t>
      </w:r>
      <w:r w:rsidRPr="00953679">
        <w:rPr>
          <w:rFonts w:ascii="Calibri" w:eastAsia="Cambria" w:hAnsi="Calibri"/>
          <w:sz w:val="20"/>
          <w:szCs w:val="20"/>
        </w:rPr>
        <w:t xml:space="preserve">Inclusion of </w:t>
      </w:r>
      <w:r>
        <w:rPr>
          <w:rFonts w:ascii="Calibri" w:eastAsia="Cambria" w:hAnsi="Calibri"/>
          <w:sz w:val="20"/>
          <w:szCs w:val="20"/>
        </w:rPr>
        <w:t xml:space="preserve">MRE in </w:t>
      </w:r>
      <w:r w:rsidRPr="00953679">
        <w:rPr>
          <w:rFonts w:ascii="Calibri" w:eastAsia="Cambria" w:hAnsi="Calibri"/>
          <w:sz w:val="20"/>
          <w:szCs w:val="20"/>
        </w:rPr>
        <w:t>non-traditional programs such as the UNICEF Education Section’s Life Skills Project could ensure better cover</w:t>
      </w:r>
      <w:r>
        <w:rPr>
          <w:rFonts w:ascii="Calibri" w:eastAsia="Cambria" w:hAnsi="Calibri"/>
          <w:sz w:val="20"/>
          <w:szCs w:val="20"/>
        </w:rPr>
        <w:t>age of vulnerable populations.  (</w:t>
      </w:r>
      <w:r w:rsidRPr="00786225">
        <w:rPr>
          <w:rFonts w:ascii="Calibri" w:eastAsia="Cambria" w:hAnsi="Calibri"/>
          <w:i/>
          <w:sz w:val="20"/>
          <w:szCs w:val="20"/>
        </w:rPr>
        <w:t xml:space="preserve">Section </w:t>
      </w:r>
      <w:r w:rsidRPr="00786225">
        <w:rPr>
          <w:rFonts w:ascii="Calibri" w:hAnsi="Calibri"/>
          <w:i/>
          <w:sz w:val="20"/>
          <w:szCs w:val="20"/>
        </w:rPr>
        <w:t>VI.C.1</w:t>
      </w:r>
      <w:r>
        <w:rPr>
          <w:rFonts w:ascii="Calibri" w:hAnsi="Calibri"/>
          <w:sz w:val="20"/>
          <w:szCs w:val="20"/>
        </w:rPr>
        <w:t>)</w:t>
      </w:r>
    </w:p>
    <w:p w:rsidR="00B454FB" w:rsidRPr="00D61C8A" w:rsidRDefault="00B454FB" w:rsidP="00B454FB">
      <w:pPr>
        <w:spacing w:line="276" w:lineRule="auto"/>
        <w:contextualSpacing/>
        <w:rPr>
          <w:rFonts w:ascii="Calibri" w:eastAsia="Cambria" w:hAnsi="Calibri"/>
          <w:b/>
          <w:sz w:val="20"/>
          <w:szCs w:val="20"/>
        </w:rPr>
      </w:pPr>
    </w:p>
    <w:p w:rsidR="00B454FB" w:rsidRPr="00D61C8A" w:rsidRDefault="00B454FB" w:rsidP="00B454FB">
      <w:pPr>
        <w:spacing w:line="276" w:lineRule="auto"/>
        <w:contextualSpacing/>
        <w:rPr>
          <w:rFonts w:ascii="Calibri" w:eastAsia="Cambria" w:hAnsi="Calibri"/>
          <w:b/>
          <w:sz w:val="20"/>
          <w:szCs w:val="20"/>
        </w:rPr>
      </w:pPr>
      <w:r w:rsidRPr="00D61C8A">
        <w:rPr>
          <w:rFonts w:ascii="Calibri" w:eastAsia="Cambria" w:hAnsi="Calibri"/>
          <w:b/>
          <w:sz w:val="20"/>
          <w:szCs w:val="20"/>
        </w:rPr>
        <w:t>2) Adopt new measures to improve financial sustainability</w:t>
      </w:r>
      <w:r>
        <w:rPr>
          <w:rFonts w:ascii="Calibri" w:eastAsia="Cambria" w:hAnsi="Calibri"/>
          <w:b/>
          <w:sz w:val="20"/>
          <w:szCs w:val="20"/>
        </w:rPr>
        <w:t xml:space="preserve"> and management</w:t>
      </w:r>
      <w:r w:rsidRPr="00D61C8A">
        <w:rPr>
          <w:rFonts w:ascii="Calibri" w:eastAsia="Cambria" w:hAnsi="Calibri"/>
          <w:b/>
          <w:sz w:val="20"/>
          <w:szCs w:val="20"/>
        </w:rPr>
        <w:t xml:space="preserve">, particularly in preparation for handover of MRE activities to the </w:t>
      </w:r>
      <w:r w:rsidRPr="00BF468E">
        <w:rPr>
          <w:rFonts w:ascii="Calibri" w:eastAsia="Cambria" w:hAnsi="Calibri"/>
          <w:b/>
          <w:sz w:val="20"/>
          <w:szCs w:val="20"/>
        </w:rPr>
        <w:t>National Mine Action Authority (NMAA)</w:t>
      </w:r>
    </w:p>
    <w:p w:rsidR="00B454FB" w:rsidRPr="00D61C8A" w:rsidRDefault="00B454FB" w:rsidP="00B454FB">
      <w:pPr>
        <w:pStyle w:val="ColorfulList-Accent11"/>
        <w:numPr>
          <w:ilvl w:val="0"/>
          <w:numId w:val="68"/>
        </w:numPr>
        <w:spacing w:line="276" w:lineRule="auto"/>
        <w:rPr>
          <w:rFonts w:ascii="Calibri" w:eastAsia="Cambria" w:hAnsi="Calibri"/>
          <w:sz w:val="20"/>
          <w:szCs w:val="20"/>
        </w:rPr>
      </w:pPr>
      <w:r w:rsidRPr="00D61C8A">
        <w:rPr>
          <w:rFonts w:ascii="Calibri" w:eastAsia="Cambria" w:hAnsi="Calibri"/>
          <w:sz w:val="20"/>
          <w:szCs w:val="20"/>
        </w:rPr>
        <w:t>Examine costs of MRE activities and consider ways to address financial sustainability of MRE programs</w:t>
      </w:r>
      <w:r>
        <w:rPr>
          <w:rFonts w:ascii="Calibri" w:eastAsia="Cambria" w:hAnsi="Calibri"/>
          <w:sz w:val="20"/>
          <w:szCs w:val="20"/>
        </w:rPr>
        <w:t>.  (</w:t>
      </w:r>
      <w:r w:rsidRPr="00786225">
        <w:rPr>
          <w:rFonts w:ascii="Calibri" w:eastAsia="Cambria" w:hAnsi="Calibri"/>
          <w:i/>
          <w:sz w:val="20"/>
          <w:szCs w:val="20"/>
        </w:rPr>
        <w:t xml:space="preserve">Section </w:t>
      </w:r>
      <w:r w:rsidRPr="00786225">
        <w:rPr>
          <w:rFonts w:ascii="Calibri" w:hAnsi="Calibri"/>
          <w:i/>
          <w:sz w:val="20"/>
          <w:szCs w:val="20"/>
        </w:rPr>
        <w:t>VI.C.5</w:t>
      </w:r>
      <w:r>
        <w:rPr>
          <w:rFonts w:ascii="Calibri" w:hAnsi="Calibri"/>
          <w:sz w:val="20"/>
          <w:szCs w:val="20"/>
        </w:rPr>
        <w:t>)</w:t>
      </w:r>
    </w:p>
    <w:p w:rsidR="00B454FB" w:rsidRPr="00D61C8A" w:rsidRDefault="00B454FB" w:rsidP="00B454FB">
      <w:pPr>
        <w:numPr>
          <w:ilvl w:val="0"/>
          <w:numId w:val="68"/>
        </w:numPr>
        <w:spacing w:line="276" w:lineRule="auto"/>
        <w:contextualSpacing/>
        <w:rPr>
          <w:rFonts w:ascii="Calibri" w:eastAsia="Cambria" w:hAnsi="Calibri"/>
          <w:sz w:val="20"/>
          <w:szCs w:val="20"/>
        </w:rPr>
      </w:pPr>
      <w:r w:rsidRPr="00D61C8A">
        <w:rPr>
          <w:rFonts w:ascii="Calibri" w:eastAsia="Cambria" w:hAnsi="Calibri"/>
          <w:sz w:val="20"/>
          <w:szCs w:val="20"/>
        </w:rPr>
        <w:t xml:space="preserve">Maintain more thorough records on the production and dissemination of all MRE materials (leaflets, user guides, flipcharts, posters, and MRE emergency kits).  These should include the following data elements for each type of material: cost per unit; number made each year; number distributed each year; recipients; cost of distribution; and number remaining.  </w:t>
      </w:r>
      <w:r>
        <w:rPr>
          <w:rFonts w:ascii="Calibri" w:eastAsia="Cambria" w:hAnsi="Calibri"/>
          <w:sz w:val="20"/>
          <w:szCs w:val="20"/>
        </w:rPr>
        <w:t>(</w:t>
      </w:r>
      <w:r w:rsidRPr="00786225">
        <w:rPr>
          <w:rFonts w:ascii="Calibri" w:eastAsia="Cambria" w:hAnsi="Calibri"/>
          <w:i/>
          <w:sz w:val="20"/>
          <w:szCs w:val="20"/>
        </w:rPr>
        <w:t xml:space="preserve">Section </w:t>
      </w:r>
      <w:r w:rsidRPr="00786225">
        <w:rPr>
          <w:rFonts w:ascii="Calibri" w:hAnsi="Calibri"/>
          <w:i/>
          <w:sz w:val="20"/>
          <w:szCs w:val="20"/>
        </w:rPr>
        <w:t>VI.C.3</w:t>
      </w:r>
      <w:r>
        <w:rPr>
          <w:rFonts w:ascii="Calibri" w:hAnsi="Calibri"/>
          <w:sz w:val="20"/>
          <w:szCs w:val="20"/>
        </w:rPr>
        <w:t>)</w:t>
      </w:r>
    </w:p>
    <w:p w:rsidR="00B454FB" w:rsidRPr="00D66654" w:rsidRDefault="00B454FB" w:rsidP="00B454FB">
      <w:pPr>
        <w:pStyle w:val="ColorfulList-Accent11"/>
        <w:numPr>
          <w:ilvl w:val="0"/>
          <w:numId w:val="68"/>
        </w:numPr>
        <w:spacing w:line="276" w:lineRule="auto"/>
        <w:rPr>
          <w:rFonts w:ascii="Calibri" w:eastAsia="Cambria" w:hAnsi="Calibri"/>
          <w:sz w:val="20"/>
          <w:szCs w:val="20"/>
        </w:rPr>
      </w:pPr>
      <w:r w:rsidRPr="00195B22">
        <w:rPr>
          <w:rFonts w:ascii="Calibri" w:eastAsia="Cambria" w:hAnsi="Calibri"/>
          <w:sz w:val="20"/>
          <w:szCs w:val="20"/>
        </w:rPr>
        <w:t>Consider coordinating with MRE partners to ensure that MRE focal points are receiving equal pay and/or reimbursement for equal work.</w:t>
      </w:r>
      <w:r>
        <w:rPr>
          <w:rFonts w:ascii="Calibri" w:eastAsia="Cambria" w:hAnsi="Calibri"/>
          <w:sz w:val="20"/>
          <w:szCs w:val="20"/>
        </w:rPr>
        <w:t xml:space="preserve">  (</w:t>
      </w:r>
      <w:r w:rsidRPr="00786225">
        <w:rPr>
          <w:rFonts w:ascii="Calibri" w:eastAsia="Cambria" w:hAnsi="Calibri"/>
          <w:i/>
          <w:sz w:val="20"/>
          <w:szCs w:val="20"/>
        </w:rPr>
        <w:t xml:space="preserve">Section </w:t>
      </w:r>
      <w:r w:rsidRPr="00D66654">
        <w:rPr>
          <w:rFonts w:ascii="Calibri" w:hAnsi="Calibri"/>
          <w:i/>
          <w:sz w:val="20"/>
          <w:szCs w:val="20"/>
        </w:rPr>
        <w:t>VI.C.2</w:t>
      </w:r>
      <w:r>
        <w:rPr>
          <w:rFonts w:ascii="Calibri" w:hAnsi="Calibri"/>
          <w:sz w:val="20"/>
          <w:szCs w:val="20"/>
        </w:rPr>
        <w:t>)</w:t>
      </w:r>
    </w:p>
    <w:p w:rsidR="00B454FB" w:rsidRDefault="00B454FB" w:rsidP="00B454FB">
      <w:pPr>
        <w:pStyle w:val="ColorfulList-Accent11"/>
        <w:numPr>
          <w:ilvl w:val="0"/>
          <w:numId w:val="68"/>
        </w:numPr>
        <w:spacing w:line="276" w:lineRule="auto"/>
        <w:rPr>
          <w:rFonts w:ascii="Calibri" w:eastAsia="Cambria" w:hAnsi="Calibri"/>
          <w:sz w:val="20"/>
          <w:szCs w:val="20"/>
        </w:rPr>
      </w:pPr>
      <w:r w:rsidRPr="00D61C8A">
        <w:rPr>
          <w:rFonts w:ascii="Calibri" w:eastAsia="Cambria" w:hAnsi="Calibri"/>
          <w:sz w:val="20"/>
          <w:szCs w:val="20"/>
        </w:rPr>
        <w:t>Consider conducting a formal cost-effectiveness study of MRE materials and/or activities.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VI.C.3</w:t>
      </w:r>
      <w:r>
        <w:rPr>
          <w:rFonts w:ascii="Calibri" w:hAnsi="Calibri"/>
          <w:sz w:val="20"/>
          <w:szCs w:val="20"/>
        </w:rPr>
        <w:t>)</w:t>
      </w:r>
    </w:p>
    <w:p w:rsidR="00B454FB" w:rsidRPr="00282D3D" w:rsidRDefault="00B454FB" w:rsidP="00B454FB">
      <w:pPr>
        <w:pStyle w:val="ColorfulList-Accent11"/>
        <w:numPr>
          <w:ilvl w:val="0"/>
          <w:numId w:val="68"/>
        </w:numPr>
        <w:spacing w:line="276" w:lineRule="auto"/>
        <w:rPr>
          <w:rFonts w:ascii="Calibri" w:eastAsia="Cambria" w:hAnsi="Calibri"/>
          <w:sz w:val="20"/>
          <w:szCs w:val="20"/>
        </w:rPr>
      </w:pPr>
      <w:r w:rsidRPr="00282D3D">
        <w:rPr>
          <w:rFonts w:ascii="Calibri" w:eastAsia="Cambria" w:hAnsi="Calibri"/>
          <w:sz w:val="20"/>
          <w:szCs w:val="20"/>
        </w:rPr>
        <w:t>Find faster delivery methods for MRE materials, sharing transportation with partner organizations when possible.</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VI.C.2</w:t>
      </w:r>
      <w:r>
        <w:rPr>
          <w:rFonts w:ascii="Calibri" w:hAnsi="Calibri"/>
          <w:sz w:val="20"/>
          <w:szCs w:val="20"/>
        </w:rPr>
        <w:t>)</w:t>
      </w:r>
    </w:p>
    <w:p w:rsidR="00B454FB"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 xml:space="preserve">3) Plan for a UNICEF </w:t>
      </w:r>
      <w:r>
        <w:rPr>
          <w:rFonts w:ascii="Calibri" w:eastAsia="Cambria" w:hAnsi="Calibri"/>
          <w:b/>
          <w:sz w:val="20"/>
          <w:szCs w:val="20"/>
        </w:rPr>
        <w:t>“</w:t>
      </w:r>
      <w:r w:rsidRPr="00D61C8A">
        <w:rPr>
          <w:rFonts w:ascii="Calibri" w:eastAsia="Cambria" w:hAnsi="Calibri"/>
          <w:b/>
          <w:sz w:val="20"/>
          <w:szCs w:val="20"/>
        </w:rPr>
        <w:t>exit strategy</w:t>
      </w:r>
      <w:r>
        <w:rPr>
          <w:rFonts w:ascii="Calibri" w:eastAsia="Cambria" w:hAnsi="Calibri"/>
          <w:b/>
          <w:sz w:val="20"/>
          <w:szCs w:val="20"/>
        </w:rPr>
        <w:t>”</w:t>
      </w:r>
      <w:r w:rsidRPr="00D61C8A">
        <w:rPr>
          <w:rFonts w:ascii="Calibri" w:eastAsia="Cambria" w:hAnsi="Calibri"/>
          <w:b/>
          <w:sz w:val="20"/>
          <w:szCs w:val="20"/>
        </w:rPr>
        <w:t xml:space="preserve"> and the eventual handover of MRE </w:t>
      </w:r>
      <w:r w:rsidRPr="00BF468E">
        <w:rPr>
          <w:rFonts w:ascii="Calibri" w:eastAsia="Cambria" w:hAnsi="Calibri"/>
          <w:b/>
          <w:sz w:val="20"/>
          <w:szCs w:val="20"/>
        </w:rPr>
        <w:t>activities to the NMAA</w:t>
      </w:r>
    </w:p>
    <w:p w:rsidR="00B454FB" w:rsidRPr="00D61C8A" w:rsidRDefault="00B454FB" w:rsidP="00B454FB">
      <w:pPr>
        <w:pStyle w:val="ColorfulList-Accent11"/>
        <w:numPr>
          <w:ilvl w:val="0"/>
          <w:numId w:val="69"/>
        </w:numPr>
        <w:rPr>
          <w:rFonts w:ascii="Calibri" w:hAnsi="Calibri"/>
          <w:sz w:val="20"/>
          <w:szCs w:val="20"/>
        </w:rPr>
      </w:pPr>
      <w:r w:rsidRPr="00D61C8A">
        <w:rPr>
          <w:rFonts w:ascii="Calibri" w:hAnsi="Calibri"/>
          <w:sz w:val="20"/>
          <w:szCs w:val="20"/>
        </w:rPr>
        <w:t>Build capacity for all MRE activities, including development, production and distribution of MRE materials; training; coordination of media campaigns; and monitoring.</w:t>
      </w:r>
      <w:r>
        <w:rPr>
          <w:rFonts w:ascii="Calibri" w:hAnsi="Calibri"/>
          <w:sz w:val="20"/>
          <w:szCs w:val="20"/>
        </w:rPr>
        <w:t xml:space="preserve">  (</w:t>
      </w:r>
      <w:r w:rsidRPr="00336457">
        <w:rPr>
          <w:rFonts w:ascii="Calibri" w:hAnsi="Calibri"/>
          <w:i/>
          <w:sz w:val="20"/>
          <w:szCs w:val="20"/>
        </w:rPr>
        <w:t>Section III.C.1</w:t>
      </w:r>
      <w:r>
        <w:rPr>
          <w:rFonts w:ascii="Calibri" w:hAnsi="Calibri"/>
          <w:sz w:val="20"/>
          <w:szCs w:val="20"/>
        </w:rPr>
        <w:t>)</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4) Improve the strength and focus of MRE messaging</w:t>
      </w:r>
    </w:p>
    <w:p w:rsidR="00B454FB" w:rsidRPr="00BB326D" w:rsidRDefault="00B454FB" w:rsidP="00B454FB">
      <w:pPr>
        <w:pStyle w:val="ColorfulList-Accent11"/>
        <w:numPr>
          <w:ilvl w:val="0"/>
          <w:numId w:val="69"/>
        </w:numPr>
        <w:spacing w:line="276" w:lineRule="auto"/>
        <w:rPr>
          <w:rFonts w:ascii="Calibri" w:eastAsia="Cambria" w:hAnsi="Calibri"/>
          <w:sz w:val="20"/>
          <w:szCs w:val="20"/>
        </w:rPr>
      </w:pPr>
      <w:r w:rsidRPr="00BB326D">
        <w:rPr>
          <w:rFonts w:ascii="Calibri" w:hAnsi="Calibri"/>
          <w:sz w:val="20"/>
          <w:szCs w:val="20"/>
        </w:rPr>
        <w:t>Include more photographs and life stories of children, adults and families who have been affected by VAE injury.  Current MRE materials contain drawings of risk behaviors and explosions, but real photographs and life stories may encourage session participants to think more deeply about the consequences of injury.  This inclusion was recommended by the 2007 KAP survey and several stakeholders during the evaluation field visit; NCBL has already included pictures of injured individuals in some outreach materials (see Appendix B.1.g).</w:t>
      </w:r>
      <w:r>
        <w:rPr>
          <w:rFonts w:ascii="Calibri" w:hAnsi="Calibri"/>
          <w:sz w:val="20"/>
          <w:szCs w:val="20"/>
        </w:rPr>
        <w:t xml:space="preserve">  (</w:t>
      </w:r>
      <w:r w:rsidRPr="00336457">
        <w:rPr>
          <w:rFonts w:ascii="Calibri" w:hAnsi="Calibri"/>
          <w:i/>
          <w:sz w:val="20"/>
          <w:szCs w:val="20"/>
        </w:rPr>
        <w:t>Section VI.B.1 and Appendix B.3</w:t>
      </w:r>
      <w:r>
        <w:rPr>
          <w:rFonts w:ascii="Calibri" w:hAnsi="Calibri"/>
          <w:sz w:val="20"/>
          <w:szCs w:val="20"/>
        </w:rPr>
        <w:t>)</w:t>
      </w:r>
    </w:p>
    <w:p w:rsidR="00B454FB" w:rsidRPr="00BB326D" w:rsidRDefault="00B454FB" w:rsidP="00B454FB">
      <w:pPr>
        <w:pStyle w:val="ColorfulList-Accent11"/>
        <w:numPr>
          <w:ilvl w:val="0"/>
          <w:numId w:val="69"/>
        </w:numPr>
        <w:spacing w:line="276" w:lineRule="auto"/>
        <w:rPr>
          <w:rFonts w:ascii="Calibri" w:eastAsia="Cambria" w:hAnsi="Calibri"/>
          <w:sz w:val="20"/>
          <w:szCs w:val="20"/>
        </w:rPr>
      </w:pPr>
      <w:r w:rsidRPr="00BB326D">
        <w:rPr>
          <w:rFonts w:ascii="Calibri" w:eastAsia="Cambria" w:hAnsi="Calibri"/>
          <w:sz w:val="20"/>
          <w:szCs w:val="20"/>
        </w:rPr>
        <w:t>Work with the government security forces, if possible, to establish some kind of assurance that individuals will not be punished for reporting the presence of ED, and educate the public about this assurance.</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Pr>
          <w:rFonts w:ascii="Calibri" w:eastAsia="Cambria" w:hAnsi="Calibri"/>
          <w:sz w:val="20"/>
          <w:szCs w:val="20"/>
        </w:rPr>
        <w:t>Continue to monitor whether economic necessity is a risk factor for ED injury.  If it becomes more of a problem, p</w:t>
      </w:r>
      <w:r w:rsidRPr="00D61C8A">
        <w:rPr>
          <w:rFonts w:ascii="Calibri" w:eastAsia="Cambria" w:hAnsi="Calibri"/>
          <w:sz w:val="20"/>
          <w:szCs w:val="20"/>
        </w:rPr>
        <w:t>rovide viable alternatives</w:t>
      </w:r>
      <w:r>
        <w:rPr>
          <w:rFonts w:ascii="Calibri" w:eastAsia="Cambria" w:hAnsi="Calibri"/>
          <w:sz w:val="20"/>
          <w:szCs w:val="20"/>
        </w:rPr>
        <w:t xml:space="preserve"> </w:t>
      </w:r>
      <w:r w:rsidRPr="00D61C8A">
        <w:rPr>
          <w:rFonts w:ascii="Calibri" w:eastAsia="Cambria" w:hAnsi="Calibri"/>
          <w:sz w:val="20"/>
          <w:szCs w:val="20"/>
        </w:rPr>
        <w:t xml:space="preserve"> to high-risk behaviors.  If this does not seem possible given limited resources</w:t>
      </w:r>
      <w:r>
        <w:rPr>
          <w:rFonts w:ascii="Calibri" w:eastAsia="Cambria" w:hAnsi="Calibri"/>
          <w:sz w:val="20"/>
          <w:szCs w:val="20"/>
        </w:rPr>
        <w:t xml:space="preserve"> and the sensitivity of this topic</w:t>
      </w:r>
      <w:r w:rsidRPr="00D61C8A">
        <w:rPr>
          <w:rFonts w:ascii="Calibri" w:eastAsia="Cambria" w:hAnsi="Calibri"/>
          <w:sz w:val="20"/>
          <w:szCs w:val="20"/>
        </w:rPr>
        <w:t xml:space="preserve">, train MRE focal points to encourage affected communities to suggest alternatives to high-risk behaviors.  Qualitative study could </w:t>
      </w:r>
      <w:r>
        <w:rPr>
          <w:rFonts w:ascii="Calibri" w:eastAsia="Cambria" w:hAnsi="Calibri"/>
          <w:sz w:val="20"/>
          <w:szCs w:val="20"/>
        </w:rPr>
        <w:t xml:space="preserve">be used to </w:t>
      </w:r>
      <w:r w:rsidRPr="00D61C8A">
        <w:rPr>
          <w:rFonts w:ascii="Calibri" w:eastAsia="Cambria" w:hAnsi="Calibri"/>
          <w:sz w:val="20"/>
          <w:szCs w:val="20"/>
        </w:rPr>
        <w:t xml:space="preserve">clarify reasons for and solutions to </w:t>
      </w:r>
      <w:r>
        <w:rPr>
          <w:rFonts w:ascii="Calibri" w:eastAsia="Cambria" w:hAnsi="Calibri"/>
          <w:sz w:val="20"/>
          <w:szCs w:val="20"/>
        </w:rPr>
        <w:t>high-risk</w:t>
      </w:r>
      <w:r w:rsidRPr="00D61C8A">
        <w:rPr>
          <w:rFonts w:ascii="Calibri" w:eastAsia="Cambria" w:hAnsi="Calibri"/>
          <w:sz w:val="20"/>
          <w:szCs w:val="20"/>
        </w:rPr>
        <w:t xml:space="preserve"> behaviors.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sidRPr="00D61C8A">
        <w:rPr>
          <w:rFonts w:ascii="Calibri" w:eastAsia="Cambria" w:hAnsi="Calibri"/>
          <w:sz w:val="20"/>
          <w:szCs w:val="20"/>
        </w:rPr>
        <w:t>Pay close attention to the changing ED situation in the country</w:t>
      </w:r>
      <w:r>
        <w:rPr>
          <w:rFonts w:ascii="Calibri" w:eastAsia="Cambria" w:hAnsi="Calibri"/>
          <w:sz w:val="20"/>
          <w:szCs w:val="20"/>
        </w:rPr>
        <w:t xml:space="preserve">; the shift from </w:t>
      </w:r>
      <w:r w:rsidRPr="00D61C8A">
        <w:rPr>
          <w:rFonts w:ascii="Calibri" w:eastAsia="Cambria" w:hAnsi="Calibri"/>
          <w:sz w:val="20"/>
          <w:szCs w:val="20"/>
        </w:rPr>
        <w:t>civil conflict between government and Maoist forces to violent acts committed by emerging NSAGs</w:t>
      </w:r>
      <w:r>
        <w:rPr>
          <w:rFonts w:ascii="Calibri" w:eastAsia="Cambria" w:hAnsi="Calibri"/>
          <w:sz w:val="20"/>
          <w:szCs w:val="20"/>
        </w:rPr>
        <w:t xml:space="preserve"> has implications for ED contamination and, as a result, MRE messaging</w:t>
      </w:r>
      <w:r w:rsidRPr="00D61C8A">
        <w:rPr>
          <w:rFonts w:ascii="Calibri" w:eastAsia="Cambria" w:hAnsi="Calibri"/>
          <w:sz w:val="20"/>
          <w:szCs w:val="20"/>
        </w:rPr>
        <w:t>.</w:t>
      </w:r>
      <w:r>
        <w:rPr>
          <w:rFonts w:ascii="Calibri" w:eastAsia="Cambria" w:hAnsi="Calibri"/>
          <w:sz w:val="20"/>
          <w:szCs w:val="20"/>
        </w:rPr>
        <w:t xml:space="preserve">  (</w:t>
      </w:r>
      <w:r w:rsidRPr="00336457">
        <w:rPr>
          <w:rFonts w:ascii="Calibri" w:eastAsia="Cambria" w:hAnsi="Calibri"/>
          <w:i/>
          <w:sz w:val="20"/>
          <w:szCs w:val="20"/>
        </w:rPr>
        <w:t xml:space="preserve">Section </w:t>
      </w:r>
      <w:r w:rsidRPr="00336457">
        <w:rPr>
          <w:rFonts w:ascii="Calibri" w:hAnsi="Calibri"/>
          <w:i/>
          <w:sz w:val="20"/>
          <w:szCs w:val="20"/>
        </w:rPr>
        <w:t>VI.C.5</w:t>
      </w:r>
      <w:r>
        <w:rPr>
          <w:rFonts w:ascii="Calibri" w:hAnsi="Calibri"/>
          <w:sz w:val="20"/>
          <w:szCs w:val="20"/>
        </w:rPr>
        <w:t>)</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Pr>
          <w:rFonts w:ascii="Calibri" w:eastAsia="Cambria" w:hAnsi="Calibri"/>
          <w:sz w:val="20"/>
          <w:szCs w:val="20"/>
        </w:rPr>
        <w:t>En</w:t>
      </w:r>
      <w:r w:rsidRPr="00D61C8A">
        <w:rPr>
          <w:rFonts w:ascii="Calibri" w:eastAsia="Cambria" w:hAnsi="Calibri"/>
          <w:sz w:val="20"/>
          <w:szCs w:val="20"/>
        </w:rPr>
        <w:t>sure that all MRE symbols and messages selected or designed for use in the future are easily understood by the target audience.</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VI.C.2</w:t>
      </w:r>
      <w:r>
        <w:rPr>
          <w:rFonts w:ascii="Calibri" w:hAnsi="Calibri"/>
          <w:sz w:val="20"/>
          <w:szCs w:val="20"/>
        </w:rPr>
        <w:t>)</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5) Reevaluate and adjust assessment activities</w:t>
      </w:r>
    </w:p>
    <w:p w:rsidR="00B454FB" w:rsidRPr="00D61C8A" w:rsidRDefault="00B454FB" w:rsidP="00B454FB">
      <w:pPr>
        <w:pStyle w:val="ColorfulList-Accent11"/>
        <w:numPr>
          <w:ilvl w:val="0"/>
          <w:numId w:val="70"/>
        </w:numPr>
        <w:spacing w:line="276" w:lineRule="auto"/>
        <w:rPr>
          <w:rFonts w:ascii="Calibri" w:eastAsia="Cambria" w:hAnsi="Calibri"/>
          <w:b/>
          <w:sz w:val="20"/>
          <w:szCs w:val="20"/>
        </w:rPr>
      </w:pPr>
      <w:r w:rsidRPr="00D61C8A">
        <w:rPr>
          <w:rFonts w:ascii="Calibri" w:eastAsia="Cambria" w:hAnsi="Calibri"/>
          <w:sz w:val="20"/>
          <w:szCs w:val="20"/>
        </w:rPr>
        <w:lastRenderedPageBreak/>
        <w:t>Conduct an impact survey in sc</w:t>
      </w:r>
      <w:r>
        <w:rPr>
          <w:rFonts w:ascii="Calibri" w:eastAsia="Cambria" w:hAnsi="Calibri"/>
          <w:sz w:val="20"/>
          <w:szCs w:val="20"/>
        </w:rPr>
        <w:t>hools receiving systematic MRE</w:t>
      </w:r>
      <w:r w:rsidRPr="00D61C8A">
        <w:rPr>
          <w:rFonts w:ascii="Calibri" w:eastAsia="Cambria" w:hAnsi="Calibri"/>
          <w:sz w:val="20"/>
          <w:szCs w:val="20"/>
        </w:rPr>
        <w:t xml:space="preserve"> using a tool similar to the “Risk Education Individual Test” (see Appendix B.2.</w:t>
      </w:r>
      <w:r>
        <w:rPr>
          <w:rFonts w:ascii="Calibri" w:eastAsia="Cambria" w:hAnsi="Calibri"/>
          <w:sz w:val="20"/>
          <w:szCs w:val="20"/>
        </w:rPr>
        <w:t>e</w:t>
      </w:r>
      <w:r w:rsidRPr="00D61C8A">
        <w:rPr>
          <w:rFonts w:ascii="Calibri" w:eastAsia="Cambria" w:hAnsi="Calibri"/>
          <w:sz w:val="20"/>
          <w:szCs w:val="20"/>
        </w:rPr>
        <w:t>).</w:t>
      </w:r>
      <w:r>
        <w:rPr>
          <w:rFonts w:ascii="Calibri" w:eastAsia="Cambria" w:hAnsi="Calibri"/>
          <w:sz w:val="20"/>
          <w:szCs w:val="20"/>
        </w:rPr>
        <w:t xml:space="preserve">  (</w:t>
      </w:r>
      <w:r w:rsidRPr="00336457">
        <w:rPr>
          <w:rFonts w:ascii="Calibri" w:eastAsia="Cambria" w:hAnsi="Calibri"/>
          <w:i/>
          <w:sz w:val="20"/>
          <w:szCs w:val="20"/>
        </w:rPr>
        <w:t xml:space="preserve">Section </w:t>
      </w:r>
      <w:r w:rsidRPr="00336457">
        <w:rPr>
          <w:rFonts w:ascii="Calibri" w:hAnsi="Calibri"/>
          <w:i/>
          <w:sz w:val="20"/>
          <w:szCs w:val="20"/>
        </w:rPr>
        <w:t>VI.C.4</w:t>
      </w:r>
      <w:r>
        <w:rPr>
          <w:rFonts w:ascii="Calibri" w:eastAsia="Cambria" w:hAnsi="Calibri"/>
          <w:sz w:val="20"/>
          <w:szCs w:val="20"/>
        </w:rPr>
        <w:t>)</w:t>
      </w:r>
    </w:p>
    <w:p w:rsidR="00B454FB" w:rsidRPr="00C86EC9" w:rsidRDefault="00B454FB" w:rsidP="00B454FB">
      <w:pPr>
        <w:pStyle w:val="ColorfulList-Accent11"/>
        <w:numPr>
          <w:ilvl w:val="0"/>
          <w:numId w:val="70"/>
        </w:numPr>
        <w:rPr>
          <w:rFonts w:ascii="Calibri" w:eastAsia="Cambria" w:hAnsi="Calibri"/>
          <w:sz w:val="20"/>
          <w:szCs w:val="20"/>
        </w:rPr>
      </w:pPr>
      <w:r w:rsidRPr="00A547E3">
        <w:rPr>
          <w:rFonts w:ascii="Calibri" w:hAnsi="Calibri"/>
          <w:sz w:val="20"/>
          <w:szCs w:val="20"/>
        </w:rPr>
        <w:t xml:space="preserve">Reconsider the utility of certain MRE monitoring activities such as district-level mapping.  If an activity does not provide benefit commensurate with the human and other resources used, decrease or stop the activity.  Time may be better spent on other necessary </w:t>
      </w:r>
      <w:r>
        <w:rPr>
          <w:rFonts w:ascii="Calibri" w:hAnsi="Calibri"/>
          <w:sz w:val="20"/>
          <w:szCs w:val="20"/>
        </w:rPr>
        <w:t xml:space="preserve">MRE </w:t>
      </w:r>
      <w:r w:rsidRPr="00A547E3">
        <w:rPr>
          <w:rFonts w:ascii="Calibri" w:hAnsi="Calibri"/>
          <w:sz w:val="20"/>
          <w:szCs w:val="20"/>
        </w:rPr>
        <w:t>activities</w:t>
      </w:r>
      <w:r>
        <w:rPr>
          <w:rFonts w:ascii="Calibri" w:hAnsi="Calibri"/>
          <w:sz w:val="20"/>
          <w:szCs w:val="20"/>
        </w:rPr>
        <w:t>.  (</w:t>
      </w:r>
      <w:r w:rsidRPr="00786225">
        <w:rPr>
          <w:rFonts w:ascii="Calibri" w:hAnsi="Calibri"/>
          <w:i/>
          <w:sz w:val="20"/>
          <w:szCs w:val="20"/>
        </w:rPr>
        <w:t>Section VI.C.3</w:t>
      </w:r>
      <w:r>
        <w:rPr>
          <w:rFonts w:ascii="Calibri" w:hAnsi="Calibri"/>
          <w:sz w:val="20"/>
          <w:szCs w:val="20"/>
        </w:rPr>
        <w:t>)</w:t>
      </w:r>
    </w:p>
    <w:p w:rsidR="00B454FB" w:rsidRPr="00D61C8A" w:rsidRDefault="00B454FB" w:rsidP="00B454FB">
      <w:pPr>
        <w:pStyle w:val="ColorfulList-Accent11"/>
        <w:ind w:left="360"/>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 xml:space="preserve">6) </w:t>
      </w:r>
      <w:r>
        <w:rPr>
          <w:rFonts w:ascii="Calibri" w:eastAsia="Cambria" w:hAnsi="Calibri"/>
          <w:b/>
          <w:sz w:val="20"/>
          <w:szCs w:val="20"/>
        </w:rPr>
        <w:t>En</w:t>
      </w:r>
      <w:r w:rsidRPr="00D61C8A">
        <w:rPr>
          <w:rFonts w:ascii="Calibri" w:eastAsia="Cambria" w:hAnsi="Calibri"/>
          <w:b/>
          <w:sz w:val="20"/>
          <w:szCs w:val="20"/>
        </w:rPr>
        <w:t>sure that targeting is carried out appropriately</w:t>
      </w:r>
    </w:p>
    <w:p w:rsidR="00B454FB" w:rsidRPr="00D61C8A" w:rsidRDefault="00B454FB" w:rsidP="00B454FB">
      <w:pPr>
        <w:pStyle w:val="ColorfulList-Accent11"/>
        <w:numPr>
          <w:ilvl w:val="0"/>
          <w:numId w:val="71"/>
        </w:numPr>
        <w:spacing w:line="276" w:lineRule="auto"/>
        <w:rPr>
          <w:rFonts w:ascii="Calibri" w:eastAsia="Cambria" w:hAnsi="Calibri"/>
          <w:sz w:val="20"/>
          <w:szCs w:val="20"/>
        </w:rPr>
      </w:pPr>
      <w:r>
        <w:rPr>
          <w:rFonts w:ascii="Calibri" w:eastAsia="Cambria" w:hAnsi="Calibri"/>
          <w:sz w:val="20"/>
          <w:szCs w:val="20"/>
        </w:rPr>
        <w:t>En</w:t>
      </w:r>
      <w:r w:rsidRPr="00D61C8A">
        <w:rPr>
          <w:rFonts w:ascii="Calibri" w:eastAsia="Cambria" w:hAnsi="Calibri"/>
          <w:sz w:val="20"/>
          <w:szCs w:val="20"/>
        </w:rPr>
        <w:t>sure that all emergency, regular and systematic MRE activities are targeted according to a specific and rigorous set of criteria, including VAE injury surveillance system data; recent VAE incidents; situations of obvious risk; and community needs.  UNICEF may wish to undertake a global review to assess priorities and gaps in service provision.</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VI.C.4</w:t>
      </w:r>
      <w:r>
        <w:rPr>
          <w:rFonts w:ascii="Calibri" w:hAnsi="Calibri"/>
          <w:sz w:val="20"/>
          <w:szCs w:val="20"/>
        </w:rPr>
        <w:t>)</w:t>
      </w:r>
    </w:p>
    <w:p w:rsidR="00B454FB" w:rsidRPr="00D61C8A" w:rsidRDefault="00B454FB" w:rsidP="00B454FB">
      <w:pPr>
        <w:pStyle w:val="ColorfulList-Accent11"/>
        <w:numPr>
          <w:ilvl w:val="0"/>
          <w:numId w:val="71"/>
        </w:numPr>
        <w:rPr>
          <w:rFonts w:ascii="Calibri" w:hAnsi="Calibri"/>
          <w:sz w:val="20"/>
          <w:szCs w:val="20"/>
        </w:rPr>
      </w:pPr>
      <w:r w:rsidRPr="00D61C8A">
        <w:rPr>
          <w:rFonts w:ascii="Calibri" w:eastAsia="Cambria" w:hAnsi="Calibri"/>
          <w:sz w:val="20"/>
          <w:szCs w:val="20"/>
        </w:rPr>
        <w:t>Provide police</w:t>
      </w:r>
      <w:r>
        <w:rPr>
          <w:rFonts w:ascii="Calibri" w:eastAsia="Cambria" w:hAnsi="Calibri"/>
          <w:sz w:val="20"/>
          <w:szCs w:val="20"/>
        </w:rPr>
        <w:t xml:space="preserve"> constables (as well as representatives of the NA, Armed Police Force and Maoists)</w:t>
      </w:r>
      <w:r w:rsidRPr="00D61C8A">
        <w:rPr>
          <w:rFonts w:ascii="Calibri" w:eastAsia="Cambria" w:hAnsi="Calibri"/>
          <w:sz w:val="20"/>
          <w:szCs w:val="20"/>
        </w:rPr>
        <w:t xml:space="preserve"> with MRE materials and focal point training sessions, enabling them to conduct their own MRE activities.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VI.C.1</w:t>
      </w:r>
      <w:r>
        <w:rPr>
          <w:rFonts w:ascii="Calibri" w:hAnsi="Calibri"/>
          <w:sz w:val="20"/>
          <w:szCs w:val="20"/>
        </w:rPr>
        <w:t>)</w:t>
      </w:r>
    </w:p>
    <w:p w:rsidR="00B454FB" w:rsidRPr="00D61C8A" w:rsidRDefault="00B454FB" w:rsidP="00B454FB">
      <w:pPr>
        <w:pStyle w:val="ColorfulList-Accent11"/>
        <w:numPr>
          <w:ilvl w:val="0"/>
          <w:numId w:val="71"/>
        </w:numPr>
        <w:spacing w:line="276" w:lineRule="auto"/>
        <w:rPr>
          <w:rFonts w:ascii="Calibri" w:eastAsia="Cambria" w:hAnsi="Calibri"/>
          <w:sz w:val="20"/>
          <w:szCs w:val="20"/>
        </w:rPr>
      </w:pPr>
      <w:r w:rsidRPr="00D61C8A">
        <w:rPr>
          <w:rFonts w:ascii="Calibri" w:eastAsia="Cambria" w:hAnsi="Calibri"/>
          <w:sz w:val="20"/>
          <w:szCs w:val="20"/>
        </w:rPr>
        <w:t xml:space="preserve">Reach out to the </w:t>
      </w:r>
      <w:r w:rsidRPr="00D61C8A">
        <w:rPr>
          <w:rFonts w:ascii="Calibri" w:hAnsi="Calibri"/>
          <w:sz w:val="20"/>
          <w:szCs w:val="20"/>
        </w:rPr>
        <w:t>Communist Party of Nepal/Maoist</w:t>
      </w:r>
      <w:r w:rsidRPr="00D61C8A">
        <w:rPr>
          <w:rFonts w:ascii="Calibri" w:eastAsia="Cambria" w:hAnsi="Calibri"/>
          <w:sz w:val="20"/>
          <w:szCs w:val="20"/>
        </w:rPr>
        <w:t xml:space="preserve"> and other Maoist groups at the central, regional, district and local levels.  Framing the issue of ED injury as a child health issue – rather than a political issue - may encourage </w:t>
      </w:r>
      <w:r>
        <w:rPr>
          <w:rFonts w:ascii="Calibri" w:eastAsia="Cambria" w:hAnsi="Calibri"/>
          <w:sz w:val="20"/>
          <w:szCs w:val="20"/>
        </w:rPr>
        <w:t xml:space="preserve">their </w:t>
      </w:r>
      <w:r w:rsidRPr="00D61C8A">
        <w:rPr>
          <w:rFonts w:ascii="Calibri" w:eastAsia="Cambria" w:hAnsi="Calibri"/>
          <w:sz w:val="20"/>
          <w:szCs w:val="20"/>
        </w:rPr>
        <w:t>participation.</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VI.C.1</w:t>
      </w:r>
      <w:r>
        <w:rPr>
          <w:rFonts w:ascii="Calibri" w:hAnsi="Calibri"/>
          <w:sz w:val="20"/>
          <w:szCs w:val="20"/>
        </w:rPr>
        <w:t>)</w:t>
      </w:r>
    </w:p>
    <w:p w:rsidR="00B454FB" w:rsidRPr="00D61C8A" w:rsidRDefault="00B454FB" w:rsidP="00B454FB">
      <w:pPr>
        <w:pStyle w:val="ColorfulList-Accent11"/>
        <w:numPr>
          <w:ilvl w:val="0"/>
          <w:numId w:val="71"/>
        </w:numPr>
        <w:rPr>
          <w:rFonts w:ascii="Calibri" w:hAnsi="Calibri"/>
          <w:sz w:val="20"/>
          <w:szCs w:val="20"/>
        </w:rPr>
      </w:pPr>
      <w:r w:rsidRPr="00D61C8A">
        <w:rPr>
          <w:rFonts w:ascii="Calibri" w:eastAsia="Cambria" w:hAnsi="Calibri"/>
          <w:sz w:val="20"/>
          <w:szCs w:val="20"/>
        </w:rPr>
        <w:t>Encourage individuals in ED-affected communities to design some interventions that are executable at the local level.  This may include suggesting local alternatives to high-risk behaviors as mentioned under “Impact” above, or promoting community-based methods of spreading MRE messages.</w:t>
      </w:r>
      <w:r>
        <w:rPr>
          <w:rFonts w:ascii="Calibri" w:eastAsia="Cambria" w:hAnsi="Calibri"/>
          <w:sz w:val="20"/>
          <w:szCs w:val="20"/>
        </w:rPr>
        <w:t xml:space="preserve">  (</w:t>
      </w:r>
      <w:r w:rsidRPr="00786225">
        <w:rPr>
          <w:rFonts w:ascii="Calibri" w:eastAsia="Cambria" w:hAnsi="Calibri"/>
          <w:i/>
          <w:sz w:val="20"/>
          <w:szCs w:val="20"/>
        </w:rPr>
        <w:t xml:space="preserve">Section </w:t>
      </w:r>
      <w:r w:rsidRPr="00786225">
        <w:rPr>
          <w:rFonts w:ascii="Calibri" w:hAnsi="Calibri"/>
          <w:i/>
          <w:sz w:val="20"/>
          <w:szCs w:val="20"/>
        </w:rPr>
        <w:t>VI.C.5</w:t>
      </w:r>
      <w:r>
        <w:rPr>
          <w:rFonts w:ascii="Calibri" w:hAnsi="Calibri"/>
          <w:sz w:val="20"/>
          <w:szCs w:val="20"/>
        </w:rPr>
        <w:t>)</w:t>
      </w:r>
    </w:p>
    <w:p w:rsidR="00B454FB" w:rsidRPr="00D61C8A" w:rsidRDefault="00B454FB" w:rsidP="00B454FB">
      <w:pPr>
        <w:pStyle w:val="ColorfulList-Accent11"/>
        <w:numPr>
          <w:ilvl w:val="0"/>
          <w:numId w:val="71"/>
        </w:numPr>
        <w:rPr>
          <w:rFonts w:ascii="Calibri" w:hAnsi="Calibri"/>
          <w:sz w:val="20"/>
          <w:szCs w:val="20"/>
        </w:rPr>
      </w:pPr>
      <w:r w:rsidRPr="00D61C8A">
        <w:rPr>
          <w:rFonts w:ascii="Calibri" w:hAnsi="Calibri"/>
          <w:sz w:val="20"/>
          <w:szCs w:val="20"/>
        </w:rPr>
        <w:t>Consider disseminating information through saving and credit and/or forest users’ groups, as per the recommendations of the 2007 KAP survey.</w:t>
      </w:r>
      <w:r>
        <w:rPr>
          <w:rFonts w:ascii="Calibri" w:hAnsi="Calibri"/>
          <w:sz w:val="20"/>
          <w:szCs w:val="20"/>
        </w:rPr>
        <w:t xml:space="preserve">  (</w:t>
      </w:r>
      <w:r w:rsidRPr="00786225">
        <w:rPr>
          <w:rFonts w:ascii="Calibri" w:hAnsi="Calibri"/>
          <w:i/>
          <w:sz w:val="20"/>
          <w:szCs w:val="20"/>
        </w:rPr>
        <w:t>Appendix B.3</w:t>
      </w:r>
      <w:r>
        <w:rPr>
          <w:rFonts w:ascii="Calibri" w:hAnsi="Calibri"/>
          <w:sz w:val="20"/>
          <w:szCs w:val="20"/>
        </w:rPr>
        <w:t>)</w:t>
      </w:r>
    </w:p>
    <w:p w:rsidR="00B454FB" w:rsidRPr="00D61C8A" w:rsidRDefault="00B454FB" w:rsidP="00B454FB">
      <w:pPr>
        <w:spacing w:line="276" w:lineRule="auto"/>
        <w:rPr>
          <w:rFonts w:ascii="Calibri" w:hAnsi="Calibri"/>
          <w:b/>
          <w:bCs/>
          <w:color w:val="365F91"/>
          <w:sz w:val="28"/>
          <w:szCs w:val="28"/>
        </w:rPr>
      </w:pPr>
    </w:p>
    <w:p w:rsidR="00B454FB" w:rsidRPr="00D61C8A" w:rsidRDefault="00B454FB" w:rsidP="00B454FB">
      <w:pPr>
        <w:pStyle w:val="Heading1"/>
        <w:numPr>
          <w:ilvl w:val="0"/>
          <w:numId w:val="0"/>
        </w:numPr>
        <w:spacing w:before="0"/>
        <w:jc w:val="center"/>
        <w:rPr>
          <w:rFonts w:ascii="Calibri" w:hAnsi="Calibri"/>
          <w:sz w:val="40"/>
        </w:rPr>
      </w:pPr>
      <w:r w:rsidRPr="00D61C8A">
        <w:rPr>
          <w:rFonts w:ascii="Calibri" w:hAnsi="Calibri"/>
        </w:rPr>
        <w:lastRenderedPageBreak/>
        <w:t>TABLE OF CONTENTS</w:t>
      </w:r>
    </w:p>
    <w:p w:rsidR="00B454FB" w:rsidRPr="00D61C8A" w:rsidRDefault="00B454FB" w:rsidP="00B454FB">
      <w:pPr>
        <w:pStyle w:val="Heading1"/>
        <w:numPr>
          <w:ilvl w:val="0"/>
          <w:numId w:val="0"/>
        </w:numPr>
        <w:spacing w:before="0"/>
        <w:rPr>
          <w:rFonts w:ascii="Calibri" w:hAnsi="Calibri"/>
        </w:rPr>
      </w:pPr>
    </w:p>
    <w:p w:rsidR="00B454FB" w:rsidRPr="00D61C8A" w:rsidRDefault="00B454FB" w:rsidP="00B454FB">
      <w:pPr>
        <w:pStyle w:val="Heading1"/>
        <w:numPr>
          <w:ilvl w:val="0"/>
          <w:numId w:val="0"/>
        </w:numPr>
        <w:spacing w:before="0"/>
        <w:rPr>
          <w:rFonts w:ascii="Calibri" w:hAnsi="Calibri"/>
        </w:rPr>
      </w:pPr>
      <w:r>
        <w:rPr>
          <w:rFonts w:ascii="Calibri" w:hAnsi="Calibri"/>
        </w:rPr>
        <w:t>I</w:t>
      </w:r>
      <w:r>
        <w:rPr>
          <w:rFonts w:ascii="Calibri" w:hAnsi="Calibri"/>
        </w:rPr>
        <w:tab/>
      </w:r>
      <w:r>
        <w:rPr>
          <w:rFonts w:ascii="Calibri" w:hAnsi="Calibri"/>
        </w:rPr>
        <w:tab/>
      </w:r>
      <w:r>
        <w:rPr>
          <w:rFonts w:ascii="Calibri" w:hAnsi="Calibri"/>
        </w:rPr>
        <w:tab/>
      </w:r>
      <w:r w:rsidRPr="00D61C8A">
        <w:rPr>
          <w:rFonts w:ascii="Calibri" w:hAnsi="Calibri"/>
        </w:rPr>
        <w:t>EXECUTIVE SUMMARY</w:t>
      </w:r>
    </w:p>
    <w:p w:rsidR="00B454FB" w:rsidRPr="00D61C8A" w:rsidRDefault="00B454FB" w:rsidP="00B454FB">
      <w:pPr>
        <w:pStyle w:val="Heading1"/>
        <w:numPr>
          <w:ilvl w:val="0"/>
          <w:numId w:val="0"/>
        </w:numPr>
        <w:spacing w:before="0"/>
        <w:rPr>
          <w:rFonts w:ascii="Calibri" w:hAnsi="Calibri"/>
        </w:rPr>
      </w:pPr>
      <w:r w:rsidRPr="00D61C8A">
        <w:rPr>
          <w:rFonts w:ascii="Calibri" w:hAnsi="Calibri"/>
        </w:rPr>
        <w:t>II</w:t>
      </w:r>
      <w:r>
        <w:rPr>
          <w:rFonts w:ascii="Calibri" w:hAnsi="Calibri"/>
        </w:rPr>
        <w:t>.A</w:t>
      </w:r>
      <w:r>
        <w:rPr>
          <w:rFonts w:ascii="Calibri" w:hAnsi="Calibri"/>
        </w:rPr>
        <w:tab/>
      </w:r>
      <w:r>
        <w:rPr>
          <w:rFonts w:ascii="Calibri" w:hAnsi="Calibri"/>
        </w:rPr>
        <w:tab/>
      </w:r>
      <w:r w:rsidRPr="00D61C8A">
        <w:rPr>
          <w:rFonts w:ascii="Calibri" w:hAnsi="Calibri"/>
        </w:rPr>
        <w:t>LIST OF ACRONYMS</w:t>
      </w:r>
    </w:p>
    <w:p w:rsidR="00B454FB" w:rsidRPr="00D61C8A" w:rsidRDefault="00B454FB" w:rsidP="00B454FB">
      <w:pPr>
        <w:pStyle w:val="Heading1"/>
        <w:numPr>
          <w:ilvl w:val="0"/>
          <w:numId w:val="0"/>
        </w:numPr>
        <w:spacing w:before="0"/>
        <w:rPr>
          <w:rFonts w:ascii="Calibri" w:hAnsi="Calibri"/>
        </w:rPr>
      </w:pPr>
      <w:r w:rsidRPr="00D61C8A">
        <w:rPr>
          <w:rFonts w:ascii="Calibri" w:hAnsi="Calibri"/>
        </w:rPr>
        <w:t>II</w:t>
      </w:r>
      <w:r>
        <w:rPr>
          <w:rFonts w:ascii="Calibri" w:hAnsi="Calibri"/>
        </w:rPr>
        <w:t>.B</w:t>
      </w:r>
      <w:r>
        <w:rPr>
          <w:rFonts w:ascii="Calibri" w:hAnsi="Calibri"/>
        </w:rPr>
        <w:tab/>
      </w:r>
      <w:r>
        <w:rPr>
          <w:rFonts w:ascii="Calibri" w:hAnsi="Calibri"/>
        </w:rPr>
        <w:tab/>
      </w:r>
      <w:r w:rsidRPr="00D61C8A">
        <w:rPr>
          <w:rFonts w:ascii="Calibri" w:hAnsi="Calibri"/>
        </w:rPr>
        <w:t xml:space="preserve">LIST OF </w:t>
      </w:r>
      <w:r>
        <w:rPr>
          <w:rFonts w:ascii="Calibri" w:hAnsi="Calibri"/>
        </w:rPr>
        <w:t>FIGURES</w:t>
      </w:r>
    </w:p>
    <w:p w:rsidR="00B454FB" w:rsidRPr="00D61C8A" w:rsidRDefault="00B454FB" w:rsidP="00B454FB">
      <w:pPr>
        <w:pStyle w:val="Heading1"/>
        <w:numPr>
          <w:ilvl w:val="0"/>
          <w:numId w:val="0"/>
        </w:numPr>
        <w:spacing w:before="0"/>
        <w:rPr>
          <w:rFonts w:ascii="Calibri" w:hAnsi="Calibri"/>
        </w:rPr>
      </w:pPr>
      <w:r>
        <w:rPr>
          <w:rFonts w:ascii="Calibri" w:hAnsi="Calibri"/>
        </w:rPr>
        <w:t>III</w:t>
      </w:r>
      <w:r>
        <w:rPr>
          <w:rFonts w:ascii="Calibri" w:hAnsi="Calibri"/>
        </w:rPr>
        <w:tab/>
      </w:r>
      <w:r>
        <w:rPr>
          <w:rFonts w:ascii="Calibri" w:hAnsi="Calibri"/>
        </w:rPr>
        <w:tab/>
      </w:r>
      <w:r w:rsidRPr="00D61C8A">
        <w:rPr>
          <w:rFonts w:ascii="Calibri" w:hAnsi="Calibri"/>
        </w:rPr>
        <w:t>BACKGROUND</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III.A</w:t>
      </w:r>
      <w:r>
        <w:rPr>
          <w:rFonts w:ascii="Calibri" w:hAnsi="Calibri"/>
        </w:rPr>
        <w:tab/>
      </w:r>
      <w:r w:rsidRPr="00D61C8A">
        <w:rPr>
          <w:rFonts w:ascii="Calibri" w:hAnsi="Calibri"/>
        </w:rPr>
        <w:t>Geographic and demographic attributes and administrative divisions of Nepal</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III.B</w:t>
      </w:r>
      <w:r>
        <w:rPr>
          <w:rFonts w:ascii="Calibri" w:hAnsi="Calibri"/>
        </w:rPr>
        <w:tab/>
      </w:r>
      <w:r>
        <w:rPr>
          <w:rFonts w:ascii="Calibri" w:hAnsi="Calibri"/>
        </w:rPr>
        <w:tab/>
      </w:r>
      <w:r w:rsidRPr="00D61C8A">
        <w:rPr>
          <w:rFonts w:ascii="Calibri" w:hAnsi="Calibri"/>
        </w:rPr>
        <w:t>The Nepali conflict and use of explosive devices</w:t>
      </w:r>
      <w:r>
        <w:rPr>
          <w:rFonts w:ascii="Calibri" w:hAnsi="Calibri"/>
        </w:rPr>
        <w:t xml:space="preserve"> (ED)</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III.B.1</w:t>
      </w:r>
      <w:r>
        <w:rPr>
          <w:rFonts w:ascii="Calibri" w:hAnsi="Calibri"/>
          <w:sz w:val="20"/>
          <w:szCs w:val="20"/>
        </w:rPr>
        <w:tab/>
      </w:r>
      <w:r w:rsidRPr="00D61C8A">
        <w:rPr>
          <w:rFonts w:ascii="Calibri" w:hAnsi="Calibri"/>
          <w:sz w:val="20"/>
          <w:szCs w:val="20"/>
        </w:rPr>
        <w:t xml:space="preserve">Use of </w:t>
      </w:r>
      <w:r>
        <w:rPr>
          <w:rFonts w:ascii="Calibri" w:hAnsi="Calibri"/>
          <w:sz w:val="20"/>
          <w:szCs w:val="20"/>
        </w:rPr>
        <w:t>ED</w:t>
      </w:r>
      <w:r w:rsidRPr="00D61C8A">
        <w:rPr>
          <w:rFonts w:ascii="Calibri" w:hAnsi="Calibri"/>
          <w:sz w:val="20"/>
          <w:szCs w:val="20"/>
        </w:rPr>
        <w:t xml:space="preserve"> by government security forces during the conflict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III.B.2</w:t>
      </w:r>
      <w:r>
        <w:rPr>
          <w:rFonts w:ascii="Calibri" w:hAnsi="Calibri"/>
          <w:sz w:val="20"/>
          <w:szCs w:val="20"/>
        </w:rPr>
        <w:tab/>
      </w:r>
      <w:r w:rsidRPr="00D61C8A">
        <w:rPr>
          <w:rFonts w:ascii="Calibri" w:hAnsi="Calibri"/>
          <w:sz w:val="20"/>
          <w:szCs w:val="20"/>
        </w:rPr>
        <w:t xml:space="preserve">Use of </w:t>
      </w:r>
      <w:r>
        <w:rPr>
          <w:rFonts w:ascii="Calibri" w:hAnsi="Calibri"/>
          <w:sz w:val="20"/>
          <w:szCs w:val="20"/>
        </w:rPr>
        <w:t>ED</w:t>
      </w:r>
      <w:r w:rsidRPr="00D61C8A">
        <w:rPr>
          <w:rFonts w:ascii="Calibri" w:hAnsi="Calibri"/>
          <w:sz w:val="20"/>
          <w:szCs w:val="20"/>
        </w:rPr>
        <w:t xml:space="preserve"> by Maoist forces during the conflict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III.C</w:t>
      </w:r>
      <w:r>
        <w:rPr>
          <w:rFonts w:ascii="Calibri" w:hAnsi="Calibri"/>
        </w:rPr>
        <w:tab/>
      </w:r>
      <w:r>
        <w:rPr>
          <w:rFonts w:ascii="Calibri" w:hAnsi="Calibri"/>
        </w:rPr>
        <w:tab/>
      </w:r>
      <w:r w:rsidRPr="00D61C8A">
        <w:rPr>
          <w:rFonts w:ascii="Calibri" w:hAnsi="Calibri"/>
        </w:rPr>
        <w:t>C</w:t>
      </w:r>
      <w:r>
        <w:rPr>
          <w:rFonts w:ascii="Calibri" w:hAnsi="Calibri"/>
        </w:rPr>
        <w:t>learance, c</w:t>
      </w:r>
      <w:r w:rsidRPr="00D61C8A">
        <w:rPr>
          <w:rFonts w:ascii="Calibri" w:hAnsi="Calibri"/>
        </w:rPr>
        <w:t xml:space="preserve">ontamination </w:t>
      </w:r>
      <w:r>
        <w:rPr>
          <w:rFonts w:ascii="Calibri" w:hAnsi="Calibri"/>
        </w:rPr>
        <w:t xml:space="preserve">and renewed ED use </w:t>
      </w:r>
      <w:r w:rsidRPr="00D61C8A">
        <w:rPr>
          <w:rFonts w:ascii="Calibri" w:hAnsi="Calibri"/>
        </w:rPr>
        <w:t>following the conflict</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III.C.1</w:t>
      </w:r>
      <w:r>
        <w:rPr>
          <w:rFonts w:ascii="Calibri" w:hAnsi="Calibri"/>
          <w:sz w:val="20"/>
          <w:szCs w:val="20"/>
        </w:rPr>
        <w:tab/>
      </w:r>
      <w:r w:rsidRPr="00D61C8A">
        <w:rPr>
          <w:rFonts w:ascii="Calibri" w:hAnsi="Calibri"/>
          <w:sz w:val="20"/>
          <w:szCs w:val="20"/>
        </w:rPr>
        <w:t>The C</w:t>
      </w:r>
      <w:r>
        <w:rPr>
          <w:rFonts w:ascii="Calibri" w:hAnsi="Calibri"/>
          <w:sz w:val="20"/>
          <w:szCs w:val="20"/>
        </w:rPr>
        <w:t xml:space="preserve">omprehensive </w:t>
      </w:r>
      <w:r w:rsidRPr="00D61C8A">
        <w:rPr>
          <w:rFonts w:ascii="Calibri" w:hAnsi="Calibri"/>
          <w:sz w:val="20"/>
          <w:szCs w:val="20"/>
        </w:rPr>
        <w:t>P</w:t>
      </w:r>
      <w:r>
        <w:rPr>
          <w:rFonts w:ascii="Calibri" w:hAnsi="Calibri"/>
          <w:sz w:val="20"/>
          <w:szCs w:val="20"/>
        </w:rPr>
        <w:t xml:space="preserve">eace </w:t>
      </w:r>
      <w:r w:rsidRPr="00D61C8A">
        <w:rPr>
          <w:rFonts w:ascii="Calibri" w:hAnsi="Calibri"/>
          <w:sz w:val="20"/>
          <w:szCs w:val="20"/>
        </w:rPr>
        <w:t>A</w:t>
      </w:r>
      <w:r>
        <w:rPr>
          <w:rFonts w:ascii="Calibri" w:hAnsi="Calibri"/>
          <w:sz w:val="20"/>
          <w:szCs w:val="20"/>
        </w:rPr>
        <w:t>ccord</w:t>
      </w:r>
      <w:r w:rsidRPr="00D61C8A">
        <w:rPr>
          <w:rFonts w:ascii="Calibri" w:hAnsi="Calibri"/>
          <w:sz w:val="20"/>
          <w:szCs w:val="20"/>
        </w:rPr>
        <w:t xml:space="preserve"> and the official end of the conflict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III.C.2</w:t>
      </w:r>
      <w:r>
        <w:rPr>
          <w:rFonts w:ascii="Calibri" w:hAnsi="Calibri"/>
          <w:sz w:val="20"/>
          <w:szCs w:val="20"/>
        </w:rPr>
        <w:tab/>
      </w:r>
      <w:r w:rsidRPr="00D61C8A">
        <w:rPr>
          <w:rFonts w:ascii="Calibri" w:hAnsi="Calibri"/>
          <w:sz w:val="20"/>
          <w:szCs w:val="20"/>
        </w:rPr>
        <w:t>Clearance and contamination following the conflict</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III.C.3</w:t>
      </w:r>
      <w:r>
        <w:rPr>
          <w:rFonts w:ascii="Calibri" w:hAnsi="Calibri"/>
          <w:sz w:val="20"/>
          <w:szCs w:val="20"/>
        </w:rPr>
        <w:tab/>
      </w:r>
      <w:r w:rsidRPr="00D61C8A">
        <w:rPr>
          <w:rFonts w:ascii="Calibri" w:hAnsi="Calibri"/>
          <w:sz w:val="20"/>
          <w:szCs w:val="20"/>
        </w:rPr>
        <w:t xml:space="preserve">Renewed use of </w:t>
      </w:r>
      <w:r>
        <w:rPr>
          <w:rFonts w:ascii="Calibri" w:hAnsi="Calibri"/>
          <w:sz w:val="20"/>
          <w:szCs w:val="20"/>
        </w:rPr>
        <w:t>ED</w:t>
      </w:r>
      <w:r w:rsidRPr="00D61C8A">
        <w:rPr>
          <w:rFonts w:ascii="Calibri" w:hAnsi="Calibri"/>
          <w:sz w:val="20"/>
          <w:szCs w:val="20"/>
        </w:rPr>
        <w:t xml:space="preserve"> following the conflict</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III.D</w:t>
      </w:r>
      <w:r>
        <w:rPr>
          <w:rFonts w:ascii="Calibri" w:hAnsi="Calibri"/>
        </w:rPr>
        <w:tab/>
      </w:r>
      <w:r w:rsidRPr="00D61C8A">
        <w:rPr>
          <w:rFonts w:ascii="Calibri" w:hAnsi="Calibri"/>
        </w:rPr>
        <w:t xml:space="preserve">Injuries due to </w:t>
      </w:r>
      <w:r>
        <w:rPr>
          <w:rFonts w:ascii="Calibri" w:hAnsi="Calibri"/>
        </w:rPr>
        <w:t>ED</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III.D.1</w:t>
      </w:r>
      <w:r>
        <w:rPr>
          <w:rFonts w:ascii="Calibri" w:hAnsi="Calibri"/>
          <w:sz w:val="20"/>
          <w:szCs w:val="20"/>
        </w:rPr>
        <w:tab/>
      </w:r>
      <w:r w:rsidRPr="00D61C8A">
        <w:rPr>
          <w:rFonts w:ascii="Calibri" w:hAnsi="Calibri"/>
          <w:sz w:val="20"/>
          <w:szCs w:val="20"/>
        </w:rPr>
        <w:t>Geographic locations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III.D.2</w:t>
      </w:r>
      <w:r>
        <w:rPr>
          <w:rFonts w:ascii="Calibri" w:hAnsi="Calibri"/>
          <w:sz w:val="20"/>
          <w:szCs w:val="20"/>
        </w:rPr>
        <w:tab/>
      </w:r>
      <w:r w:rsidRPr="00D61C8A">
        <w:rPr>
          <w:rFonts w:ascii="Calibri" w:hAnsi="Calibri"/>
          <w:sz w:val="20"/>
          <w:szCs w:val="20"/>
        </w:rPr>
        <w:t>Measurement of ED inju</w:t>
      </w:r>
      <w:r>
        <w:rPr>
          <w:rFonts w:ascii="Calibri" w:hAnsi="Calibri"/>
          <w:sz w:val="20"/>
          <w:szCs w:val="20"/>
        </w:rPr>
        <w:t>ries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III.D.3</w:t>
      </w:r>
      <w:r>
        <w:rPr>
          <w:rFonts w:ascii="Calibri" w:hAnsi="Calibri"/>
          <w:sz w:val="20"/>
          <w:szCs w:val="20"/>
        </w:rPr>
        <w:tab/>
      </w:r>
      <w:r w:rsidRPr="00D61C8A">
        <w:rPr>
          <w:rFonts w:ascii="Calibri" w:hAnsi="Calibri"/>
          <w:sz w:val="20"/>
          <w:szCs w:val="20"/>
        </w:rPr>
        <w:t>ED injury trends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III.D.4.</w:t>
      </w:r>
      <w:r>
        <w:rPr>
          <w:rFonts w:ascii="Calibri" w:hAnsi="Calibri"/>
          <w:sz w:val="20"/>
          <w:szCs w:val="20"/>
        </w:rPr>
        <w:tab/>
      </w:r>
      <w:r w:rsidRPr="00D61C8A">
        <w:rPr>
          <w:rFonts w:ascii="Calibri" w:hAnsi="Calibri"/>
          <w:sz w:val="20"/>
          <w:szCs w:val="20"/>
        </w:rPr>
        <w:t xml:space="preserve">Direct and indirect effects of </w:t>
      </w:r>
      <w:r>
        <w:rPr>
          <w:rFonts w:ascii="Calibri" w:hAnsi="Calibri"/>
          <w:sz w:val="20"/>
          <w:szCs w:val="20"/>
        </w:rPr>
        <w:t>ED</w:t>
      </w:r>
      <w:r w:rsidRPr="00D61C8A">
        <w:rPr>
          <w:rFonts w:ascii="Calibri" w:hAnsi="Calibri"/>
          <w:sz w:val="20"/>
          <w:szCs w:val="20"/>
        </w:rPr>
        <w:t xml:space="preserve"> injur</w:t>
      </w:r>
      <w:r>
        <w:rPr>
          <w:rFonts w:ascii="Calibri" w:hAnsi="Calibri"/>
          <w:sz w:val="20"/>
          <w:szCs w:val="20"/>
        </w:rPr>
        <w:t>ies</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III.E</w:t>
      </w:r>
      <w:r>
        <w:rPr>
          <w:rFonts w:ascii="Calibri" w:hAnsi="Calibri"/>
        </w:rPr>
        <w:tab/>
      </w:r>
      <w:r>
        <w:rPr>
          <w:rFonts w:ascii="Calibri" w:hAnsi="Calibri"/>
        </w:rPr>
        <w:tab/>
      </w:r>
      <w:r w:rsidRPr="00D61C8A">
        <w:rPr>
          <w:rFonts w:ascii="Calibri" w:hAnsi="Calibri"/>
        </w:rPr>
        <w:t>E</w:t>
      </w:r>
      <w:r>
        <w:rPr>
          <w:rFonts w:ascii="Calibri" w:hAnsi="Calibri"/>
        </w:rPr>
        <w:t xml:space="preserve">valuation of UNICEF Mine Action (MA) </w:t>
      </w:r>
      <w:r w:rsidRPr="00D61C8A">
        <w:rPr>
          <w:rFonts w:ascii="Calibri" w:hAnsi="Calibri"/>
        </w:rPr>
        <w:t>activities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III.E.1</w:t>
      </w:r>
      <w:r>
        <w:rPr>
          <w:rFonts w:ascii="Calibri" w:hAnsi="Calibri"/>
          <w:sz w:val="20"/>
          <w:szCs w:val="20"/>
        </w:rPr>
        <w:tab/>
      </w:r>
      <w:r w:rsidRPr="00D61C8A">
        <w:rPr>
          <w:rFonts w:ascii="Calibri" w:hAnsi="Calibri"/>
          <w:sz w:val="20"/>
          <w:szCs w:val="20"/>
        </w:rPr>
        <w:t xml:space="preserve">Proposal for evaluation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III.E.2</w:t>
      </w:r>
      <w:r>
        <w:rPr>
          <w:rFonts w:ascii="Calibri" w:hAnsi="Calibri"/>
          <w:sz w:val="20"/>
          <w:szCs w:val="20"/>
        </w:rPr>
        <w:tab/>
      </w:r>
      <w:r w:rsidRPr="00D61C8A">
        <w:rPr>
          <w:rFonts w:ascii="Calibri" w:hAnsi="Calibri"/>
          <w:sz w:val="20"/>
          <w:szCs w:val="20"/>
        </w:rPr>
        <w:t>Goal and objective of evaluation</w:t>
      </w:r>
    </w:p>
    <w:p w:rsidR="00B454FB" w:rsidRPr="00D61C8A" w:rsidRDefault="00B454FB" w:rsidP="00B454FB">
      <w:pPr>
        <w:pStyle w:val="Heading1"/>
        <w:numPr>
          <w:ilvl w:val="0"/>
          <w:numId w:val="0"/>
        </w:numPr>
        <w:spacing w:before="0"/>
        <w:rPr>
          <w:rFonts w:ascii="Calibri" w:hAnsi="Calibri"/>
        </w:rPr>
      </w:pPr>
      <w:r>
        <w:rPr>
          <w:rFonts w:ascii="Calibri" w:hAnsi="Calibri"/>
        </w:rPr>
        <w:t>IV</w:t>
      </w:r>
      <w:r>
        <w:rPr>
          <w:rFonts w:ascii="Calibri" w:hAnsi="Calibri"/>
        </w:rPr>
        <w:tab/>
      </w:r>
      <w:r>
        <w:rPr>
          <w:rFonts w:ascii="Calibri" w:hAnsi="Calibri"/>
        </w:rPr>
        <w:tab/>
      </w:r>
      <w:r w:rsidRPr="00D61C8A">
        <w:rPr>
          <w:rFonts w:ascii="Calibri" w:hAnsi="Calibri"/>
        </w:rPr>
        <w:t>METHODS</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IV.A</w:t>
      </w:r>
      <w:r>
        <w:rPr>
          <w:rFonts w:ascii="Calibri" w:hAnsi="Calibri"/>
        </w:rPr>
        <w:tab/>
      </w:r>
      <w:r w:rsidRPr="00D61C8A">
        <w:rPr>
          <w:rFonts w:ascii="Calibri" w:hAnsi="Calibri"/>
        </w:rPr>
        <w:t>General evaluation methods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IV.A.1</w:t>
      </w:r>
      <w:r>
        <w:rPr>
          <w:rFonts w:ascii="Calibri" w:hAnsi="Calibri"/>
          <w:sz w:val="20"/>
          <w:szCs w:val="20"/>
        </w:rPr>
        <w:tab/>
      </w:r>
      <w:r w:rsidRPr="00D61C8A">
        <w:rPr>
          <w:rFonts w:ascii="Calibri" w:hAnsi="Calibri"/>
          <w:sz w:val="20"/>
          <w:szCs w:val="20"/>
        </w:rPr>
        <w:t xml:space="preserve">Prior to field visit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IV.A.2</w:t>
      </w:r>
      <w:r>
        <w:rPr>
          <w:rFonts w:ascii="Calibri" w:hAnsi="Calibri"/>
          <w:sz w:val="20"/>
          <w:szCs w:val="20"/>
        </w:rPr>
        <w:tab/>
      </w:r>
      <w:r w:rsidRPr="00D61C8A">
        <w:rPr>
          <w:rFonts w:ascii="Calibri" w:hAnsi="Calibri"/>
          <w:sz w:val="20"/>
          <w:szCs w:val="20"/>
        </w:rPr>
        <w:t xml:space="preserve">During field visit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IV.A.3</w:t>
      </w:r>
      <w:r>
        <w:rPr>
          <w:rFonts w:ascii="Calibri" w:hAnsi="Calibri"/>
          <w:sz w:val="20"/>
          <w:szCs w:val="20"/>
        </w:rPr>
        <w:tab/>
      </w:r>
      <w:r w:rsidRPr="00D61C8A">
        <w:rPr>
          <w:rFonts w:ascii="Calibri" w:hAnsi="Calibri"/>
          <w:sz w:val="20"/>
          <w:szCs w:val="20"/>
        </w:rPr>
        <w:t xml:space="preserve">Following field visit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IV.B</w:t>
      </w:r>
      <w:r>
        <w:rPr>
          <w:rFonts w:ascii="Calibri" w:hAnsi="Calibri"/>
        </w:rPr>
        <w:tab/>
      </w:r>
      <w:r w:rsidRPr="00D61C8A">
        <w:rPr>
          <w:rFonts w:ascii="Calibri" w:hAnsi="Calibri"/>
        </w:rPr>
        <w:t>Specific evaluation methods for surveillance and mine risk education</w:t>
      </w:r>
      <w:r>
        <w:rPr>
          <w:rFonts w:ascii="Calibri" w:hAnsi="Calibri"/>
        </w:rPr>
        <w:t xml:space="preserve"> (MRE)</w:t>
      </w:r>
    </w:p>
    <w:p w:rsidR="00B454FB" w:rsidRPr="00D61C8A" w:rsidRDefault="00B454FB" w:rsidP="00B454FB">
      <w:pPr>
        <w:pStyle w:val="Heading1"/>
        <w:numPr>
          <w:ilvl w:val="0"/>
          <w:numId w:val="0"/>
        </w:numPr>
        <w:spacing w:before="0"/>
        <w:rPr>
          <w:rFonts w:ascii="Calibri" w:hAnsi="Calibri"/>
        </w:rPr>
      </w:pPr>
      <w:r>
        <w:rPr>
          <w:rFonts w:ascii="Calibri" w:hAnsi="Calibri"/>
        </w:rPr>
        <w:t>V</w:t>
      </w:r>
      <w:r>
        <w:rPr>
          <w:rFonts w:ascii="Calibri" w:hAnsi="Calibri"/>
        </w:rPr>
        <w:tab/>
      </w:r>
      <w:r>
        <w:rPr>
          <w:rFonts w:ascii="Calibri" w:hAnsi="Calibri"/>
        </w:rPr>
        <w:tab/>
      </w:r>
      <w:r w:rsidRPr="00D61C8A">
        <w:rPr>
          <w:rFonts w:ascii="Calibri" w:hAnsi="Calibri"/>
        </w:rPr>
        <w:t>UNICEF SURVEILLANCE ACTIVITIES: FINDINGS AND RECOMMENDATIONS</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V.A</w:t>
      </w:r>
      <w:r>
        <w:rPr>
          <w:rFonts w:ascii="Calibri" w:hAnsi="Calibri"/>
        </w:rPr>
        <w:tab/>
      </w:r>
      <w:r>
        <w:rPr>
          <w:rFonts w:ascii="Calibri" w:hAnsi="Calibri"/>
        </w:rPr>
        <w:tab/>
      </w:r>
      <w:r w:rsidRPr="00D61C8A">
        <w:rPr>
          <w:rFonts w:ascii="Calibri" w:hAnsi="Calibri"/>
        </w:rPr>
        <w:t>Description of the surveillance system</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V.A.1</w:t>
      </w:r>
      <w:r>
        <w:rPr>
          <w:rFonts w:ascii="Calibri" w:hAnsi="Calibri"/>
          <w:sz w:val="20"/>
          <w:szCs w:val="20"/>
        </w:rPr>
        <w:tab/>
      </w:r>
      <w:r w:rsidRPr="00D61C8A">
        <w:rPr>
          <w:rFonts w:ascii="Calibri" w:hAnsi="Calibri"/>
          <w:sz w:val="20"/>
          <w:szCs w:val="20"/>
        </w:rPr>
        <w:t xml:space="preserve">Purpose, objectives and data uses of the surveillance system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V.A.1.a</w:t>
      </w:r>
      <w:r>
        <w:rPr>
          <w:rFonts w:ascii="Calibri" w:hAnsi="Calibri"/>
          <w:sz w:val="20"/>
          <w:szCs w:val="20"/>
        </w:rPr>
        <w:tab/>
      </w:r>
      <w:r w:rsidRPr="00D61C8A">
        <w:rPr>
          <w:rFonts w:ascii="Calibri" w:hAnsi="Calibri"/>
          <w:sz w:val="20"/>
          <w:szCs w:val="20"/>
        </w:rPr>
        <w:t xml:space="preserve">Purpose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V.A.1.</w:t>
      </w:r>
      <w:r w:rsidRPr="00D61C8A">
        <w:rPr>
          <w:rFonts w:ascii="Calibri" w:hAnsi="Calibri"/>
          <w:sz w:val="20"/>
          <w:szCs w:val="20"/>
        </w:rPr>
        <w:t>b</w:t>
      </w:r>
      <w:r>
        <w:rPr>
          <w:rFonts w:ascii="Calibri" w:hAnsi="Calibri"/>
          <w:sz w:val="20"/>
          <w:szCs w:val="20"/>
        </w:rPr>
        <w:tab/>
      </w:r>
      <w:r w:rsidRPr="00D61C8A">
        <w:rPr>
          <w:rFonts w:ascii="Calibri" w:hAnsi="Calibri"/>
          <w:sz w:val="20"/>
          <w:szCs w:val="20"/>
        </w:rPr>
        <w:t>Objectives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V.A.1.c</w:t>
      </w:r>
      <w:r>
        <w:rPr>
          <w:rFonts w:ascii="Calibri" w:hAnsi="Calibri"/>
          <w:sz w:val="20"/>
          <w:szCs w:val="20"/>
        </w:rPr>
        <w:tab/>
      </w:r>
      <w:r w:rsidRPr="00D61C8A">
        <w:rPr>
          <w:rFonts w:ascii="Calibri" w:hAnsi="Calibri"/>
          <w:sz w:val="20"/>
          <w:szCs w:val="20"/>
        </w:rPr>
        <w:t>Data uses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V.A.2</w:t>
      </w:r>
      <w:r>
        <w:rPr>
          <w:rFonts w:ascii="Calibri" w:hAnsi="Calibri"/>
          <w:sz w:val="20"/>
          <w:szCs w:val="20"/>
        </w:rPr>
        <w:tab/>
      </w:r>
      <w:r w:rsidRPr="00D61C8A">
        <w:rPr>
          <w:rFonts w:ascii="Calibri" w:hAnsi="Calibri"/>
          <w:sz w:val="20"/>
          <w:szCs w:val="20"/>
        </w:rPr>
        <w:t xml:space="preserve">Operation of the surveillance system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V.A.2.a</w:t>
      </w:r>
      <w:r>
        <w:rPr>
          <w:rFonts w:ascii="Calibri" w:hAnsi="Calibri"/>
          <w:sz w:val="20"/>
          <w:szCs w:val="20"/>
        </w:rPr>
        <w:tab/>
      </w:r>
      <w:r w:rsidRPr="00D61C8A">
        <w:rPr>
          <w:rFonts w:ascii="Calibri" w:hAnsi="Calibri"/>
          <w:sz w:val="20"/>
          <w:szCs w:val="20"/>
        </w:rPr>
        <w:t xml:space="preserve">Description of the health-related event under surveillance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V.A.2.b</w:t>
      </w:r>
      <w:r>
        <w:rPr>
          <w:rFonts w:ascii="Calibri" w:hAnsi="Calibri"/>
          <w:sz w:val="20"/>
          <w:szCs w:val="20"/>
        </w:rPr>
        <w:tab/>
      </w:r>
      <w:r w:rsidRPr="00D61C8A">
        <w:rPr>
          <w:rFonts w:ascii="Calibri" w:hAnsi="Calibri"/>
          <w:sz w:val="20"/>
          <w:szCs w:val="20"/>
        </w:rPr>
        <w:t xml:space="preserve">Time period of data collection and population under surveillance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V.A.2.c</w:t>
      </w:r>
      <w:r>
        <w:rPr>
          <w:rFonts w:ascii="Calibri" w:hAnsi="Calibri"/>
          <w:sz w:val="20"/>
          <w:szCs w:val="20"/>
        </w:rPr>
        <w:tab/>
      </w:r>
      <w:r w:rsidRPr="00D61C8A">
        <w:rPr>
          <w:rFonts w:ascii="Calibri" w:hAnsi="Calibri"/>
          <w:sz w:val="20"/>
          <w:szCs w:val="20"/>
        </w:rPr>
        <w:t xml:space="preserve">Partner organizations and start of the surveillance system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w:t>
      </w:r>
      <w:r w:rsidRPr="00D61C8A">
        <w:rPr>
          <w:rFonts w:ascii="Calibri" w:hAnsi="Calibri"/>
          <w:sz w:val="20"/>
          <w:szCs w:val="20"/>
        </w:rPr>
        <w:t>d</w:t>
      </w:r>
      <w:r>
        <w:rPr>
          <w:rFonts w:ascii="Calibri" w:hAnsi="Calibri"/>
          <w:sz w:val="20"/>
          <w:szCs w:val="20"/>
        </w:rPr>
        <w:tab/>
      </w:r>
      <w:r w:rsidRPr="00D61C8A">
        <w:rPr>
          <w:rFonts w:ascii="Calibri" w:hAnsi="Calibri"/>
          <w:sz w:val="20"/>
          <w:szCs w:val="20"/>
        </w:rPr>
        <w:t xml:space="preserve">Nine steps of the surveillance system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(1) Explosive device detonates and injures one or more individuals</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(2) INSEC partner or other entity notifies INSEC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(3) INSEC district representative investigates the incident and collects data</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(4) INSEC regional office reviews data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(5) INSEC central office reviews data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(6) INSEC central office translates data and enters them into database</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(7) INSEC central office cleans and analyzes data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(8) INSEC central office publishes and disseminates data in </w:t>
      </w:r>
      <w:r>
        <w:rPr>
          <w:rFonts w:ascii="Calibri" w:hAnsi="Calibri"/>
          <w:sz w:val="20"/>
          <w:szCs w:val="20"/>
        </w:rPr>
        <w:t>MA</w:t>
      </w:r>
      <w:r w:rsidRPr="00D61C8A">
        <w:rPr>
          <w:rFonts w:ascii="Calibri" w:hAnsi="Calibri"/>
          <w:sz w:val="20"/>
          <w:szCs w:val="20"/>
        </w:rPr>
        <w:t xml:space="preserve"> reports and the Human Rights Yearbook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V.A.2.d </w:t>
      </w:r>
      <w:r w:rsidRPr="00D61C8A">
        <w:rPr>
          <w:rFonts w:ascii="Calibri" w:hAnsi="Calibri"/>
          <w:sz w:val="20"/>
          <w:szCs w:val="20"/>
        </w:rPr>
        <w:t xml:space="preserve">(9) Partners use data to inform </w:t>
      </w:r>
      <w:r>
        <w:rPr>
          <w:rFonts w:ascii="Calibri" w:hAnsi="Calibri"/>
          <w:sz w:val="20"/>
          <w:szCs w:val="20"/>
        </w:rPr>
        <w:t>MA</w:t>
      </w:r>
      <w:r w:rsidRPr="00D61C8A">
        <w:rPr>
          <w:rFonts w:ascii="Calibri" w:hAnsi="Calibri"/>
          <w:sz w:val="20"/>
          <w:szCs w:val="20"/>
        </w:rPr>
        <w:t xml:space="preserve"> activities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V.A.2.e</w:t>
      </w:r>
      <w:r w:rsidRPr="00D61C8A">
        <w:rPr>
          <w:rFonts w:ascii="Calibri" w:hAnsi="Calibri"/>
          <w:sz w:val="20"/>
          <w:szCs w:val="20"/>
        </w:rPr>
        <w:t xml:space="preserve"> </w:t>
      </w:r>
      <w:r>
        <w:rPr>
          <w:rFonts w:ascii="Calibri" w:hAnsi="Calibri"/>
          <w:sz w:val="20"/>
          <w:szCs w:val="20"/>
        </w:rPr>
        <w:tab/>
      </w:r>
      <w:r w:rsidRPr="00D61C8A">
        <w:rPr>
          <w:rFonts w:ascii="Calibri" w:hAnsi="Calibri"/>
          <w:sz w:val="20"/>
          <w:szCs w:val="20"/>
        </w:rPr>
        <w:t>Communications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V.A.2.f</w:t>
      </w:r>
      <w:r w:rsidRPr="00D61C8A">
        <w:rPr>
          <w:rFonts w:ascii="Calibri" w:hAnsi="Calibri"/>
          <w:sz w:val="20"/>
          <w:szCs w:val="20"/>
        </w:rPr>
        <w:t xml:space="preserve"> </w:t>
      </w:r>
      <w:r>
        <w:rPr>
          <w:rFonts w:ascii="Calibri" w:hAnsi="Calibri"/>
          <w:sz w:val="20"/>
          <w:szCs w:val="20"/>
        </w:rPr>
        <w:tab/>
      </w:r>
      <w:r w:rsidRPr="00D61C8A">
        <w:rPr>
          <w:rFonts w:ascii="Calibri" w:hAnsi="Calibri"/>
          <w:sz w:val="20"/>
          <w:szCs w:val="20"/>
        </w:rPr>
        <w:t xml:space="preserve">Quality control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w:t>
      </w:r>
      <w:r w:rsidRPr="00D61C8A">
        <w:rPr>
          <w:rFonts w:ascii="Calibri" w:hAnsi="Calibri"/>
          <w:sz w:val="20"/>
          <w:szCs w:val="20"/>
        </w:rPr>
        <w:t xml:space="preserve">g </w:t>
      </w:r>
      <w:r>
        <w:rPr>
          <w:rFonts w:ascii="Calibri" w:hAnsi="Calibri"/>
          <w:sz w:val="20"/>
          <w:szCs w:val="20"/>
        </w:rPr>
        <w:tab/>
      </w:r>
      <w:r w:rsidRPr="00D61C8A">
        <w:rPr>
          <w:rFonts w:ascii="Calibri" w:hAnsi="Calibri"/>
          <w:sz w:val="20"/>
          <w:szCs w:val="20"/>
        </w:rPr>
        <w:t xml:space="preserve">Consent, confidentiality and security concerns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lastRenderedPageBreak/>
        <w:t>V.A.2.h</w:t>
      </w:r>
      <w:r w:rsidRPr="00D61C8A">
        <w:rPr>
          <w:rFonts w:ascii="Calibri" w:hAnsi="Calibri"/>
          <w:sz w:val="20"/>
          <w:szCs w:val="20"/>
        </w:rPr>
        <w:t xml:space="preserve"> </w:t>
      </w:r>
      <w:r>
        <w:rPr>
          <w:rFonts w:ascii="Calibri" w:hAnsi="Calibri"/>
          <w:sz w:val="20"/>
          <w:szCs w:val="20"/>
        </w:rPr>
        <w:tab/>
      </w:r>
      <w:r w:rsidRPr="00D61C8A">
        <w:rPr>
          <w:rFonts w:ascii="Calibri" w:hAnsi="Calibri"/>
          <w:sz w:val="20"/>
          <w:szCs w:val="20"/>
        </w:rPr>
        <w:t>Integration with other systems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V.A.2.i</w:t>
      </w:r>
      <w:r w:rsidRPr="00D61C8A">
        <w:rPr>
          <w:rFonts w:ascii="Calibri" w:hAnsi="Calibri"/>
          <w:sz w:val="20"/>
          <w:szCs w:val="20"/>
        </w:rPr>
        <w:t xml:space="preserve"> </w:t>
      </w:r>
      <w:r>
        <w:rPr>
          <w:rFonts w:ascii="Calibri" w:hAnsi="Calibri"/>
          <w:sz w:val="20"/>
          <w:szCs w:val="20"/>
        </w:rPr>
        <w:tab/>
      </w:r>
      <w:r w:rsidRPr="00D61C8A">
        <w:rPr>
          <w:rFonts w:ascii="Calibri" w:hAnsi="Calibri"/>
          <w:sz w:val="20"/>
          <w:szCs w:val="20"/>
        </w:rPr>
        <w:t xml:space="preserve">Resources used to operate the surveillance system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V.B</w:t>
      </w:r>
      <w:r>
        <w:rPr>
          <w:rFonts w:ascii="Calibri" w:hAnsi="Calibri"/>
        </w:rPr>
        <w:tab/>
      </w:r>
      <w:r>
        <w:rPr>
          <w:rFonts w:ascii="Calibri" w:hAnsi="Calibri"/>
        </w:rPr>
        <w:tab/>
      </w:r>
      <w:r w:rsidRPr="00D61C8A">
        <w:rPr>
          <w:rFonts w:ascii="Calibri" w:hAnsi="Calibri"/>
        </w:rPr>
        <w:t>Evaluation of the surveillance system</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V.B.1</w:t>
      </w:r>
      <w:r>
        <w:rPr>
          <w:rFonts w:ascii="Calibri" w:hAnsi="Calibri"/>
          <w:sz w:val="20"/>
          <w:szCs w:val="20"/>
        </w:rPr>
        <w:tab/>
      </w:r>
      <w:r w:rsidRPr="00D61C8A">
        <w:rPr>
          <w:rFonts w:ascii="Calibri" w:hAnsi="Calibri"/>
          <w:sz w:val="20"/>
          <w:szCs w:val="20"/>
        </w:rPr>
        <w:t xml:space="preserve">Usefulness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V.B.2</w:t>
      </w:r>
      <w:r>
        <w:rPr>
          <w:rFonts w:ascii="Calibri" w:hAnsi="Calibri"/>
          <w:sz w:val="20"/>
          <w:szCs w:val="20"/>
        </w:rPr>
        <w:tab/>
      </w:r>
      <w:r w:rsidRPr="00D61C8A">
        <w:rPr>
          <w:rFonts w:ascii="Calibri" w:hAnsi="Calibri"/>
          <w:sz w:val="20"/>
          <w:szCs w:val="20"/>
        </w:rPr>
        <w:t>Description of surveillance system attributes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V.B.2.a</w:t>
      </w:r>
      <w:r>
        <w:rPr>
          <w:rFonts w:ascii="Calibri" w:hAnsi="Calibri"/>
          <w:sz w:val="20"/>
          <w:szCs w:val="20"/>
        </w:rPr>
        <w:tab/>
      </w:r>
      <w:r w:rsidRPr="00D61C8A">
        <w:rPr>
          <w:rFonts w:ascii="Calibri" w:hAnsi="Calibri"/>
          <w:sz w:val="20"/>
          <w:szCs w:val="20"/>
        </w:rPr>
        <w:t xml:space="preserve">Simplicity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V.B.2.b</w:t>
      </w:r>
      <w:r>
        <w:rPr>
          <w:rFonts w:ascii="Calibri" w:hAnsi="Calibri"/>
          <w:sz w:val="20"/>
          <w:szCs w:val="20"/>
        </w:rPr>
        <w:tab/>
      </w:r>
      <w:r w:rsidRPr="00D61C8A">
        <w:rPr>
          <w:rFonts w:ascii="Calibri" w:hAnsi="Calibri"/>
          <w:sz w:val="20"/>
          <w:szCs w:val="20"/>
        </w:rPr>
        <w:t xml:space="preserve">Flexibility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V.B.2.c</w:t>
      </w:r>
      <w:r>
        <w:rPr>
          <w:rFonts w:ascii="Calibri" w:hAnsi="Calibri"/>
          <w:sz w:val="20"/>
          <w:szCs w:val="20"/>
        </w:rPr>
        <w:tab/>
      </w:r>
      <w:r>
        <w:rPr>
          <w:rFonts w:ascii="Calibri" w:hAnsi="Calibri"/>
          <w:sz w:val="20"/>
          <w:szCs w:val="20"/>
        </w:rPr>
        <w:tab/>
      </w:r>
      <w:r w:rsidRPr="00D61C8A">
        <w:rPr>
          <w:rFonts w:ascii="Calibri" w:hAnsi="Calibri"/>
          <w:sz w:val="20"/>
          <w:szCs w:val="20"/>
        </w:rPr>
        <w:t xml:space="preserve">Data quality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V.B.2.d</w:t>
      </w:r>
      <w:r>
        <w:rPr>
          <w:rFonts w:ascii="Calibri" w:hAnsi="Calibri"/>
          <w:sz w:val="20"/>
          <w:szCs w:val="20"/>
        </w:rPr>
        <w:tab/>
      </w:r>
      <w:r w:rsidRPr="00D61C8A">
        <w:rPr>
          <w:rFonts w:ascii="Calibri" w:hAnsi="Calibri"/>
          <w:sz w:val="20"/>
          <w:szCs w:val="20"/>
        </w:rPr>
        <w:t xml:space="preserve">Acceptability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V.B.2.e</w:t>
      </w:r>
      <w:r>
        <w:rPr>
          <w:rFonts w:ascii="Calibri" w:hAnsi="Calibri"/>
          <w:sz w:val="20"/>
          <w:szCs w:val="20"/>
        </w:rPr>
        <w:tab/>
      </w:r>
      <w:r w:rsidRPr="00D61C8A">
        <w:rPr>
          <w:rFonts w:ascii="Calibri" w:hAnsi="Calibri"/>
          <w:sz w:val="20"/>
          <w:szCs w:val="20"/>
        </w:rPr>
        <w:t xml:space="preserve"> Sensitivity</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V.B.2.f</w:t>
      </w:r>
      <w:r>
        <w:rPr>
          <w:rFonts w:ascii="Calibri" w:hAnsi="Calibri"/>
          <w:sz w:val="20"/>
          <w:szCs w:val="20"/>
        </w:rPr>
        <w:tab/>
      </w:r>
      <w:r>
        <w:rPr>
          <w:rFonts w:ascii="Calibri" w:hAnsi="Calibri"/>
          <w:sz w:val="20"/>
          <w:szCs w:val="20"/>
        </w:rPr>
        <w:tab/>
      </w:r>
      <w:r w:rsidRPr="00D61C8A">
        <w:rPr>
          <w:rFonts w:ascii="Calibri" w:hAnsi="Calibri"/>
          <w:sz w:val="20"/>
          <w:szCs w:val="20"/>
        </w:rPr>
        <w:t>Predictive value positive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V.B.2.g</w:t>
      </w:r>
      <w:r>
        <w:rPr>
          <w:rFonts w:ascii="Calibri" w:hAnsi="Calibri"/>
          <w:sz w:val="20"/>
          <w:szCs w:val="20"/>
        </w:rPr>
        <w:tab/>
      </w:r>
      <w:r w:rsidRPr="00D61C8A">
        <w:rPr>
          <w:rFonts w:ascii="Calibri" w:hAnsi="Calibri"/>
          <w:sz w:val="20"/>
          <w:szCs w:val="20"/>
        </w:rPr>
        <w:t>Representativeness</w:t>
      </w:r>
    </w:p>
    <w:p w:rsidR="00B454FB" w:rsidRPr="00D61C8A" w:rsidRDefault="00B454FB" w:rsidP="00B454FB">
      <w:pPr>
        <w:pStyle w:val="Heading4"/>
        <w:numPr>
          <w:ilvl w:val="0"/>
          <w:numId w:val="0"/>
        </w:numPr>
        <w:spacing w:before="0"/>
        <w:ind w:left="288" w:firstLine="144"/>
        <w:rPr>
          <w:rFonts w:ascii="Calibri" w:eastAsia="Cambria" w:hAnsi="Calibri"/>
          <w:sz w:val="20"/>
          <w:szCs w:val="20"/>
        </w:rPr>
      </w:pPr>
      <w:r>
        <w:rPr>
          <w:rFonts w:ascii="Calibri" w:hAnsi="Calibri"/>
          <w:sz w:val="20"/>
          <w:szCs w:val="20"/>
        </w:rPr>
        <w:t>V.B.2.h</w:t>
      </w:r>
      <w:r>
        <w:rPr>
          <w:rFonts w:ascii="Calibri" w:hAnsi="Calibri"/>
          <w:sz w:val="20"/>
          <w:szCs w:val="20"/>
        </w:rPr>
        <w:tab/>
      </w:r>
      <w:r w:rsidRPr="00D61C8A">
        <w:rPr>
          <w:rFonts w:ascii="Calibri" w:hAnsi="Calibri"/>
          <w:sz w:val="20"/>
          <w:szCs w:val="20"/>
        </w:rPr>
        <w:t>Timeliness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V.B.2.i</w:t>
      </w:r>
      <w:r>
        <w:rPr>
          <w:rFonts w:ascii="Calibri" w:hAnsi="Calibri"/>
          <w:sz w:val="20"/>
          <w:szCs w:val="20"/>
        </w:rPr>
        <w:tab/>
      </w:r>
      <w:r>
        <w:rPr>
          <w:rFonts w:ascii="Calibri" w:hAnsi="Calibri"/>
          <w:sz w:val="20"/>
          <w:szCs w:val="20"/>
        </w:rPr>
        <w:tab/>
      </w:r>
      <w:r w:rsidRPr="00D61C8A">
        <w:rPr>
          <w:rFonts w:ascii="Calibri" w:hAnsi="Calibri"/>
          <w:sz w:val="20"/>
          <w:szCs w:val="20"/>
        </w:rPr>
        <w:t xml:space="preserve">Stability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V.C</w:t>
      </w:r>
      <w:r>
        <w:rPr>
          <w:rFonts w:ascii="Calibri" w:hAnsi="Calibri"/>
        </w:rPr>
        <w:tab/>
      </w:r>
      <w:r>
        <w:rPr>
          <w:rFonts w:ascii="Calibri" w:hAnsi="Calibri"/>
        </w:rPr>
        <w:tab/>
      </w:r>
      <w:r w:rsidRPr="00D61C8A">
        <w:rPr>
          <w:rFonts w:ascii="Calibri" w:hAnsi="Calibri"/>
        </w:rPr>
        <w:t>Recommendations for the surveillance system</w:t>
      </w:r>
    </w:p>
    <w:p w:rsidR="00B454FB" w:rsidRPr="00D61C8A" w:rsidRDefault="00B454FB" w:rsidP="00B454FB">
      <w:pPr>
        <w:pStyle w:val="Heading1"/>
        <w:numPr>
          <w:ilvl w:val="0"/>
          <w:numId w:val="0"/>
        </w:numPr>
        <w:spacing w:before="0"/>
        <w:rPr>
          <w:rFonts w:ascii="Calibri" w:hAnsi="Calibri"/>
        </w:rPr>
      </w:pPr>
      <w:r>
        <w:rPr>
          <w:rFonts w:ascii="Calibri" w:hAnsi="Calibri"/>
        </w:rPr>
        <w:t>VI</w:t>
      </w:r>
      <w:r>
        <w:rPr>
          <w:rFonts w:ascii="Calibri" w:hAnsi="Calibri"/>
        </w:rPr>
        <w:tab/>
      </w:r>
      <w:r>
        <w:rPr>
          <w:rFonts w:ascii="Calibri" w:hAnsi="Calibri"/>
        </w:rPr>
        <w:tab/>
      </w:r>
      <w:r w:rsidRPr="00D61C8A">
        <w:rPr>
          <w:rFonts w:ascii="Calibri" w:hAnsi="Calibri"/>
        </w:rPr>
        <w:t xml:space="preserve">UNICEF MRE ACTIVITIES: FINDINGS AND RECOMMENDATIONS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VI.A</w:t>
      </w:r>
      <w:r>
        <w:rPr>
          <w:rFonts w:ascii="Calibri" w:hAnsi="Calibri"/>
        </w:rPr>
        <w:tab/>
      </w:r>
      <w:r>
        <w:rPr>
          <w:rFonts w:ascii="Calibri" w:hAnsi="Calibri"/>
        </w:rPr>
        <w:tab/>
      </w:r>
      <w:r w:rsidRPr="00D61C8A">
        <w:rPr>
          <w:rFonts w:ascii="Calibri" w:hAnsi="Calibri"/>
        </w:rPr>
        <w:t>Definition, goals and objectives of MRE</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VI.B</w:t>
      </w:r>
      <w:r>
        <w:rPr>
          <w:rFonts w:ascii="Calibri" w:hAnsi="Calibri"/>
        </w:rPr>
        <w:tab/>
      </w:r>
      <w:r>
        <w:rPr>
          <w:rFonts w:ascii="Calibri" w:hAnsi="Calibri"/>
        </w:rPr>
        <w:tab/>
      </w:r>
      <w:r w:rsidRPr="00D61C8A">
        <w:rPr>
          <w:rFonts w:ascii="Calibri" w:hAnsi="Calibri"/>
        </w:rPr>
        <w:t>Description of UNICEF MRE activities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VI.B.1</w:t>
      </w:r>
      <w:r>
        <w:rPr>
          <w:rFonts w:ascii="Calibri" w:hAnsi="Calibri"/>
          <w:sz w:val="20"/>
          <w:szCs w:val="20"/>
        </w:rPr>
        <w:tab/>
      </w:r>
      <w:r w:rsidRPr="00D61C8A">
        <w:rPr>
          <w:rFonts w:ascii="Calibri" w:hAnsi="Calibri"/>
          <w:sz w:val="20"/>
          <w:szCs w:val="20"/>
        </w:rPr>
        <w:t xml:space="preserve">Development and distribution of MRE materials and a minimum set of messages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VI.B.1.a</w:t>
      </w:r>
      <w:r>
        <w:rPr>
          <w:rFonts w:ascii="Calibri" w:hAnsi="Calibri"/>
          <w:sz w:val="20"/>
          <w:szCs w:val="20"/>
        </w:rPr>
        <w:tab/>
      </w:r>
      <w:r w:rsidRPr="00D61C8A">
        <w:rPr>
          <w:rFonts w:ascii="Calibri" w:hAnsi="Calibri"/>
          <w:sz w:val="20"/>
          <w:szCs w:val="20"/>
        </w:rPr>
        <w:t xml:space="preserve">Development of MRE materials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VI.B.1.a </w:t>
      </w:r>
      <w:r w:rsidRPr="00D61C8A">
        <w:rPr>
          <w:rFonts w:ascii="Calibri" w:hAnsi="Calibri"/>
          <w:sz w:val="20"/>
          <w:szCs w:val="20"/>
        </w:rPr>
        <w:t xml:space="preserve">(1) Flipcharts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VI.B.1.a </w:t>
      </w:r>
      <w:r w:rsidRPr="00D61C8A">
        <w:rPr>
          <w:rFonts w:ascii="Calibri" w:hAnsi="Calibri"/>
          <w:sz w:val="20"/>
          <w:szCs w:val="20"/>
        </w:rPr>
        <w:t xml:space="preserve">(2) Leaflet </w:t>
      </w:r>
    </w:p>
    <w:p w:rsidR="00B454FB" w:rsidRPr="00D61C8A" w:rsidRDefault="00B454FB" w:rsidP="00B454FB">
      <w:pPr>
        <w:pStyle w:val="Heading5"/>
        <w:numPr>
          <w:ilvl w:val="0"/>
          <w:numId w:val="0"/>
        </w:numPr>
        <w:spacing w:before="0"/>
        <w:ind w:left="432" w:firstLine="144"/>
        <w:rPr>
          <w:rFonts w:ascii="Calibri" w:hAnsi="Calibri"/>
          <w:sz w:val="20"/>
          <w:szCs w:val="20"/>
        </w:rPr>
      </w:pPr>
      <w:r>
        <w:rPr>
          <w:rFonts w:ascii="Calibri" w:hAnsi="Calibri"/>
          <w:sz w:val="20"/>
          <w:szCs w:val="20"/>
        </w:rPr>
        <w:t xml:space="preserve">VI.B.1.a </w:t>
      </w:r>
      <w:r w:rsidRPr="00D61C8A">
        <w:rPr>
          <w:rFonts w:ascii="Calibri" w:hAnsi="Calibri"/>
          <w:sz w:val="20"/>
          <w:szCs w:val="20"/>
        </w:rPr>
        <w:t>(3) User guide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VI.B.1.b</w:t>
      </w:r>
      <w:r>
        <w:rPr>
          <w:rFonts w:ascii="Calibri" w:hAnsi="Calibri"/>
          <w:sz w:val="20"/>
          <w:szCs w:val="20"/>
        </w:rPr>
        <w:tab/>
      </w:r>
      <w:r w:rsidRPr="00D61C8A">
        <w:rPr>
          <w:rFonts w:ascii="Calibri" w:hAnsi="Calibri"/>
          <w:sz w:val="20"/>
          <w:szCs w:val="20"/>
        </w:rPr>
        <w:t xml:space="preserve">Production, distribution and use of MRE materials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VI.B.1.c</w:t>
      </w:r>
      <w:r>
        <w:rPr>
          <w:rFonts w:ascii="Calibri" w:hAnsi="Calibri"/>
          <w:sz w:val="20"/>
          <w:szCs w:val="20"/>
        </w:rPr>
        <w:tab/>
      </w:r>
      <w:r w:rsidRPr="00D61C8A">
        <w:rPr>
          <w:rFonts w:ascii="Calibri" w:hAnsi="Calibri"/>
          <w:sz w:val="20"/>
          <w:szCs w:val="20"/>
        </w:rPr>
        <w:t xml:space="preserve">Development of minimum set of messages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VI.B.2</w:t>
      </w:r>
      <w:r>
        <w:rPr>
          <w:rFonts w:ascii="Calibri" w:hAnsi="Calibri"/>
          <w:sz w:val="20"/>
          <w:szCs w:val="20"/>
        </w:rPr>
        <w:tab/>
      </w:r>
      <w:r w:rsidRPr="00D61C8A">
        <w:rPr>
          <w:rFonts w:ascii="Calibri" w:hAnsi="Calibri"/>
          <w:sz w:val="20"/>
          <w:szCs w:val="20"/>
        </w:rPr>
        <w:t xml:space="preserve">Coordination of emergency, regular and systematic MRE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VI.B.2.a</w:t>
      </w:r>
      <w:r>
        <w:rPr>
          <w:rFonts w:ascii="Calibri" w:hAnsi="Calibri"/>
          <w:sz w:val="20"/>
          <w:szCs w:val="20"/>
        </w:rPr>
        <w:tab/>
      </w:r>
      <w:r w:rsidRPr="00D61C8A">
        <w:rPr>
          <w:rFonts w:ascii="Calibri" w:hAnsi="Calibri"/>
          <w:sz w:val="20"/>
          <w:szCs w:val="20"/>
        </w:rPr>
        <w:t>Training and capacity building for MRE personnel</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VI.B.2.b</w:t>
      </w:r>
      <w:r>
        <w:rPr>
          <w:rFonts w:ascii="Calibri" w:hAnsi="Calibri"/>
          <w:sz w:val="20"/>
          <w:szCs w:val="20"/>
        </w:rPr>
        <w:tab/>
      </w:r>
      <w:r w:rsidRPr="00D61C8A">
        <w:rPr>
          <w:rFonts w:ascii="Calibri" w:hAnsi="Calibri"/>
          <w:sz w:val="20"/>
          <w:szCs w:val="20"/>
        </w:rPr>
        <w:t xml:space="preserve"> Coordination of emergency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VI.B.2.c</w:t>
      </w:r>
      <w:r>
        <w:rPr>
          <w:rFonts w:ascii="Calibri" w:hAnsi="Calibri"/>
          <w:sz w:val="20"/>
          <w:szCs w:val="20"/>
        </w:rPr>
        <w:tab/>
      </w:r>
      <w:r w:rsidRPr="00D61C8A">
        <w:rPr>
          <w:rFonts w:ascii="Calibri" w:hAnsi="Calibri"/>
          <w:sz w:val="20"/>
          <w:szCs w:val="20"/>
        </w:rPr>
        <w:t>Coordination of regular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VI.B.2.d</w:t>
      </w:r>
      <w:r>
        <w:rPr>
          <w:rFonts w:ascii="Calibri" w:hAnsi="Calibri"/>
          <w:sz w:val="20"/>
          <w:szCs w:val="20"/>
        </w:rPr>
        <w:tab/>
      </w:r>
      <w:r w:rsidRPr="00D61C8A">
        <w:rPr>
          <w:rFonts w:ascii="Calibri" w:hAnsi="Calibri"/>
          <w:sz w:val="20"/>
          <w:szCs w:val="20"/>
        </w:rPr>
        <w:t xml:space="preserve"> Coordination of systematic MRE</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VI.B.</w:t>
      </w:r>
      <w:r w:rsidRPr="00D61C8A">
        <w:rPr>
          <w:rFonts w:ascii="Calibri" w:hAnsi="Calibri"/>
          <w:sz w:val="20"/>
          <w:szCs w:val="20"/>
        </w:rPr>
        <w:t xml:space="preserve">3. Coordination of MRE </w:t>
      </w:r>
      <w:r>
        <w:rPr>
          <w:rFonts w:ascii="Calibri" w:hAnsi="Calibri"/>
          <w:sz w:val="20"/>
          <w:szCs w:val="20"/>
        </w:rPr>
        <w:t xml:space="preserve">sign and </w:t>
      </w:r>
      <w:r w:rsidRPr="00D61C8A">
        <w:rPr>
          <w:rFonts w:ascii="Calibri" w:hAnsi="Calibri"/>
          <w:sz w:val="20"/>
          <w:szCs w:val="20"/>
        </w:rPr>
        <w:t>media campaigns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VI.B.</w:t>
      </w:r>
      <w:r w:rsidRPr="00D61C8A">
        <w:rPr>
          <w:rFonts w:ascii="Calibri" w:hAnsi="Calibri"/>
          <w:sz w:val="20"/>
          <w:szCs w:val="20"/>
        </w:rPr>
        <w:t xml:space="preserve">4. Monitoring and evaluation of MRE activities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VI.B.4.a</w:t>
      </w:r>
      <w:r>
        <w:rPr>
          <w:rFonts w:ascii="Calibri" w:hAnsi="Calibri"/>
          <w:sz w:val="20"/>
          <w:szCs w:val="20"/>
        </w:rPr>
        <w:tab/>
      </w:r>
      <w:r w:rsidRPr="00D61C8A">
        <w:rPr>
          <w:rFonts w:ascii="Calibri" w:hAnsi="Calibri"/>
          <w:sz w:val="20"/>
          <w:szCs w:val="20"/>
        </w:rPr>
        <w:t>Monitoring coverage of emergency and regular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VI.B.4.b</w:t>
      </w:r>
      <w:r>
        <w:rPr>
          <w:rFonts w:ascii="Calibri" w:hAnsi="Calibri"/>
          <w:sz w:val="20"/>
          <w:szCs w:val="20"/>
        </w:rPr>
        <w:tab/>
      </w:r>
      <w:r w:rsidRPr="00D61C8A">
        <w:rPr>
          <w:rFonts w:ascii="Calibri" w:hAnsi="Calibri"/>
          <w:sz w:val="20"/>
          <w:szCs w:val="20"/>
        </w:rPr>
        <w:t>Monitoring coverage of systematic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VI.B.4.c</w:t>
      </w:r>
      <w:r>
        <w:rPr>
          <w:rFonts w:ascii="Calibri" w:hAnsi="Calibri"/>
          <w:sz w:val="20"/>
          <w:szCs w:val="20"/>
        </w:rPr>
        <w:tab/>
      </w:r>
      <w:r w:rsidRPr="00D61C8A">
        <w:rPr>
          <w:rFonts w:ascii="Calibri" w:hAnsi="Calibri"/>
          <w:sz w:val="20"/>
          <w:szCs w:val="20"/>
        </w:rPr>
        <w:t>Mapping coverage of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VI.B.4.d</w:t>
      </w:r>
      <w:r>
        <w:rPr>
          <w:rFonts w:ascii="Calibri" w:hAnsi="Calibri"/>
          <w:sz w:val="20"/>
          <w:szCs w:val="20"/>
        </w:rPr>
        <w:tab/>
      </w:r>
      <w:r w:rsidRPr="00D61C8A">
        <w:rPr>
          <w:rFonts w:ascii="Calibri" w:hAnsi="Calibri"/>
          <w:sz w:val="20"/>
          <w:szCs w:val="20"/>
        </w:rPr>
        <w:t>Monitoring quality of MRE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VI.B.4.e</w:t>
      </w:r>
      <w:r>
        <w:rPr>
          <w:rFonts w:ascii="Calibri" w:hAnsi="Calibri"/>
          <w:sz w:val="20"/>
          <w:szCs w:val="20"/>
        </w:rPr>
        <w:tab/>
      </w:r>
      <w:r w:rsidRPr="00D61C8A">
        <w:rPr>
          <w:rFonts w:ascii="Calibri" w:hAnsi="Calibri"/>
          <w:sz w:val="20"/>
          <w:szCs w:val="20"/>
        </w:rPr>
        <w:t>External evaluation of UNICEF MRE activities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VI.B.5</w:t>
      </w:r>
      <w:r>
        <w:rPr>
          <w:rFonts w:ascii="Calibri" w:hAnsi="Calibri"/>
          <w:sz w:val="20"/>
          <w:szCs w:val="20"/>
        </w:rPr>
        <w:tab/>
      </w:r>
      <w:r w:rsidRPr="00D61C8A">
        <w:rPr>
          <w:rFonts w:ascii="Calibri" w:hAnsi="Calibri"/>
          <w:sz w:val="20"/>
          <w:szCs w:val="20"/>
        </w:rPr>
        <w:t xml:space="preserve">Conduct of KAP surveys </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VI.C</w:t>
      </w:r>
      <w:r>
        <w:rPr>
          <w:rFonts w:ascii="Calibri" w:hAnsi="Calibri"/>
        </w:rPr>
        <w:tab/>
      </w:r>
      <w:r>
        <w:rPr>
          <w:rFonts w:ascii="Calibri" w:hAnsi="Calibri"/>
        </w:rPr>
        <w:tab/>
      </w:r>
      <w:r>
        <w:rPr>
          <w:rFonts w:ascii="Calibri" w:hAnsi="Calibri"/>
        </w:rPr>
        <w:tab/>
      </w:r>
      <w:r w:rsidRPr="00D61C8A">
        <w:rPr>
          <w:rFonts w:ascii="Calibri" w:hAnsi="Calibri"/>
        </w:rPr>
        <w:t>Evaluation of UNICEF MRE activities</w:t>
      </w:r>
    </w:p>
    <w:p w:rsidR="00B454FB" w:rsidRPr="00B145C5" w:rsidRDefault="00B454FB" w:rsidP="00B454FB">
      <w:pPr>
        <w:pStyle w:val="Heading3"/>
        <w:numPr>
          <w:ilvl w:val="0"/>
          <w:numId w:val="0"/>
        </w:numPr>
        <w:spacing w:before="0"/>
        <w:ind w:left="144" w:firstLine="144"/>
        <w:rPr>
          <w:rFonts w:ascii="Calibri" w:hAnsi="Calibri"/>
          <w:sz w:val="20"/>
          <w:szCs w:val="20"/>
        </w:rPr>
      </w:pPr>
      <w:r w:rsidRPr="00B145C5">
        <w:rPr>
          <w:rFonts w:ascii="Calibri" w:hAnsi="Calibri"/>
          <w:sz w:val="20"/>
          <w:szCs w:val="20"/>
        </w:rPr>
        <w:t>VI.C.1</w:t>
      </w:r>
      <w:r w:rsidRPr="00B145C5">
        <w:rPr>
          <w:rFonts w:ascii="Calibri" w:hAnsi="Calibri"/>
          <w:sz w:val="20"/>
          <w:szCs w:val="20"/>
        </w:rPr>
        <w:tab/>
      </w:r>
      <w:r>
        <w:rPr>
          <w:rFonts w:ascii="Calibri" w:hAnsi="Calibri"/>
          <w:sz w:val="20"/>
          <w:szCs w:val="20"/>
        </w:rPr>
        <w:t>Relevance</w:t>
      </w:r>
      <w:r w:rsidRPr="00B145C5">
        <w:rPr>
          <w:rFonts w:ascii="Calibri" w:hAnsi="Calibri"/>
          <w:sz w:val="20"/>
          <w:szCs w:val="20"/>
        </w:rPr>
        <w:t xml:space="preserve"> </w:t>
      </w:r>
    </w:p>
    <w:p w:rsidR="00B454FB" w:rsidRPr="00D61C8A" w:rsidRDefault="00B454FB" w:rsidP="00B454FB">
      <w:pPr>
        <w:pStyle w:val="Heading3"/>
        <w:numPr>
          <w:ilvl w:val="0"/>
          <w:numId w:val="0"/>
        </w:numPr>
        <w:spacing w:before="0"/>
        <w:ind w:left="144" w:firstLine="144"/>
        <w:rPr>
          <w:rFonts w:ascii="Calibri" w:hAnsi="Calibri"/>
          <w:sz w:val="20"/>
          <w:szCs w:val="20"/>
        </w:rPr>
      </w:pPr>
      <w:r w:rsidRPr="00D434D0">
        <w:rPr>
          <w:rFonts w:ascii="Calibri" w:hAnsi="Calibri"/>
          <w:sz w:val="20"/>
          <w:szCs w:val="20"/>
        </w:rPr>
        <w:t>VI.C.2</w:t>
      </w:r>
      <w:r w:rsidRPr="00D434D0">
        <w:rPr>
          <w:rFonts w:ascii="Calibri" w:hAnsi="Calibri"/>
          <w:sz w:val="20"/>
          <w:szCs w:val="20"/>
        </w:rPr>
        <w:tab/>
      </w:r>
      <w:r w:rsidRPr="00D61C8A">
        <w:rPr>
          <w:rFonts w:ascii="Calibri" w:hAnsi="Calibri"/>
          <w:sz w:val="20"/>
          <w:szCs w:val="20"/>
        </w:rPr>
        <w:t>Effectiveness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VI.C.3</w:t>
      </w:r>
      <w:r>
        <w:rPr>
          <w:rFonts w:ascii="Calibri" w:hAnsi="Calibri"/>
          <w:sz w:val="20"/>
          <w:szCs w:val="20"/>
        </w:rPr>
        <w:tab/>
      </w:r>
      <w:r w:rsidRPr="00D61C8A">
        <w:rPr>
          <w:rFonts w:ascii="Calibri" w:hAnsi="Calibri"/>
          <w:sz w:val="20"/>
          <w:szCs w:val="20"/>
        </w:rPr>
        <w:t>Efficiency</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VI.C.4</w:t>
      </w:r>
      <w:r>
        <w:rPr>
          <w:rFonts w:ascii="Calibri" w:hAnsi="Calibri"/>
          <w:sz w:val="20"/>
          <w:szCs w:val="20"/>
        </w:rPr>
        <w:tab/>
      </w:r>
      <w:r w:rsidRPr="00D61C8A">
        <w:rPr>
          <w:rFonts w:ascii="Calibri" w:hAnsi="Calibri"/>
          <w:sz w:val="20"/>
          <w:szCs w:val="20"/>
        </w:rPr>
        <w:t>Impact</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VI.C.5</w:t>
      </w:r>
      <w:r>
        <w:rPr>
          <w:rFonts w:ascii="Calibri" w:hAnsi="Calibri"/>
          <w:sz w:val="20"/>
          <w:szCs w:val="20"/>
        </w:rPr>
        <w:tab/>
      </w:r>
      <w:r w:rsidRPr="00D61C8A">
        <w:rPr>
          <w:rFonts w:ascii="Calibri" w:hAnsi="Calibri"/>
          <w:sz w:val="20"/>
          <w:szCs w:val="20"/>
        </w:rPr>
        <w:t>Sustainability</w:t>
      </w: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VI.D</w:t>
      </w:r>
      <w:r>
        <w:rPr>
          <w:rFonts w:ascii="Calibri" w:hAnsi="Calibri"/>
        </w:rPr>
        <w:tab/>
      </w:r>
      <w:r>
        <w:rPr>
          <w:rFonts w:ascii="Calibri" w:hAnsi="Calibri"/>
        </w:rPr>
        <w:tab/>
      </w:r>
      <w:r w:rsidRPr="00D61C8A">
        <w:rPr>
          <w:rFonts w:ascii="Calibri" w:hAnsi="Calibri"/>
        </w:rPr>
        <w:t>Recommendations</w:t>
      </w:r>
    </w:p>
    <w:p w:rsidR="00B454FB" w:rsidRPr="00D61C8A" w:rsidRDefault="00B454FB" w:rsidP="00B454FB">
      <w:pPr>
        <w:pStyle w:val="Heading1"/>
        <w:numPr>
          <w:ilvl w:val="0"/>
          <w:numId w:val="0"/>
        </w:numPr>
        <w:spacing w:before="0"/>
        <w:rPr>
          <w:rFonts w:ascii="Calibri" w:hAnsi="Calibri"/>
        </w:rPr>
      </w:pPr>
      <w:r w:rsidRPr="00D61C8A">
        <w:rPr>
          <w:rFonts w:ascii="Calibri" w:hAnsi="Calibri"/>
        </w:rPr>
        <w:t>VII</w:t>
      </w:r>
      <w:r>
        <w:rPr>
          <w:rFonts w:ascii="Calibri" w:hAnsi="Calibri"/>
        </w:rPr>
        <w:tab/>
      </w:r>
      <w:r>
        <w:rPr>
          <w:rFonts w:ascii="Calibri" w:hAnsi="Calibri"/>
        </w:rPr>
        <w:tab/>
      </w:r>
      <w:r w:rsidRPr="00D61C8A">
        <w:rPr>
          <w:rFonts w:ascii="Calibri" w:hAnsi="Calibri"/>
        </w:rPr>
        <w:t>ACKNOWLEDGMENTS</w:t>
      </w:r>
    </w:p>
    <w:p w:rsidR="00B454FB" w:rsidRPr="00D61C8A" w:rsidRDefault="00B454FB" w:rsidP="00B454FB">
      <w:pPr>
        <w:pStyle w:val="Heading1"/>
        <w:numPr>
          <w:ilvl w:val="0"/>
          <w:numId w:val="0"/>
        </w:numPr>
        <w:spacing w:before="0"/>
        <w:rPr>
          <w:rFonts w:ascii="Calibri" w:hAnsi="Calibri"/>
        </w:rPr>
      </w:pPr>
      <w:r w:rsidRPr="00D61C8A">
        <w:rPr>
          <w:rFonts w:ascii="Calibri" w:hAnsi="Calibri"/>
        </w:rPr>
        <w:t>VII</w:t>
      </w:r>
      <w:r>
        <w:rPr>
          <w:rFonts w:ascii="Calibri" w:hAnsi="Calibri"/>
        </w:rPr>
        <w:t>I</w:t>
      </w:r>
      <w:r>
        <w:rPr>
          <w:rFonts w:ascii="Calibri" w:hAnsi="Calibri"/>
        </w:rPr>
        <w:tab/>
      </w:r>
      <w:r>
        <w:rPr>
          <w:rFonts w:ascii="Calibri" w:hAnsi="Calibri"/>
        </w:rPr>
        <w:tab/>
      </w:r>
      <w:r w:rsidRPr="00D61C8A">
        <w:rPr>
          <w:rFonts w:ascii="Calibri" w:hAnsi="Calibri"/>
        </w:rPr>
        <w:t>REFERENCES</w:t>
      </w:r>
    </w:p>
    <w:p w:rsidR="00B454FB" w:rsidRPr="00E83A67" w:rsidRDefault="00B454FB" w:rsidP="00B454FB">
      <w:pPr>
        <w:rPr>
          <w:rFonts w:ascii="Calibri" w:hAnsi="Calibri"/>
          <w:b/>
          <w:sz w:val="20"/>
          <w:szCs w:val="20"/>
        </w:rPr>
      </w:pPr>
    </w:p>
    <w:p w:rsidR="00B454FB" w:rsidRPr="00D61C8A" w:rsidRDefault="00B454FB" w:rsidP="00B454FB">
      <w:pPr>
        <w:pStyle w:val="Heading1"/>
        <w:numPr>
          <w:ilvl w:val="0"/>
          <w:numId w:val="0"/>
        </w:numPr>
        <w:spacing w:before="0"/>
        <w:rPr>
          <w:rFonts w:ascii="Calibri" w:hAnsi="Calibri"/>
        </w:rPr>
      </w:pPr>
      <w:r>
        <w:rPr>
          <w:rFonts w:ascii="Calibri" w:hAnsi="Calibri"/>
        </w:rPr>
        <w:br w:type="page"/>
      </w:r>
      <w:r>
        <w:rPr>
          <w:rFonts w:ascii="Calibri" w:hAnsi="Calibri"/>
        </w:rPr>
        <w:lastRenderedPageBreak/>
        <w:t>IX</w:t>
      </w:r>
      <w:r>
        <w:rPr>
          <w:rFonts w:ascii="Calibri" w:hAnsi="Calibri"/>
        </w:rPr>
        <w:tab/>
      </w:r>
      <w:r>
        <w:rPr>
          <w:rFonts w:ascii="Calibri" w:hAnsi="Calibri"/>
        </w:rPr>
        <w:tab/>
      </w:r>
      <w:r>
        <w:rPr>
          <w:rFonts w:ascii="Calibri" w:hAnsi="Calibri"/>
        </w:rPr>
        <w:tab/>
      </w:r>
      <w:r w:rsidRPr="00D61C8A">
        <w:rPr>
          <w:rFonts w:ascii="Calibri" w:hAnsi="Calibri"/>
        </w:rPr>
        <w:t xml:space="preserve">APPENDICES </w:t>
      </w:r>
    </w:p>
    <w:p w:rsidR="00B454FB" w:rsidRPr="00D61C8A" w:rsidRDefault="00B454FB" w:rsidP="00B454FB">
      <w:pPr>
        <w:pStyle w:val="Heading2"/>
        <w:numPr>
          <w:ilvl w:val="0"/>
          <w:numId w:val="0"/>
        </w:numPr>
        <w:spacing w:before="0"/>
        <w:ind w:left="144"/>
        <w:rPr>
          <w:rFonts w:ascii="Calibri" w:hAnsi="Calibri"/>
        </w:rPr>
      </w:pPr>
      <w:r>
        <w:rPr>
          <w:rFonts w:ascii="Calibri" w:hAnsi="Calibri"/>
        </w:rPr>
        <w:t>APPENDIX A</w:t>
      </w:r>
      <w:r>
        <w:rPr>
          <w:rFonts w:ascii="Calibri" w:hAnsi="Calibri"/>
        </w:rPr>
        <w:tab/>
      </w:r>
      <w:r>
        <w:rPr>
          <w:rFonts w:ascii="Calibri" w:hAnsi="Calibri"/>
        </w:rPr>
        <w:tab/>
      </w:r>
      <w:r w:rsidRPr="00D61C8A">
        <w:rPr>
          <w:rFonts w:ascii="Calibri" w:hAnsi="Calibri"/>
        </w:rPr>
        <w:t>DOCUMENTS RELATED TO EVALUATION OF VICTIM-ACTIVATED EXPLOSION INJURY SURVEILLANCE SYSTEM (VAEISS)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A.1</w:t>
      </w:r>
      <w:r>
        <w:rPr>
          <w:rFonts w:ascii="Calibri" w:hAnsi="Calibri"/>
          <w:sz w:val="20"/>
          <w:szCs w:val="20"/>
        </w:rPr>
        <w:tab/>
      </w:r>
      <w:r>
        <w:rPr>
          <w:rFonts w:ascii="Calibri" w:hAnsi="Calibri"/>
          <w:sz w:val="20"/>
          <w:szCs w:val="20"/>
        </w:rPr>
        <w:tab/>
      </w:r>
      <w:r w:rsidRPr="00D61C8A">
        <w:rPr>
          <w:rFonts w:ascii="Calibri" w:hAnsi="Calibri"/>
          <w:sz w:val="20"/>
          <w:szCs w:val="20"/>
        </w:rPr>
        <w:t xml:space="preserve">Summary of VAEISS data, 2006-2009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A.2</w:t>
      </w:r>
      <w:r>
        <w:rPr>
          <w:rFonts w:ascii="Calibri" w:hAnsi="Calibri"/>
          <w:sz w:val="20"/>
          <w:szCs w:val="20"/>
        </w:rPr>
        <w:tab/>
      </w:r>
      <w:r>
        <w:rPr>
          <w:rFonts w:ascii="Calibri" w:hAnsi="Calibri"/>
          <w:sz w:val="20"/>
          <w:szCs w:val="20"/>
        </w:rPr>
        <w:tab/>
      </w:r>
      <w:r w:rsidRPr="00D61C8A">
        <w:rPr>
          <w:rFonts w:ascii="Calibri" w:hAnsi="Calibri"/>
          <w:sz w:val="20"/>
          <w:szCs w:val="20"/>
        </w:rPr>
        <w:t xml:space="preserve">INSEC visual representation of VAEISS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A.3</w:t>
      </w:r>
      <w:r>
        <w:rPr>
          <w:rFonts w:ascii="Calibri" w:hAnsi="Calibri"/>
          <w:sz w:val="20"/>
          <w:szCs w:val="20"/>
        </w:rPr>
        <w:tab/>
      </w:r>
      <w:r>
        <w:rPr>
          <w:rFonts w:ascii="Calibri" w:hAnsi="Calibri"/>
          <w:sz w:val="20"/>
          <w:szCs w:val="20"/>
        </w:rPr>
        <w:tab/>
      </w:r>
      <w:r w:rsidRPr="00D61C8A">
        <w:rPr>
          <w:rFonts w:ascii="Calibri" w:hAnsi="Calibri"/>
          <w:sz w:val="20"/>
          <w:szCs w:val="20"/>
        </w:rPr>
        <w:t xml:space="preserve">Data collection form for VAEISS (Nepali version)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A.4</w:t>
      </w:r>
      <w:r>
        <w:rPr>
          <w:rFonts w:ascii="Calibri" w:hAnsi="Calibri"/>
          <w:sz w:val="20"/>
          <w:szCs w:val="20"/>
        </w:rPr>
        <w:tab/>
      </w:r>
      <w:r>
        <w:rPr>
          <w:rFonts w:ascii="Calibri" w:hAnsi="Calibri"/>
          <w:sz w:val="20"/>
          <w:szCs w:val="20"/>
        </w:rPr>
        <w:tab/>
      </w:r>
      <w:r w:rsidRPr="00D61C8A">
        <w:rPr>
          <w:rFonts w:ascii="Calibri" w:hAnsi="Calibri"/>
          <w:sz w:val="20"/>
          <w:szCs w:val="20"/>
        </w:rPr>
        <w:t xml:space="preserve">Data collection form for VAEISS (English version)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A.5</w:t>
      </w:r>
      <w:r>
        <w:rPr>
          <w:rFonts w:ascii="Calibri" w:hAnsi="Calibri"/>
          <w:sz w:val="20"/>
          <w:szCs w:val="20"/>
        </w:rPr>
        <w:tab/>
      </w:r>
      <w:r>
        <w:rPr>
          <w:rFonts w:ascii="Calibri" w:hAnsi="Calibri"/>
          <w:sz w:val="20"/>
          <w:szCs w:val="20"/>
        </w:rPr>
        <w:tab/>
      </w:r>
      <w:r w:rsidRPr="00D61C8A">
        <w:rPr>
          <w:rFonts w:ascii="Calibri" w:hAnsi="Calibri"/>
          <w:sz w:val="20"/>
          <w:szCs w:val="20"/>
        </w:rPr>
        <w:t xml:space="preserve">Case study from VAEISS 2009 annual report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A.6</w:t>
      </w:r>
      <w:r>
        <w:rPr>
          <w:rFonts w:ascii="Calibri" w:hAnsi="Calibri"/>
          <w:sz w:val="20"/>
          <w:szCs w:val="20"/>
        </w:rPr>
        <w:tab/>
      </w:r>
      <w:r>
        <w:rPr>
          <w:rFonts w:ascii="Calibri" w:hAnsi="Calibri"/>
          <w:sz w:val="20"/>
          <w:szCs w:val="20"/>
        </w:rPr>
        <w:tab/>
      </w:r>
      <w:r w:rsidRPr="00D61C8A">
        <w:rPr>
          <w:rFonts w:ascii="Calibri" w:hAnsi="Calibri"/>
          <w:sz w:val="20"/>
          <w:szCs w:val="20"/>
        </w:rPr>
        <w:t xml:space="preserve">March 2010 VAEISS monthly flash report </w:t>
      </w:r>
    </w:p>
    <w:p w:rsidR="00B454FB" w:rsidRPr="00D61C8A" w:rsidRDefault="00B454FB" w:rsidP="00B454FB">
      <w:pPr>
        <w:pStyle w:val="Heading3"/>
        <w:numPr>
          <w:ilvl w:val="0"/>
          <w:numId w:val="0"/>
        </w:numPr>
        <w:spacing w:before="0"/>
        <w:ind w:left="144" w:firstLine="144"/>
        <w:rPr>
          <w:rFonts w:ascii="Calibri" w:hAnsi="Calibri"/>
          <w:sz w:val="20"/>
          <w:szCs w:val="20"/>
        </w:rPr>
      </w:pPr>
    </w:p>
    <w:p w:rsidR="00B454FB" w:rsidRPr="00D61C8A" w:rsidRDefault="00B454FB" w:rsidP="00B454FB">
      <w:pPr>
        <w:pStyle w:val="Heading2"/>
        <w:numPr>
          <w:ilvl w:val="0"/>
          <w:numId w:val="0"/>
        </w:numPr>
        <w:spacing w:before="0"/>
        <w:ind w:firstLine="144"/>
        <w:rPr>
          <w:rFonts w:ascii="Calibri" w:hAnsi="Calibri"/>
        </w:rPr>
      </w:pPr>
      <w:r>
        <w:rPr>
          <w:rFonts w:ascii="Calibri" w:hAnsi="Calibri"/>
        </w:rPr>
        <w:t>APPENDIX B</w:t>
      </w:r>
      <w:r>
        <w:rPr>
          <w:rFonts w:ascii="Calibri" w:hAnsi="Calibri"/>
        </w:rPr>
        <w:tab/>
      </w:r>
      <w:r>
        <w:rPr>
          <w:rFonts w:ascii="Calibri" w:hAnsi="Calibri"/>
        </w:rPr>
        <w:tab/>
      </w:r>
      <w:r w:rsidRPr="00D61C8A">
        <w:rPr>
          <w:rFonts w:ascii="Calibri" w:hAnsi="Calibri"/>
        </w:rPr>
        <w:t>DOCUMENTS RELATED TO EVALUATI</w:t>
      </w:r>
      <w:r>
        <w:rPr>
          <w:rFonts w:ascii="Calibri" w:hAnsi="Calibri"/>
        </w:rPr>
        <w:t xml:space="preserve">ON OF MRE </w:t>
      </w:r>
      <w:r w:rsidRPr="00D61C8A">
        <w:rPr>
          <w:rFonts w:ascii="Calibri" w:hAnsi="Calibri"/>
        </w:rPr>
        <w:t>ACTIVITIES</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B.1</w:t>
      </w:r>
      <w:r>
        <w:rPr>
          <w:rFonts w:ascii="Calibri" w:hAnsi="Calibri"/>
          <w:sz w:val="20"/>
          <w:szCs w:val="20"/>
        </w:rPr>
        <w:tab/>
      </w:r>
      <w:r>
        <w:rPr>
          <w:rFonts w:ascii="Calibri" w:hAnsi="Calibri"/>
          <w:sz w:val="20"/>
          <w:szCs w:val="20"/>
        </w:rPr>
        <w:tab/>
      </w:r>
      <w:r w:rsidRPr="00D61C8A">
        <w:rPr>
          <w:rFonts w:ascii="Calibri" w:hAnsi="Calibri"/>
          <w:sz w:val="20"/>
          <w:szCs w:val="20"/>
        </w:rPr>
        <w:t>MRE messages and materials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B.1.a</w:t>
      </w:r>
      <w:r>
        <w:rPr>
          <w:rFonts w:ascii="Calibri" w:hAnsi="Calibri"/>
          <w:sz w:val="20"/>
          <w:szCs w:val="20"/>
        </w:rPr>
        <w:tab/>
      </w:r>
      <w:r>
        <w:rPr>
          <w:rFonts w:ascii="Calibri" w:hAnsi="Calibri"/>
          <w:sz w:val="20"/>
          <w:szCs w:val="20"/>
        </w:rPr>
        <w:tab/>
        <w:t>MAJWG</w:t>
      </w:r>
      <w:r w:rsidRPr="00D61C8A">
        <w:rPr>
          <w:rFonts w:ascii="Calibri" w:hAnsi="Calibri"/>
          <w:sz w:val="20"/>
          <w:szCs w:val="20"/>
        </w:rPr>
        <w:t xml:space="preserve"> MRE leaflet</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B.1.b</w:t>
      </w:r>
      <w:r>
        <w:rPr>
          <w:rFonts w:ascii="Calibri" w:hAnsi="Calibri"/>
          <w:sz w:val="20"/>
          <w:szCs w:val="20"/>
        </w:rPr>
        <w:tab/>
      </w:r>
      <w:r>
        <w:rPr>
          <w:rFonts w:ascii="Calibri" w:hAnsi="Calibri"/>
          <w:sz w:val="20"/>
          <w:szCs w:val="20"/>
        </w:rPr>
        <w:tab/>
        <w:t>MAJWG</w:t>
      </w:r>
      <w:r w:rsidRPr="00D61C8A">
        <w:rPr>
          <w:rFonts w:ascii="Calibri" w:hAnsi="Calibri"/>
          <w:sz w:val="20"/>
          <w:szCs w:val="20"/>
        </w:rPr>
        <w:t xml:space="preserve"> MRE flipcharts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B.1.c</w:t>
      </w:r>
      <w:r>
        <w:rPr>
          <w:rFonts w:ascii="Calibri" w:hAnsi="Calibri"/>
          <w:sz w:val="20"/>
          <w:szCs w:val="20"/>
        </w:rPr>
        <w:tab/>
      </w:r>
      <w:r>
        <w:rPr>
          <w:rFonts w:ascii="Calibri" w:hAnsi="Calibri"/>
          <w:sz w:val="20"/>
          <w:szCs w:val="20"/>
        </w:rPr>
        <w:tab/>
        <w:t>MAJWG</w:t>
      </w:r>
      <w:r w:rsidRPr="00D61C8A">
        <w:rPr>
          <w:rFonts w:ascii="Calibri" w:hAnsi="Calibri"/>
          <w:sz w:val="20"/>
          <w:szCs w:val="20"/>
        </w:rPr>
        <w:t xml:space="preserve"> MRE user guide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B.1.d</w:t>
      </w:r>
      <w:r>
        <w:rPr>
          <w:rFonts w:ascii="Calibri" w:hAnsi="Calibri"/>
          <w:sz w:val="20"/>
          <w:szCs w:val="20"/>
        </w:rPr>
        <w:tab/>
      </w:r>
      <w:r>
        <w:rPr>
          <w:rFonts w:ascii="Calibri" w:hAnsi="Calibri"/>
          <w:sz w:val="20"/>
          <w:szCs w:val="20"/>
        </w:rPr>
        <w:tab/>
        <w:t>MAJWG</w:t>
      </w:r>
      <w:r w:rsidRPr="00D61C8A">
        <w:rPr>
          <w:rFonts w:ascii="Calibri" w:hAnsi="Calibri"/>
          <w:sz w:val="20"/>
          <w:szCs w:val="20"/>
        </w:rPr>
        <w:t xml:space="preserve"> emergency MRE kit user guide</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B.1.e</w:t>
      </w:r>
      <w:r>
        <w:rPr>
          <w:rFonts w:ascii="Calibri" w:hAnsi="Calibri"/>
          <w:sz w:val="20"/>
          <w:szCs w:val="20"/>
        </w:rPr>
        <w:tab/>
      </w:r>
      <w:r>
        <w:rPr>
          <w:rFonts w:ascii="Calibri" w:hAnsi="Calibri"/>
          <w:sz w:val="20"/>
          <w:szCs w:val="20"/>
        </w:rPr>
        <w:tab/>
        <w:t>MAJWG</w:t>
      </w:r>
      <w:r w:rsidRPr="00D61C8A">
        <w:rPr>
          <w:rFonts w:ascii="Calibri" w:hAnsi="Calibri"/>
          <w:sz w:val="20"/>
          <w:szCs w:val="20"/>
        </w:rPr>
        <w:t xml:space="preserve"> MRE poster</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B.1.f</w:t>
      </w:r>
      <w:r w:rsidRPr="00D61C8A">
        <w:rPr>
          <w:rFonts w:ascii="Calibri" w:hAnsi="Calibri"/>
          <w:sz w:val="20"/>
          <w:szCs w:val="20"/>
        </w:rPr>
        <w:t xml:space="preserve"> </w:t>
      </w:r>
      <w:r>
        <w:rPr>
          <w:rFonts w:ascii="Calibri" w:hAnsi="Calibri"/>
          <w:sz w:val="20"/>
          <w:szCs w:val="20"/>
        </w:rPr>
        <w:tab/>
      </w:r>
      <w:r>
        <w:rPr>
          <w:rFonts w:ascii="Calibri" w:hAnsi="Calibri"/>
          <w:sz w:val="20"/>
          <w:szCs w:val="20"/>
        </w:rPr>
        <w:tab/>
      </w:r>
      <w:r w:rsidRPr="00D61C8A">
        <w:rPr>
          <w:rFonts w:ascii="Calibri" w:hAnsi="Calibri"/>
          <w:sz w:val="20"/>
          <w:szCs w:val="20"/>
        </w:rPr>
        <w:t xml:space="preserve">Summary of messages in </w:t>
      </w:r>
      <w:r>
        <w:rPr>
          <w:rFonts w:ascii="Calibri" w:hAnsi="Calibri"/>
          <w:sz w:val="20"/>
          <w:szCs w:val="20"/>
        </w:rPr>
        <w:t>MAJWG</w:t>
      </w:r>
      <w:r w:rsidRPr="00D61C8A">
        <w:rPr>
          <w:rFonts w:ascii="Calibri" w:hAnsi="Calibri"/>
          <w:sz w:val="20"/>
          <w:szCs w:val="20"/>
        </w:rPr>
        <w:t xml:space="preserve"> MRE flipcharts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B.1.g</w:t>
      </w:r>
      <w:r>
        <w:rPr>
          <w:rFonts w:ascii="Calibri" w:hAnsi="Calibri"/>
          <w:sz w:val="20"/>
          <w:szCs w:val="20"/>
        </w:rPr>
        <w:tab/>
      </w:r>
      <w:r>
        <w:rPr>
          <w:rFonts w:ascii="Calibri" w:hAnsi="Calibri"/>
          <w:sz w:val="20"/>
          <w:szCs w:val="20"/>
        </w:rPr>
        <w:tab/>
      </w:r>
      <w:r w:rsidRPr="00D61C8A">
        <w:rPr>
          <w:rFonts w:ascii="Calibri" w:hAnsi="Calibri"/>
          <w:sz w:val="20"/>
          <w:szCs w:val="20"/>
        </w:rPr>
        <w:t xml:space="preserve">Ban Landmines Campaign Nepal MRE leaflet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B.2</w:t>
      </w:r>
      <w:r>
        <w:rPr>
          <w:rFonts w:ascii="Calibri" w:hAnsi="Calibri"/>
          <w:sz w:val="20"/>
          <w:szCs w:val="20"/>
        </w:rPr>
        <w:tab/>
      </w:r>
      <w:r>
        <w:rPr>
          <w:rFonts w:ascii="Calibri" w:hAnsi="Calibri"/>
          <w:sz w:val="20"/>
          <w:szCs w:val="20"/>
        </w:rPr>
        <w:tab/>
      </w:r>
      <w:r w:rsidRPr="00D61C8A">
        <w:rPr>
          <w:rFonts w:ascii="Calibri" w:hAnsi="Calibri"/>
          <w:sz w:val="20"/>
          <w:szCs w:val="20"/>
        </w:rPr>
        <w:t>MRE monitoring activities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B.2.a</w:t>
      </w:r>
      <w:r>
        <w:rPr>
          <w:rFonts w:ascii="Calibri" w:hAnsi="Calibri"/>
          <w:sz w:val="20"/>
          <w:szCs w:val="20"/>
        </w:rPr>
        <w:tab/>
      </w:r>
      <w:r>
        <w:rPr>
          <w:rFonts w:ascii="Calibri" w:hAnsi="Calibri"/>
          <w:sz w:val="20"/>
          <w:szCs w:val="20"/>
        </w:rPr>
        <w:tab/>
      </w:r>
      <w:r w:rsidRPr="00D61C8A">
        <w:rPr>
          <w:rFonts w:ascii="Calibri" w:hAnsi="Calibri"/>
          <w:sz w:val="20"/>
          <w:szCs w:val="20"/>
        </w:rPr>
        <w:t>Reporting of emergency/regular MRE activities form</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B.2.b</w:t>
      </w:r>
      <w:r>
        <w:rPr>
          <w:rFonts w:ascii="Calibri" w:hAnsi="Calibri"/>
          <w:sz w:val="20"/>
          <w:szCs w:val="20"/>
        </w:rPr>
        <w:tab/>
      </w:r>
      <w:r>
        <w:rPr>
          <w:rFonts w:ascii="Calibri" w:hAnsi="Calibri"/>
          <w:sz w:val="20"/>
          <w:szCs w:val="20"/>
        </w:rPr>
        <w:tab/>
      </w:r>
      <w:r w:rsidRPr="00D61C8A">
        <w:rPr>
          <w:rFonts w:ascii="Calibri" w:hAnsi="Calibri"/>
          <w:sz w:val="20"/>
          <w:szCs w:val="20"/>
        </w:rPr>
        <w:t>Reporting of MRE activities in school form</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B.2.c</w:t>
      </w:r>
      <w:r>
        <w:rPr>
          <w:rFonts w:ascii="Calibri" w:hAnsi="Calibri"/>
          <w:sz w:val="20"/>
          <w:szCs w:val="20"/>
        </w:rPr>
        <w:tab/>
      </w:r>
      <w:r>
        <w:rPr>
          <w:rFonts w:ascii="Calibri" w:hAnsi="Calibri"/>
          <w:sz w:val="20"/>
          <w:szCs w:val="20"/>
        </w:rPr>
        <w:tab/>
      </w:r>
      <w:r w:rsidRPr="00D61C8A">
        <w:rPr>
          <w:rFonts w:ascii="Calibri" w:hAnsi="Calibri"/>
          <w:sz w:val="20"/>
          <w:szCs w:val="20"/>
        </w:rPr>
        <w:t>Summary sheet: MRE in school</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B.2.d</w:t>
      </w:r>
      <w:r>
        <w:rPr>
          <w:rFonts w:ascii="Calibri" w:hAnsi="Calibri"/>
          <w:sz w:val="20"/>
          <w:szCs w:val="20"/>
        </w:rPr>
        <w:tab/>
      </w:r>
      <w:r>
        <w:rPr>
          <w:rFonts w:ascii="Calibri" w:hAnsi="Calibri"/>
          <w:sz w:val="20"/>
          <w:szCs w:val="20"/>
        </w:rPr>
        <w:tab/>
        <w:t>Assessment of MRE session form</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B.2.e</w:t>
      </w:r>
      <w:r>
        <w:rPr>
          <w:rFonts w:ascii="Calibri" w:hAnsi="Calibri"/>
          <w:sz w:val="20"/>
          <w:szCs w:val="20"/>
        </w:rPr>
        <w:tab/>
      </w:r>
      <w:r>
        <w:rPr>
          <w:rFonts w:ascii="Calibri" w:hAnsi="Calibri"/>
          <w:sz w:val="20"/>
          <w:szCs w:val="20"/>
        </w:rPr>
        <w:tab/>
      </w:r>
      <w:r w:rsidRPr="00D61C8A">
        <w:rPr>
          <w:rFonts w:ascii="Calibri" w:hAnsi="Calibri"/>
          <w:sz w:val="20"/>
          <w:szCs w:val="20"/>
        </w:rPr>
        <w:t>Risk education individual test</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B.2.f</w:t>
      </w:r>
      <w:r>
        <w:rPr>
          <w:rFonts w:ascii="Calibri" w:hAnsi="Calibri"/>
          <w:sz w:val="20"/>
          <w:szCs w:val="20"/>
        </w:rPr>
        <w:tab/>
      </w:r>
      <w:r>
        <w:rPr>
          <w:rFonts w:ascii="Calibri" w:hAnsi="Calibri"/>
          <w:sz w:val="20"/>
          <w:szCs w:val="20"/>
        </w:rPr>
        <w:tab/>
      </w:r>
      <w:r w:rsidRPr="00D61C8A">
        <w:rPr>
          <w:rFonts w:ascii="Calibri" w:hAnsi="Calibri"/>
          <w:sz w:val="20"/>
          <w:szCs w:val="20"/>
        </w:rPr>
        <w:t>Emergency/regular MRE monitoring mechanism</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B.2.g</w:t>
      </w:r>
      <w:r>
        <w:rPr>
          <w:rFonts w:ascii="Calibri" w:hAnsi="Calibri"/>
          <w:sz w:val="20"/>
          <w:szCs w:val="20"/>
        </w:rPr>
        <w:tab/>
      </w:r>
      <w:r>
        <w:rPr>
          <w:rFonts w:ascii="Calibri" w:hAnsi="Calibri"/>
          <w:sz w:val="20"/>
          <w:szCs w:val="20"/>
        </w:rPr>
        <w:tab/>
      </w:r>
      <w:r w:rsidRPr="00D61C8A">
        <w:rPr>
          <w:rFonts w:ascii="Calibri" w:hAnsi="Calibri"/>
          <w:sz w:val="20"/>
          <w:szCs w:val="20"/>
        </w:rPr>
        <w:t xml:space="preserve">Systematic MRE monitoring mechanism </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B.2.h</w:t>
      </w:r>
      <w:r>
        <w:rPr>
          <w:rFonts w:ascii="Calibri" w:hAnsi="Calibri"/>
          <w:sz w:val="20"/>
          <w:szCs w:val="20"/>
        </w:rPr>
        <w:tab/>
      </w:r>
      <w:r>
        <w:rPr>
          <w:rFonts w:ascii="Calibri" w:hAnsi="Calibri"/>
          <w:sz w:val="20"/>
          <w:szCs w:val="20"/>
        </w:rPr>
        <w:tab/>
      </w:r>
      <w:r w:rsidRPr="00D61C8A">
        <w:rPr>
          <w:rFonts w:ascii="Calibri" w:hAnsi="Calibri"/>
          <w:sz w:val="20"/>
          <w:szCs w:val="20"/>
        </w:rPr>
        <w:t>MRE monitoring district maps</w:t>
      </w:r>
    </w:p>
    <w:p w:rsidR="00B454FB" w:rsidRPr="00D61C8A" w:rsidRDefault="00B454FB" w:rsidP="00B454FB">
      <w:pPr>
        <w:pStyle w:val="Heading4"/>
        <w:numPr>
          <w:ilvl w:val="0"/>
          <w:numId w:val="0"/>
        </w:numPr>
        <w:spacing w:before="0"/>
        <w:ind w:left="288" w:firstLine="144"/>
        <w:rPr>
          <w:rFonts w:ascii="Calibri" w:hAnsi="Calibri"/>
          <w:sz w:val="20"/>
          <w:szCs w:val="20"/>
        </w:rPr>
      </w:pPr>
      <w:r>
        <w:rPr>
          <w:rFonts w:ascii="Calibri" w:hAnsi="Calibri"/>
          <w:sz w:val="20"/>
          <w:szCs w:val="20"/>
        </w:rPr>
        <w:t>Appendix B.2.i</w:t>
      </w:r>
      <w:r>
        <w:rPr>
          <w:rFonts w:ascii="Calibri" w:hAnsi="Calibri"/>
          <w:sz w:val="20"/>
          <w:szCs w:val="20"/>
        </w:rPr>
        <w:tab/>
      </w:r>
      <w:r>
        <w:rPr>
          <w:rFonts w:ascii="Calibri" w:hAnsi="Calibri"/>
          <w:sz w:val="20"/>
          <w:szCs w:val="20"/>
        </w:rPr>
        <w:tab/>
      </w:r>
      <w:r w:rsidRPr="00D61C8A">
        <w:rPr>
          <w:rFonts w:ascii="Calibri" w:hAnsi="Calibri"/>
          <w:sz w:val="20"/>
          <w:szCs w:val="20"/>
        </w:rPr>
        <w:t xml:space="preserve">Telephonic FAQ for MRE focal points </w:t>
      </w:r>
    </w:p>
    <w:p w:rsidR="00B454FB" w:rsidRPr="00D61C8A" w:rsidRDefault="00B454FB" w:rsidP="00B454FB">
      <w:pPr>
        <w:pStyle w:val="Heading3"/>
        <w:numPr>
          <w:ilvl w:val="0"/>
          <w:numId w:val="0"/>
        </w:numPr>
        <w:spacing w:before="0"/>
        <w:ind w:left="144" w:firstLine="144"/>
        <w:rPr>
          <w:rFonts w:ascii="Calibri" w:hAnsi="Calibri"/>
          <w:sz w:val="20"/>
          <w:szCs w:val="20"/>
        </w:rPr>
      </w:pPr>
      <w:r>
        <w:rPr>
          <w:rFonts w:ascii="Calibri" w:hAnsi="Calibri"/>
          <w:sz w:val="20"/>
          <w:szCs w:val="20"/>
        </w:rPr>
        <w:t>Appendix B.3</w:t>
      </w:r>
      <w:r>
        <w:rPr>
          <w:rFonts w:ascii="Calibri" w:hAnsi="Calibri"/>
          <w:sz w:val="20"/>
          <w:szCs w:val="20"/>
        </w:rPr>
        <w:tab/>
      </w:r>
      <w:r>
        <w:rPr>
          <w:rFonts w:ascii="Calibri" w:hAnsi="Calibri"/>
          <w:sz w:val="20"/>
          <w:szCs w:val="20"/>
        </w:rPr>
        <w:tab/>
      </w:r>
      <w:r w:rsidRPr="00D61C8A">
        <w:rPr>
          <w:rFonts w:ascii="Calibri" w:hAnsi="Calibri"/>
          <w:sz w:val="20"/>
          <w:szCs w:val="20"/>
        </w:rPr>
        <w:t>2007 KAP survey summary statistics and recommendations</w:t>
      </w:r>
    </w:p>
    <w:p w:rsidR="00B454FB" w:rsidRPr="00D61C8A" w:rsidRDefault="00B454FB" w:rsidP="00B454FB">
      <w:pPr>
        <w:rPr>
          <w:rFonts w:ascii="Calibri" w:hAnsi="Calibri"/>
        </w:rPr>
      </w:pPr>
    </w:p>
    <w:p w:rsidR="00B454FB" w:rsidRPr="00D61C8A" w:rsidRDefault="00B454FB" w:rsidP="00B454FB">
      <w:pPr>
        <w:spacing w:line="276" w:lineRule="auto"/>
        <w:rPr>
          <w:rFonts w:ascii="Calibri" w:hAnsi="Calibri"/>
          <w:b/>
          <w:bCs/>
          <w:color w:val="365F91"/>
          <w:sz w:val="28"/>
          <w:szCs w:val="28"/>
        </w:rPr>
      </w:pPr>
      <w:r w:rsidRPr="00D61C8A">
        <w:rPr>
          <w:rFonts w:ascii="Calibri" w:hAnsi="Calibri"/>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II.A</w:t>
      </w:r>
      <w:r>
        <w:rPr>
          <w:rFonts w:ascii="Calibri" w:hAnsi="Calibri"/>
        </w:rPr>
        <w:tab/>
      </w:r>
      <w:r>
        <w:rPr>
          <w:rFonts w:ascii="Calibri" w:hAnsi="Calibri"/>
        </w:rPr>
        <w:tab/>
      </w:r>
      <w:r w:rsidRPr="00D61C8A">
        <w:rPr>
          <w:rFonts w:ascii="Calibri" w:hAnsi="Calibri"/>
        </w:rPr>
        <w:t>LIST OF ACRONYMS</w:t>
      </w:r>
    </w:p>
    <w:p w:rsidR="00B454FB" w:rsidRPr="00D61C8A" w:rsidRDefault="00B454FB" w:rsidP="00B454FB">
      <w:pPr>
        <w:rPr>
          <w:rFonts w:ascii="Calibri" w:hAnsi="Calibri"/>
        </w:rPr>
      </w:pPr>
    </w:p>
    <w:p w:rsidR="00B454FB" w:rsidRPr="00D61C8A" w:rsidRDefault="00B454FB" w:rsidP="00B454FB">
      <w:pPr>
        <w:rPr>
          <w:rFonts w:ascii="Calibri" w:hAnsi="Calibri"/>
          <w:iCs/>
          <w:sz w:val="20"/>
          <w:szCs w:val="20"/>
        </w:rPr>
      </w:pPr>
      <w:r w:rsidRPr="00D61C8A">
        <w:rPr>
          <w:rFonts w:ascii="Calibri" w:hAnsi="Calibri"/>
          <w:iCs/>
          <w:sz w:val="20"/>
          <w:szCs w:val="20"/>
        </w:rPr>
        <w:t>AMMAA = Agreement on the Monitoring of the Management of Arms and Armies</w:t>
      </w:r>
    </w:p>
    <w:p w:rsidR="00B454FB" w:rsidRPr="00D61C8A" w:rsidRDefault="00B454FB" w:rsidP="00B454FB">
      <w:pPr>
        <w:rPr>
          <w:rFonts w:ascii="Calibri" w:hAnsi="Calibri"/>
          <w:bCs/>
          <w:iCs/>
          <w:sz w:val="20"/>
          <w:szCs w:val="20"/>
        </w:rPr>
      </w:pPr>
      <w:r w:rsidRPr="00D61C8A">
        <w:rPr>
          <w:rFonts w:ascii="Calibri" w:hAnsi="Calibri"/>
          <w:bCs/>
          <w:iCs/>
          <w:sz w:val="20"/>
          <w:szCs w:val="20"/>
        </w:rPr>
        <w:t>APF = Armed Police Force</w:t>
      </w:r>
    </w:p>
    <w:p w:rsidR="00B454FB" w:rsidRPr="00D61C8A" w:rsidRDefault="00B454FB" w:rsidP="00B454FB">
      <w:pPr>
        <w:rPr>
          <w:rFonts w:ascii="Calibri" w:hAnsi="Calibri"/>
          <w:bCs/>
          <w:iCs/>
          <w:sz w:val="20"/>
          <w:szCs w:val="20"/>
        </w:rPr>
      </w:pPr>
      <w:r w:rsidRPr="00D61C8A">
        <w:rPr>
          <w:rFonts w:ascii="Calibri" w:hAnsi="Calibri"/>
          <w:bCs/>
          <w:iCs/>
          <w:sz w:val="20"/>
          <w:szCs w:val="20"/>
        </w:rPr>
        <w:t>CDC = Centers for Disease Control and Prevention</w:t>
      </w:r>
    </w:p>
    <w:p w:rsidR="00B454FB" w:rsidRPr="00D61C8A" w:rsidRDefault="00B454FB" w:rsidP="00B454FB">
      <w:pPr>
        <w:rPr>
          <w:rFonts w:ascii="Calibri" w:hAnsi="Calibri"/>
          <w:sz w:val="20"/>
          <w:szCs w:val="20"/>
        </w:rPr>
      </w:pPr>
      <w:r w:rsidRPr="00D61C8A">
        <w:rPr>
          <w:rFonts w:ascii="Calibri" w:hAnsi="Calibri"/>
          <w:sz w:val="20"/>
          <w:szCs w:val="20"/>
        </w:rPr>
        <w:t>CPA = Comprehensive Peace A</w:t>
      </w:r>
      <w:r>
        <w:rPr>
          <w:rFonts w:ascii="Calibri" w:hAnsi="Calibri"/>
          <w:sz w:val="20"/>
          <w:szCs w:val="20"/>
        </w:rPr>
        <w:t>ccord</w:t>
      </w:r>
      <w:r w:rsidRPr="00D61C8A">
        <w:rPr>
          <w:rFonts w:ascii="Calibri" w:hAnsi="Calibri"/>
          <w:sz w:val="20"/>
          <w:szCs w:val="20"/>
        </w:rPr>
        <w:br/>
        <w:t>CPN/M</w:t>
      </w:r>
      <w:r w:rsidRPr="00D61C8A">
        <w:rPr>
          <w:rFonts w:ascii="Calibri" w:eastAsia="Cambria" w:hAnsi="Calibri" w:cs="GillSansMT"/>
          <w:sz w:val="20"/>
          <w:szCs w:val="20"/>
        </w:rPr>
        <w:t xml:space="preserve"> = </w:t>
      </w:r>
      <w:r w:rsidRPr="00D61C8A">
        <w:rPr>
          <w:rFonts w:ascii="Calibri" w:hAnsi="Calibri"/>
          <w:sz w:val="20"/>
          <w:szCs w:val="20"/>
        </w:rPr>
        <w:t>Communist Party of Nepal/Maoist</w:t>
      </w:r>
    </w:p>
    <w:p w:rsidR="00B454FB" w:rsidRPr="00D61C8A" w:rsidRDefault="00B454FB" w:rsidP="00B454FB">
      <w:pPr>
        <w:rPr>
          <w:rFonts w:ascii="Calibri" w:hAnsi="Calibri"/>
          <w:sz w:val="20"/>
          <w:szCs w:val="20"/>
        </w:rPr>
      </w:pPr>
      <w:r w:rsidRPr="00D61C8A">
        <w:rPr>
          <w:rFonts w:ascii="Calibri" w:hAnsi="Calibri"/>
          <w:sz w:val="20"/>
          <w:szCs w:val="20"/>
        </w:rPr>
        <w:t>CREHPA = Center for Research on Environment Health and Population Activities</w:t>
      </w:r>
    </w:p>
    <w:p w:rsidR="00B454FB" w:rsidRDefault="00B454FB" w:rsidP="00B454FB">
      <w:pPr>
        <w:rPr>
          <w:rFonts w:ascii="Calibri" w:hAnsi="Calibri"/>
          <w:sz w:val="20"/>
          <w:szCs w:val="20"/>
        </w:rPr>
      </w:pPr>
      <w:r>
        <w:rPr>
          <w:rFonts w:ascii="Calibri" w:hAnsi="Calibri"/>
          <w:sz w:val="20"/>
          <w:szCs w:val="20"/>
        </w:rPr>
        <w:t>DO = (INSEC) documentation officer</w:t>
      </w:r>
    </w:p>
    <w:p w:rsidR="00B454FB" w:rsidRPr="00D61C8A" w:rsidRDefault="00B454FB" w:rsidP="00B454FB">
      <w:pPr>
        <w:rPr>
          <w:rFonts w:ascii="Calibri" w:hAnsi="Calibri"/>
          <w:sz w:val="20"/>
          <w:szCs w:val="20"/>
        </w:rPr>
      </w:pPr>
      <w:r w:rsidRPr="00D61C8A">
        <w:rPr>
          <w:rFonts w:ascii="Calibri" w:hAnsi="Calibri"/>
          <w:sz w:val="20"/>
          <w:szCs w:val="20"/>
        </w:rPr>
        <w:t>DOE = Department of Education</w:t>
      </w:r>
    </w:p>
    <w:p w:rsidR="00B454FB" w:rsidRPr="00D61C8A" w:rsidRDefault="00B454FB" w:rsidP="00B454FB">
      <w:pPr>
        <w:rPr>
          <w:rFonts w:ascii="Calibri" w:hAnsi="Calibri"/>
          <w:bCs/>
          <w:iCs/>
          <w:sz w:val="20"/>
          <w:szCs w:val="20"/>
        </w:rPr>
      </w:pPr>
      <w:r w:rsidRPr="00D61C8A">
        <w:rPr>
          <w:rFonts w:ascii="Calibri" w:hAnsi="Calibri"/>
          <w:sz w:val="20"/>
          <w:szCs w:val="20"/>
        </w:rPr>
        <w:t>DPO = (</w:t>
      </w:r>
      <w:r>
        <w:rPr>
          <w:rFonts w:ascii="Calibri" w:hAnsi="Calibri"/>
          <w:sz w:val="20"/>
          <w:szCs w:val="20"/>
        </w:rPr>
        <w:t>government education</w:t>
      </w:r>
      <w:r w:rsidRPr="00D61C8A">
        <w:rPr>
          <w:rFonts w:ascii="Calibri" w:hAnsi="Calibri"/>
          <w:sz w:val="20"/>
          <w:szCs w:val="20"/>
        </w:rPr>
        <w:t xml:space="preserve">) </w:t>
      </w:r>
      <w:r>
        <w:rPr>
          <w:rFonts w:ascii="Calibri" w:hAnsi="Calibri"/>
          <w:sz w:val="20"/>
          <w:szCs w:val="20"/>
        </w:rPr>
        <w:t>d</w:t>
      </w:r>
      <w:r w:rsidRPr="00D61C8A">
        <w:rPr>
          <w:rFonts w:ascii="Calibri" w:hAnsi="Calibri"/>
          <w:sz w:val="20"/>
          <w:szCs w:val="20"/>
        </w:rPr>
        <w:t xml:space="preserve">istrict </w:t>
      </w:r>
      <w:r>
        <w:rPr>
          <w:rFonts w:ascii="Calibri" w:hAnsi="Calibri"/>
          <w:sz w:val="20"/>
          <w:szCs w:val="20"/>
        </w:rPr>
        <w:t>p</w:t>
      </w:r>
      <w:r w:rsidRPr="00D61C8A">
        <w:rPr>
          <w:rFonts w:ascii="Calibri" w:hAnsi="Calibri"/>
          <w:sz w:val="20"/>
          <w:szCs w:val="20"/>
        </w:rPr>
        <w:t xml:space="preserve">lanning </w:t>
      </w:r>
      <w:r>
        <w:rPr>
          <w:rFonts w:ascii="Calibri" w:hAnsi="Calibri"/>
          <w:sz w:val="20"/>
          <w:szCs w:val="20"/>
        </w:rPr>
        <w:t>o</w:t>
      </w:r>
      <w:r w:rsidRPr="00D61C8A">
        <w:rPr>
          <w:rFonts w:ascii="Calibri" w:hAnsi="Calibri"/>
          <w:sz w:val="20"/>
          <w:szCs w:val="20"/>
        </w:rPr>
        <w:t>fficer</w:t>
      </w:r>
    </w:p>
    <w:p w:rsidR="00B454FB" w:rsidRPr="00D61C8A" w:rsidRDefault="00B454FB" w:rsidP="00B454FB">
      <w:pPr>
        <w:rPr>
          <w:rFonts w:ascii="Calibri" w:hAnsi="Calibri"/>
          <w:sz w:val="20"/>
          <w:szCs w:val="20"/>
        </w:rPr>
      </w:pPr>
      <w:r w:rsidRPr="00D61C8A">
        <w:rPr>
          <w:rFonts w:ascii="Calibri" w:hAnsi="Calibri"/>
          <w:sz w:val="20"/>
          <w:szCs w:val="20"/>
        </w:rPr>
        <w:t>DR = (INSEC) district representative</w:t>
      </w:r>
    </w:p>
    <w:p w:rsidR="00B454FB" w:rsidRPr="00D61C8A" w:rsidRDefault="00B454FB" w:rsidP="00B454FB">
      <w:pPr>
        <w:rPr>
          <w:rFonts w:ascii="Calibri" w:hAnsi="Calibri"/>
          <w:sz w:val="20"/>
          <w:szCs w:val="20"/>
        </w:rPr>
      </w:pPr>
      <w:r w:rsidRPr="00D61C8A">
        <w:rPr>
          <w:rFonts w:ascii="Calibri" w:hAnsi="Calibri"/>
          <w:sz w:val="20"/>
          <w:szCs w:val="20"/>
        </w:rPr>
        <w:t>ECHO = Humanitarian Aid department of the European Commission</w:t>
      </w:r>
    </w:p>
    <w:p w:rsidR="00B454FB" w:rsidRPr="00D61C8A" w:rsidRDefault="00B454FB" w:rsidP="00B454FB">
      <w:pPr>
        <w:rPr>
          <w:rFonts w:ascii="Calibri" w:hAnsi="Calibri"/>
          <w:sz w:val="20"/>
          <w:szCs w:val="20"/>
        </w:rPr>
      </w:pPr>
      <w:r w:rsidRPr="00D61C8A">
        <w:rPr>
          <w:rFonts w:ascii="Calibri" w:hAnsi="Calibri"/>
          <w:sz w:val="20"/>
          <w:szCs w:val="20"/>
        </w:rPr>
        <w:t>ED = explosive device(s)</w:t>
      </w:r>
    </w:p>
    <w:p w:rsidR="00B454FB" w:rsidRDefault="00B454FB" w:rsidP="00B454FB">
      <w:pPr>
        <w:rPr>
          <w:rFonts w:ascii="Calibri" w:hAnsi="Calibri"/>
          <w:sz w:val="20"/>
          <w:szCs w:val="20"/>
        </w:rPr>
      </w:pPr>
      <w:r w:rsidRPr="00D61C8A">
        <w:rPr>
          <w:rFonts w:ascii="Calibri" w:hAnsi="Calibri"/>
          <w:sz w:val="20"/>
          <w:szCs w:val="20"/>
        </w:rPr>
        <w:t>E-MINE = Electronic Mine Action Network</w:t>
      </w:r>
    </w:p>
    <w:p w:rsidR="00B454FB" w:rsidRPr="00D61C8A" w:rsidRDefault="00B454FB" w:rsidP="00B454FB">
      <w:pPr>
        <w:rPr>
          <w:rFonts w:ascii="Calibri" w:hAnsi="Calibri"/>
          <w:sz w:val="20"/>
          <w:szCs w:val="20"/>
        </w:rPr>
      </w:pPr>
      <w:r>
        <w:rPr>
          <w:rFonts w:ascii="Calibri" w:hAnsi="Calibri"/>
          <w:sz w:val="20"/>
          <w:szCs w:val="20"/>
        </w:rPr>
        <w:t xml:space="preserve">EOD = </w:t>
      </w:r>
      <w:r>
        <w:rPr>
          <w:rFonts w:ascii="Calibri" w:hAnsi="Calibri"/>
          <w:sz w:val="20"/>
          <w:szCs w:val="20"/>
          <w:lang w:val="en-GB"/>
        </w:rPr>
        <w:t>explosive ordnance disposal</w:t>
      </w:r>
    </w:p>
    <w:p w:rsidR="00B454FB" w:rsidRPr="00D61C8A" w:rsidRDefault="00B454FB" w:rsidP="00B454FB">
      <w:pPr>
        <w:rPr>
          <w:rFonts w:ascii="Calibri" w:hAnsi="Calibri"/>
          <w:sz w:val="20"/>
          <w:szCs w:val="20"/>
        </w:rPr>
      </w:pPr>
      <w:r w:rsidRPr="00D61C8A">
        <w:rPr>
          <w:rFonts w:ascii="Calibri" w:hAnsi="Calibri"/>
          <w:sz w:val="20"/>
          <w:szCs w:val="20"/>
        </w:rPr>
        <w:t>FPMA = (INSEC) focal point for mine action</w:t>
      </w:r>
    </w:p>
    <w:p w:rsidR="00B454FB" w:rsidRPr="00D61C8A" w:rsidRDefault="00B454FB" w:rsidP="00B454FB">
      <w:pPr>
        <w:rPr>
          <w:rFonts w:ascii="Calibri" w:hAnsi="Calibri"/>
          <w:bCs/>
          <w:iCs/>
          <w:sz w:val="20"/>
          <w:szCs w:val="20"/>
        </w:rPr>
      </w:pPr>
      <w:r w:rsidRPr="00D61C8A">
        <w:rPr>
          <w:rFonts w:ascii="Calibri" w:hAnsi="Calibri"/>
          <w:sz w:val="20"/>
          <w:szCs w:val="20"/>
        </w:rPr>
        <w:t>ERW</w:t>
      </w:r>
      <w:r w:rsidRPr="00D61C8A">
        <w:rPr>
          <w:rFonts w:ascii="Calibri" w:eastAsia="Cambria" w:hAnsi="Calibri" w:cs="GillSansMT"/>
          <w:sz w:val="20"/>
          <w:szCs w:val="20"/>
        </w:rPr>
        <w:t xml:space="preserve"> = </w:t>
      </w:r>
      <w:r w:rsidRPr="00D61C8A">
        <w:rPr>
          <w:rFonts w:ascii="Calibri" w:hAnsi="Calibri"/>
          <w:sz w:val="20"/>
          <w:szCs w:val="20"/>
        </w:rPr>
        <w:t>explosive remnants of war</w:t>
      </w:r>
    </w:p>
    <w:p w:rsidR="00B454FB" w:rsidRPr="00D61C8A" w:rsidRDefault="00B454FB" w:rsidP="00B454FB">
      <w:pPr>
        <w:rPr>
          <w:rFonts w:ascii="Calibri" w:hAnsi="Calibri"/>
          <w:sz w:val="20"/>
          <w:szCs w:val="20"/>
        </w:rPr>
      </w:pPr>
      <w:r w:rsidRPr="00D61C8A">
        <w:rPr>
          <w:rFonts w:ascii="Calibri" w:hAnsi="Calibri"/>
          <w:sz w:val="20"/>
          <w:szCs w:val="20"/>
        </w:rPr>
        <w:t>HI = Handicap International</w:t>
      </w:r>
    </w:p>
    <w:p w:rsidR="00B454FB" w:rsidRPr="00215B75" w:rsidRDefault="00B454FB" w:rsidP="00B454FB">
      <w:pPr>
        <w:rPr>
          <w:rFonts w:ascii="Calibri" w:hAnsi="Calibri"/>
          <w:bCs/>
          <w:iCs/>
          <w:sz w:val="20"/>
          <w:szCs w:val="20"/>
        </w:rPr>
      </w:pPr>
      <w:r w:rsidRPr="00215B75">
        <w:rPr>
          <w:rFonts w:ascii="Calibri" w:hAnsi="Calibri"/>
          <w:bCs/>
          <w:iCs/>
          <w:sz w:val="20"/>
          <w:szCs w:val="20"/>
        </w:rPr>
        <w:t xml:space="preserve">HimRights = </w:t>
      </w:r>
      <w:r w:rsidRPr="00215B75">
        <w:rPr>
          <w:rFonts w:ascii="Calibri" w:hAnsi="Calibri"/>
          <w:sz w:val="20"/>
          <w:szCs w:val="20"/>
        </w:rPr>
        <w:t>Himalayan Human Rights Monitors</w:t>
      </w:r>
    </w:p>
    <w:p w:rsidR="00B454FB" w:rsidRPr="00D61C8A" w:rsidRDefault="00B454FB" w:rsidP="00B454FB">
      <w:pPr>
        <w:rPr>
          <w:rFonts w:ascii="Calibri" w:hAnsi="Calibri"/>
          <w:sz w:val="20"/>
          <w:szCs w:val="20"/>
        </w:rPr>
      </w:pPr>
      <w:r w:rsidRPr="00D61C8A">
        <w:rPr>
          <w:rFonts w:ascii="Calibri" w:hAnsi="Calibri"/>
          <w:sz w:val="20"/>
          <w:szCs w:val="20"/>
        </w:rPr>
        <w:t>ICRC = International Committee of the Red Cross</w:t>
      </w:r>
    </w:p>
    <w:p w:rsidR="00B454FB" w:rsidRPr="00D61C8A" w:rsidRDefault="00B454FB" w:rsidP="00B454FB">
      <w:pPr>
        <w:rPr>
          <w:rFonts w:ascii="Calibri" w:hAnsi="Calibri"/>
          <w:sz w:val="20"/>
          <w:szCs w:val="20"/>
        </w:rPr>
      </w:pPr>
      <w:r w:rsidRPr="00D61C8A">
        <w:rPr>
          <w:rFonts w:ascii="Calibri" w:hAnsi="Calibri"/>
          <w:sz w:val="20"/>
          <w:szCs w:val="20"/>
        </w:rPr>
        <w:t>IED =</w:t>
      </w:r>
      <w:r>
        <w:rPr>
          <w:rFonts w:ascii="Calibri" w:hAnsi="Calibri"/>
          <w:sz w:val="20"/>
          <w:szCs w:val="20"/>
        </w:rPr>
        <w:t xml:space="preserve"> Improvised explosive device(s)</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IMAS = International Mine Action Standards</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INSEC = Informal Sector Service Centre</w:t>
      </w:r>
    </w:p>
    <w:p w:rsidR="00B454FB" w:rsidRPr="00D61C8A" w:rsidRDefault="00B454FB" w:rsidP="00B454FB">
      <w:pPr>
        <w:rPr>
          <w:rFonts w:ascii="Calibri" w:hAnsi="Calibri"/>
          <w:sz w:val="20"/>
          <w:szCs w:val="20"/>
        </w:rPr>
      </w:pPr>
      <w:r w:rsidRPr="00D61C8A">
        <w:rPr>
          <w:rFonts w:ascii="Calibri" w:hAnsi="Calibri"/>
          <w:sz w:val="20"/>
          <w:szCs w:val="20"/>
        </w:rPr>
        <w:t>KAP</w:t>
      </w:r>
      <w:r w:rsidRPr="00D61C8A">
        <w:rPr>
          <w:rFonts w:ascii="Calibri" w:eastAsia="Cambria" w:hAnsi="Calibri" w:cs="GillSansMT"/>
          <w:sz w:val="20"/>
          <w:szCs w:val="20"/>
        </w:rPr>
        <w:t xml:space="preserve"> (survey) = </w:t>
      </w:r>
      <w:r w:rsidRPr="00D61C8A">
        <w:rPr>
          <w:rFonts w:ascii="Calibri" w:hAnsi="Calibri"/>
          <w:sz w:val="20"/>
          <w:szCs w:val="20"/>
        </w:rPr>
        <w:t>knowledge, attitudes and practices (survey)</w:t>
      </w:r>
    </w:p>
    <w:p w:rsidR="00B454FB" w:rsidRPr="00D61C8A" w:rsidRDefault="00B454FB" w:rsidP="00B454FB">
      <w:pPr>
        <w:rPr>
          <w:rFonts w:ascii="Calibri" w:hAnsi="Calibri"/>
          <w:sz w:val="20"/>
          <w:szCs w:val="20"/>
        </w:rPr>
      </w:pPr>
      <w:r w:rsidRPr="00D61C8A">
        <w:rPr>
          <w:rFonts w:ascii="Calibri" w:hAnsi="Calibri"/>
          <w:sz w:val="20"/>
          <w:szCs w:val="20"/>
        </w:rPr>
        <w:t>MA = mine action</w:t>
      </w:r>
    </w:p>
    <w:p w:rsidR="00B454FB" w:rsidRPr="00D61C8A" w:rsidRDefault="00B454FB" w:rsidP="00B454FB">
      <w:pPr>
        <w:rPr>
          <w:rFonts w:ascii="Calibri" w:hAnsi="Calibri"/>
          <w:sz w:val="20"/>
          <w:szCs w:val="20"/>
        </w:rPr>
      </w:pPr>
      <w:r w:rsidRPr="00D61C8A">
        <w:rPr>
          <w:rFonts w:ascii="Calibri" w:hAnsi="Calibri"/>
          <w:sz w:val="20"/>
          <w:szCs w:val="20"/>
        </w:rPr>
        <w:t>MAJWG = Mine Action Joint Working Group</w:t>
      </w:r>
    </w:p>
    <w:p w:rsidR="00B454FB" w:rsidRPr="00D61C8A" w:rsidRDefault="00B454FB" w:rsidP="00B454FB">
      <w:pPr>
        <w:rPr>
          <w:rFonts w:ascii="Calibri" w:hAnsi="Calibri"/>
          <w:bCs/>
          <w:iCs/>
          <w:sz w:val="20"/>
          <w:szCs w:val="20"/>
        </w:rPr>
      </w:pPr>
      <w:r w:rsidRPr="00D61C8A">
        <w:rPr>
          <w:rFonts w:ascii="Calibri" w:hAnsi="Calibri"/>
          <w:bCs/>
          <w:iCs/>
          <w:sz w:val="20"/>
          <w:szCs w:val="20"/>
        </w:rPr>
        <w:t>MO = (UNICEF) monitoring officer</w:t>
      </w:r>
    </w:p>
    <w:p w:rsidR="00B454FB" w:rsidRDefault="00B454FB" w:rsidP="00B454FB">
      <w:pPr>
        <w:rPr>
          <w:rFonts w:ascii="Calibri" w:hAnsi="Calibri"/>
          <w:bCs/>
          <w:iCs/>
          <w:sz w:val="20"/>
          <w:szCs w:val="20"/>
        </w:rPr>
      </w:pPr>
      <w:r w:rsidRPr="00D61C8A">
        <w:rPr>
          <w:rFonts w:ascii="Calibri" w:hAnsi="Calibri"/>
          <w:bCs/>
          <w:iCs/>
          <w:sz w:val="20"/>
          <w:szCs w:val="20"/>
        </w:rPr>
        <w:t>MOE = Ministry of Education</w:t>
      </w:r>
    </w:p>
    <w:p w:rsidR="00024565" w:rsidRPr="00D61C8A" w:rsidRDefault="00024565" w:rsidP="00B454FB">
      <w:pPr>
        <w:rPr>
          <w:rFonts w:ascii="Calibri" w:hAnsi="Calibri"/>
          <w:bCs/>
          <w:iCs/>
          <w:sz w:val="20"/>
          <w:szCs w:val="20"/>
        </w:rPr>
      </w:pPr>
      <w:r>
        <w:rPr>
          <w:rFonts w:ascii="Calibri" w:hAnsi="Calibri"/>
          <w:bCs/>
          <w:iCs/>
          <w:sz w:val="20"/>
          <w:szCs w:val="20"/>
        </w:rPr>
        <w:t>MoPR = Ministry of Peace and Reconstruction</w:t>
      </w:r>
    </w:p>
    <w:p w:rsidR="00B454FB" w:rsidRPr="00D61C8A" w:rsidRDefault="00B454FB" w:rsidP="00B454FB">
      <w:pPr>
        <w:rPr>
          <w:rFonts w:ascii="Calibri" w:hAnsi="Calibri"/>
          <w:sz w:val="20"/>
          <w:szCs w:val="20"/>
        </w:rPr>
      </w:pPr>
      <w:r w:rsidRPr="00D61C8A">
        <w:rPr>
          <w:rFonts w:ascii="Calibri" w:hAnsi="Calibri"/>
          <w:bCs/>
          <w:iCs/>
          <w:sz w:val="20"/>
          <w:szCs w:val="20"/>
        </w:rPr>
        <w:t>MRE</w:t>
      </w:r>
      <w:r w:rsidRPr="00D61C8A">
        <w:rPr>
          <w:rFonts w:ascii="Calibri" w:eastAsia="Cambria" w:hAnsi="Calibri" w:cs="GillSansMT"/>
          <w:sz w:val="20"/>
          <w:szCs w:val="20"/>
        </w:rPr>
        <w:t xml:space="preserve"> = </w:t>
      </w:r>
      <w:r w:rsidRPr="00D61C8A">
        <w:rPr>
          <w:rFonts w:ascii="Calibri" w:hAnsi="Calibri"/>
          <w:bCs/>
          <w:iCs/>
          <w:sz w:val="20"/>
          <w:szCs w:val="20"/>
        </w:rPr>
        <w:t>mine risk education</w:t>
      </w:r>
    </w:p>
    <w:p w:rsidR="00B454FB" w:rsidRPr="00D61C8A" w:rsidRDefault="00B454FB" w:rsidP="00B454FB">
      <w:pPr>
        <w:rPr>
          <w:rFonts w:ascii="Calibri" w:hAnsi="Calibri"/>
          <w:sz w:val="20"/>
          <w:szCs w:val="20"/>
        </w:rPr>
      </w:pPr>
      <w:r w:rsidRPr="00D61C8A">
        <w:rPr>
          <w:rFonts w:ascii="Calibri" w:hAnsi="Calibri"/>
          <w:sz w:val="20"/>
          <w:szCs w:val="20"/>
        </w:rPr>
        <w:t>NA = Nepalese Army</w:t>
      </w:r>
    </w:p>
    <w:p w:rsidR="00B454FB" w:rsidRPr="00D61C8A" w:rsidRDefault="00B454FB" w:rsidP="00B454FB">
      <w:pPr>
        <w:rPr>
          <w:rFonts w:ascii="Calibri" w:hAnsi="Calibri"/>
          <w:bCs/>
          <w:iCs/>
          <w:sz w:val="20"/>
          <w:szCs w:val="20"/>
        </w:rPr>
      </w:pPr>
      <w:r w:rsidRPr="00D61C8A">
        <w:rPr>
          <w:rFonts w:ascii="Calibri" w:hAnsi="Calibri"/>
          <w:bCs/>
          <w:iCs/>
          <w:sz w:val="20"/>
          <w:szCs w:val="20"/>
        </w:rPr>
        <w:t>NCBL = Ban Landmines Campaign Nepal</w:t>
      </w:r>
    </w:p>
    <w:p w:rsidR="00B454FB" w:rsidRPr="00D61C8A" w:rsidRDefault="00B454FB" w:rsidP="00B454FB">
      <w:pPr>
        <w:rPr>
          <w:rFonts w:ascii="Calibri" w:hAnsi="Calibri"/>
          <w:iCs/>
          <w:sz w:val="20"/>
          <w:szCs w:val="20"/>
        </w:rPr>
      </w:pPr>
      <w:r w:rsidRPr="00D61C8A">
        <w:rPr>
          <w:rFonts w:ascii="Calibri" w:hAnsi="Calibri"/>
          <w:bCs/>
          <w:iCs/>
          <w:sz w:val="20"/>
          <w:szCs w:val="20"/>
        </w:rPr>
        <w:t>NGO</w:t>
      </w:r>
      <w:r w:rsidRPr="00D61C8A">
        <w:rPr>
          <w:rFonts w:ascii="Calibri" w:eastAsia="Cambria" w:hAnsi="Calibri" w:cs="GillSansMT"/>
          <w:sz w:val="20"/>
          <w:szCs w:val="20"/>
        </w:rPr>
        <w:t xml:space="preserve"> = </w:t>
      </w:r>
      <w:r>
        <w:rPr>
          <w:rFonts w:ascii="Calibri" w:hAnsi="Calibri"/>
          <w:bCs/>
          <w:iCs/>
          <w:sz w:val="20"/>
          <w:szCs w:val="20"/>
        </w:rPr>
        <w:t>n</w:t>
      </w:r>
      <w:r w:rsidRPr="00D61C8A">
        <w:rPr>
          <w:rFonts w:ascii="Calibri" w:hAnsi="Calibri"/>
          <w:bCs/>
          <w:iCs/>
          <w:sz w:val="20"/>
          <w:szCs w:val="20"/>
        </w:rPr>
        <w:t>on-governmental organization</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NMAA = National Mine Action Authority</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NPR = Nepalese rupee(s)</w:t>
      </w:r>
    </w:p>
    <w:p w:rsidR="00B454FB" w:rsidRPr="00D61C8A" w:rsidRDefault="00B454FB" w:rsidP="00B454FB">
      <w:pPr>
        <w:autoSpaceDE w:val="0"/>
        <w:autoSpaceDN w:val="0"/>
        <w:adjustRightInd w:val="0"/>
        <w:rPr>
          <w:rFonts w:ascii="Calibri" w:eastAsia="Cambria" w:hAnsi="Calibri" w:cs="GillSansMT"/>
          <w:sz w:val="20"/>
          <w:szCs w:val="20"/>
        </w:rPr>
      </w:pPr>
      <w:r>
        <w:rPr>
          <w:rFonts w:ascii="Calibri" w:eastAsia="Cambria" w:hAnsi="Calibri" w:cs="GillSansMT"/>
          <w:sz w:val="20"/>
          <w:szCs w:val="20"/>
        </w:rPr>
        <w:t>NRCS = Nepal</w:t>
      </w:r>
      <w:r w:rsidRPr="00D61C8A">
        <w:rPr>
          <w:rFonts w:ascii="Calibri" w:eastAsia="Cambria" w:hAnsi="Calibri" w:cs="GillSansMT"/>
          <w:sz w:val="20"/>
          <w:szCs w:val="20"/>
        </w:rPr>
        <w:t xml:space="preserve"> Red Cross Society</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NSAG = non-state armed group(s)</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PLA = People’s Liberation Army</w:t>
      </w:r>
    </w:p>
    <w:p w:rsidR="00B454FB" w:rsidRPr="00C003B7" w:rsidRDefault="00B454FB" w:rsidP="00B454FB">
      <w:pPr>
        <w:autoSpaceDE w:val="0"/>
        <w:autoSpaceDN w:val="0"/>
        <w:adjustRightInd w:val="0"/>
        <w:rPr>
          <w:rFonts w:ascii="Calibri" w:hAnsi="Calibri"/>
          <w:bCs/>
          <w:iCs/>
          <w:sz w:val="20"/>
          <w:szCs w:val="20"/>
        </w:rPr>
      </w:pPr>
      <w:r w:rsidRPr="00C003B7">
        <w:rPr>
          <w:rFonts w:ascii="Calibri" w:hAnsi="Calibri"/>
          <w:bCs/>
          <w:iCs/>
          <w:sz w:val="20"/>
          <w:szCs w:val="20"/>
        </w:rPr>
        <w:t>RED = (government) Regional Education Director</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RNA = Royal Nepalese Army</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RP = (</w:t>
      </w:r>
      <w:r>
        <w:rPr>
          <w:rFonts w:ascii="Calibri" w:eastAsia="Cambria" w:hAnsi="Calibri" w:cs="GillSansMT"/>
          <w:sz w:val="20"/>
          <w:szCs w:val="20"/>
        </w:rPr>
        <w:t>government education</w:t>
      </w:r>
      <w:r w:rsidRPr="00D61C8A">
        <w:rPr>
          <w:rFonts w:ascii="Calibri" w:eastAsia="Cambria" w:hAnsi="Calibri" w:cs="GillSansMT"/>
          <w:sz w:val="20"/>
          <w:szCs w:val="20"/>
        </w:rPr>
        <w:t xml:space="preserve">) </w:t>
      </w:r>
      <w:r>
        <w:rPr>
          <w:rFonts w:ascii="Calibri" w:eastAsia="Cambria" w:hAnsi="Calibri" w:cs="GillSansMT"/>
          <w:sz w:val="20"/>
          <w:szCs w:val="20"/>
        </w:rPr>
        <w:t>r</w:t>
      </w:r>
      <w:r w:rsidRPr="00D61C8A">
        <w:rPr>
          <w:rFonts w:ascii="Calibri" w:eastAsia="Cambria" w:hAnsi="Calibri" w:cs="GillSansMT"/>
          <w:sz w:val="20"/>
          <w:szCs w:val="20"/>
        </w:rPr>
        <w:t xml:space="preserve">esource </w:t>
      </w:r>
      <w:r>
        <w:rPr>
          <w:rFonts w:ascii="Calibri" w:eastAsia="Cambria" w:hAnsi="Calibri" w:cs="GillSansMT"/>
          <w:sz w:val="20"/>
          <w:szCs w:val="20"/>
        </w:rPr>
        <w:t>p</w:t>
      </w:r>
      <w:r w:rsidRPr="00D61C8A">
        <w:rPr>
          <w:rFonts w:ascii="Calibri" w:eastAsia="Cambria" w:hAnsi="Calibri" w:cs="GillSansMT"/>
          <w:sz w:val="20"/>
          <w:szCs w:val="20"/>
        </w:rPr>
        <w:t>erson</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 xml:space="preserve">TOR = </w:t>
      </w:r>
      <w:r>
        <w:rPr>
          <w:rFonts w:ascii="Calibri" w:eastAsia="Cambria" w:hAnsi="Calibri" w:cs="GillSansMT"/>
          <w:sz w:val="20"/>
          <w:szCs w:val="20"/>
        </w:rPr>
        <w:t>t</w:t>
      </w:r>
      <w:r w:rsidRPr="00D61C8A">
        <w:rPr>
          <w:rFonts w:ascii="Calibri" w:eastAsia="Cambria" w:hAnsi="Calibri" w:cs="GillSansMT"/>
          <w:sz w:val="20"/>
          <w:szCs w:val="20"/>
        </w:rPr>
        <w:t xml:space="preserve">erms of </w:t>
      </w:r>
      <w:r>
        <w:rPr>
          <w:rFonts w:ascii="Calibri" w:eastAsia="Cambria" w:hAnsi="Calibri" w:cs="GillSansMT"/>
          <w:sz w:val="20"/>
          <w:szCs w:val="20"/>
        </w:rPr>
        <w:t>r</w:t>
      </w:r>
      <w:r w:rsidRPr="00D61C8A">
        <w:rPr>
          <w:rFonts w:ascii="Calibri" w:eastAsia="Cambria" w:hAnsi="Calibri" w:cs="GillSansMT"/>
          <w:sz w:val="20"/>
          <w:szCs w:val="20"/>
        </w:rPr>
        <w:t>eference</w:t>
      </w:r>
    </w:p>
    <w:p w:rsidR="00B454FB" w:rsidRPr="00D61C8A" w:rsidRDefault="00B454FB" w:rsidP="00B454FB">
      <w:pPr>
        <w:autoSpaceDE w:val="0"/>
        <w:autoSpaceDN w:val="0"/>
        <w:adjustRightInd w:val="0"/>
        <w:rPr>
          <w:rFonts w:ascii="Calibri" w:eastAsia="Cambria" w:hAnsi="Calibri" w:cs="GillSansMT"/>
          <w:sz w:val="20"/>
          <w:szCs w:val="20"/>
        </w:rPr>
      </w:pPr>
      <w:r w:rsidRPr="00D61C8A">
        <w:rPr>
          <w:rFonts w:ascii="Calibri" w:eastAsia="Cambria" w:hAnsi="Calibri" w:cs="GillSansMT"/>
          <w:sz w:val="20"/>
          <w:szCs w:val="20"/>
        </w:rPr>
        <w:t>UN = United Nations</w:t>
      </w:r>
    </w:p>
    <w:p w:rsidR="00B454FB" w:rsidRPr="00D61C8A" w:rsidRDefault="00B454FB" w:rsidP="00B454FB">
      <w:pPr>
        <w:rPr>
          <w:rFonts w:ascii="Calibri" w:hAnsi="Calibri"/>
          <w:sz w:val="20"/>
          <w:szCs w:val="20"/>
        </w:rPr>
      </w:pPr>
      <w:r w:rsidRPr="00D61C8A">
        <w:rPr>
          <w:rFonts w:ascii="Calibri" w:hAnsi="Calibri"/>
          <w:sz w:val="20"/>
          <w:szCs w:val="20"/>
        </w:rPr>
        <w:t>UNDP = United Nations Development Programme</w:t>
      </w:r>
    </w:p>
    <w:p w:rsidR="00B454FB" w:rsidRPr="00D61C8A" w:rsidRDefault="00B454FB" w:rsidP="00B454FB">
      <w:pPr>
        <w:rPr>
          <w:rFonts w:ascii="Calibri" w:hAnsi="Calibri"/>
          <w:bCs/>
          <w:iCs/>
          <w:sz w:val="20"/>
          <w:szCs w:val="20"/>
        </w:rPr>
      </w:pPr>
      <w:r w:rsidRPr="00D61C8A">
        <w:rPr>
          <w:rFonts w:ascii="Calibri" w:hAnsi="Calibri"/>
          <w:sz w:val="20"/>
          <w:szCs w:val="20"/>
        </w:rPr>
        <w:t>UNICEF</w:t>
      </w:r>
      <w:r w:rsidRPr="00D61C8A">
        <w:rPr>
          <w:rFonts w:ascii="Calibri" w:eastAsia="Cambria" w:hAnsi="Calibri" w:cs="GillSansMT"/>
          <w:sz w:val="20"/>
          <w:szCs w:val="20"/>
        </w:rPr>
        <w:t xml:space="preserve"> = </w:t>
      </w:r>
      <w:r w:rsidRPr="00D61C8A">
        <w:rPr>
          <w:rFonts w:ascii="Calibri" w:hAnsi="Calibri"/>
          <w:sz w:val="20"/>
          <w:szCs w:val="20"/>
        </w:rPr>
        <w:t>United Nations Children's Fund</w:t>
      </w:r>
    </w:p>
    <w:p w:rsidR="00B454FB" w:rsidRPr="00D61C8A" w:rsidRDefault="00B454FB" w:rsidP="00B454FB">
      <w:pPr>
        <w:rPr>
          <w:rFonts w:ascii="Calibri" w:hAnsi="Calibri"/>
          <w:iCs/>
          <w:sz w:val="20"/>
          <w:szCs w:val="20"/>
        </w:rPr>
      </w:pPr>
      <w:r w:rsidRPr="00D61C8A">
        <w:rPr>
          <w:rFonts w:ascii="Calibri" w:hAnsi="Calibri"/>
          <w:iCs/>
          <w:sz w:val="20"/>
          <w:szCs w:val="20"/>
        </w:rPr>
        <w:t>UNMAT = United Nations Mine Action Team</w:t>
      </w:r>
    </w:p>
    <w:p w:rsidR="00B454FB" w:rsidRPr="00D61C8A" w:rsidRDefault="00B454FB" w:rsidP="00B454FB">
      <w:pPr>
        <w:rPr>
          <w:rFonts w:ascii="Calibri" w:hAnsi="Calibri"/>
          <w:iCs/>
          <w:sz w:val="20"/>
          <w:szCs w:val="20"/>
        </w:rPr>
      </w:pPr>
      <w:r w:rsidRPr="00D61C8A">
        <w:rPr>
          <w:rFonts w:ascii="Calibri" w:hAnsi="Calibri"/>
          <w:iCs/>
          <w:sz w:val="20"/>
          <w:szCs w:val="20"/>
        </w:rPr>
        <w:t>UNMIN</w:t>
      </w:r>
      <w:r w:rsidRPr="00D61C8A">
        <w:rPr>
          <w:rFonts w:ascii="Calibri" w:eastAsia="Cambria" w:hAnsi="Calibri" w:cs="GillSansMT"/>
          <w:sz w:val="20"/>
          <w:szCs w:val="20"/>
        </w:rPr>
        <w:t xml:space="preserve"> = </w:t>
      </w:r>
      <w:r w:rsidRPr="00D61C8A">
        <w:rPr>
          <w:rFonts w:ascii="Calibri" w:hAnsi="Calibri"/>
          <w:iCs/>
          <w:sz w:val="20"/>
          <w:szCs w:val="20"/>
        </w:rPr>
        <w:t>United Nations Mission in Nepal</w:t>
      </w:r>
    </w:p>
    <w:p w:rsidR="00B454FB" w:rsidRPr="00D61C8A" w:rsidRDefault="00B454FB" w:rsidP="00B454FB">
      <w:pPr>
        <w:rPr>
          <w:rFonts w:ascii="Calibri" w:hAnsi="Calibri"/>
          <w:color w:val="000000"/>
          <w:sz w:val="20"/>
          <w:szCs w:val="20"/>
        </w:rPr>
      </w:pPr>
      <w:r w:rsidRPr="00D61C8A">
        <w:rPr>
          <w:rFonts w:ascii="Calibri" w:hAnsi="Calibri"/>
          <w:color w:val="000000"/>
          <w:sz w:val="20"/>
          <w:szCs w:val="20"/>
        </w:rPr>
        <w:t>USD = United States dollar(s)</w:t>
      </w:r>
    </w:p>
    <w:p w:rsidR="00B454FB" w:rsidRPr="00D61C8A" w:rsidRDefault="00B454FB" w:rsidP="00B454FB">
      <w:pPr>
        <w:rPr>
          <w:rFonts w:ascii="Calibri" w:hAnsi="Calibri"/>
          <w:color w:val="000000"/>
          <w:sz w:val="20"/>
          <w:szCs w:val="20"/>
        </w:rPr>
      </w:pPr>
      <w:r w:rsidRPr="00D61C8A">
        <w:rPr>
          <w:rFonts w:ascii="Calibri" w:hAnsi="Calibri"/>
          <w:color w:val="000000"/>
          <w:sz w:val="20"/>
          <w:szCs w:val="20"/>
        </w:rPr>
        <w:t>UXO</w:t>
      </w:r>
      <w:r w:rsidRPr="00D61C8A">
        <w:rPr>
          <w:rFonts w:ascii="Calibri" w:eastAsia="Cambria" w:hAnsi="Calibri" w:cs="GillSansMT"/>
          <w:sz w:val="20"/>
          <w:szCs w:val="20"/>
        </w:rPr>
        <w:t xml:space="preserve"> = </w:t>
      </w:r>
      <w:r w:rsidRPr="00D61C8A">
        <w:rPr>
          <w:rFonts w:ascii="Calibri" w:hAnsi="Calibri"/>
          <w:color w:val="000000"/>
          <w:sz w:val="20"/>
          <w:szCs w:val="20"/>
        </w:rPr>
        <w:t>unexploded ordnance</w:t>
      </w:r>
    </w:p>
    <w:p w:rsidR="00B454FB" w:rsidRPr="00D61C8A" w:rsidRDefault="00B454FB" w:rsidP="00B454FB">
      <w:pPr>
        <w:rPr>
          <w:rFonts w:ascii="Calibri" w:hAnsi="Calibri"/>
          <w:sz w:val="20"/>
          <w:szCs w:val="20"/>
        </w:rPr>
      </w:pPr>
      <w:r w:rsidRPr="00D61C8A">
        <w:rPr>
          <w:rFonts w:ascii="Calibri" w:hAnsi="Calibri"/>
          <w:sz w:val="20"/>
          <w:szCs w:val="20"/>
        </w:rPr>
        <w:t>VA = victim assistance</w:t>
      </w:r>
    </w:p>
    <w:p w:rsidR="00B454FB" w:rsidRDefault="00B454FB" w:rsidP="00B454FB">
      <w:pPr>
        <w:rPr>
          <w:rFonts w:ascii="Calibri" w:hAnsi="Calibri"/>
          <w:bCs/>
          <w:iCs/>
          <w:sz w:val="20"/>
          <w:szCs w:val="20"/>
        </w:rPr>
      </w:pPr>
      <w:r w:rsidRPr="00D61C8A">
        <w:rPr>
          <w:rFonts w:ascii="Calibri" w:hAnsi="Calibri"/>
          <w:bCs/>
          <w:iCs/>
          <w:sz w:val="20"/>
          <w:szCs w:val="20"/>
        </w:rPr>
        <w:t>VAE = victim-activated explosion</w:t>
      </w:r>
    </w:p>
    <w:p w:rsidR="00B454FB" w:rsidRDefault="00B454FB" w:rsidP="00B454FB">
      <w:pPr>
        <w:rPr>
          <w:rFonts w:ascii="Calibri" w:hAnsi="Calibri"/>
          <w:bCs/>
          <w:iCs/>
          <w:sz w:val="20"/>
          <w:szCs w:val="20"/>
        </w:rPr>
      </w:pPr>
      <w:r>
        <w:rPr>
          <w:rFonts w:ascii="Calibri" w:hAnsi="Calibri"/>
          <w:bCs/>
          <w:iCs/>
          <w:sz w:val="20"/>
          <w:szCs w:val="20"/>
        </w:rPr>
        <w:t>VAEISS = victim-activated explosion injury surveillance system</w:t>
      </w:r>
    </w:p>
    <w:p w:rsidR="00B454FB" w:rsidRPr="00D61C8A" w:rsidRDefault="00B454FB" w:rsidP="00B454FB">
      <w:pPr>
        <w:rPr>
          <w:rFonts w:ascii="Calibri" w:hAnsi="Calibri"/>
          <w:bCs/>
          <w:iCs/>
          <w:sz w:val="20"/>
          <w:szCs w:val="20"/>
        </w:rPr>
      </w:pPr>
      <w:r w:rsidRPr="00D61C8A">
        <w:rPr>
          <w:rFonts w:ascii="Calibri" w:hAnsi="Calibri"/>
          <w:bCs/>
          <w:iCs/>
          <w:sz w:val="20"/>
          <w:szCs w:val="20"/>
        </w:rPr>
        <w:t>VDC</w:t>
      </w:r>
      <w:r w:rsidRPr="00D61C8A">
        <w:rPr>
          <w:rFonts w:ascii="Calibri" w:eastAsia="Cambria" w:hAnsi="Calibri" w:cs="GillSansMT"/>
          <w:sz w:val="20"/>
          <w:szCs w:val="20"/>
        </w:rPr>
        <w:t xml:space="preserve"> = </w:t>
      </w:r>
      <w:r>
        <w:rPr>
          <w:rFonts w:ascii="Calibri" w:hAnsi="Calibri"/>
          <w:bCs/>
          <w:iCs/>
          <w:sz w:val="20"/>
          <w:szCs w:val="20"/>
        </w:rPr>
        <w:t>v</w:t>
      </w:r>
      <w:r w:rsidRPr="00D61C8A">
        <w:rPr>
          <w:rFonts w:ascii="Calibri" w:hAnsi="Calibri"/>
          <w:bCs/>
          <w:iCs/>
          <w:sz w:val="20"/>
          <w:szCs w:val="20"/>
        </w:rPr>
        <w:t xml:space="preserve">illage </w:t>
      </w:r>
      <w:r>
        <w:rPr>
          <w:rFonts w:ascii="Calibri" w:hAnsi="Calibri"/>
          <w:bCs/>
          <w:iCs/>
          <w:sz w:val="20"/>
          <w:szCs w:val="20"/>
        </w:rPr>
        <w:t>d</w:t>
      </w:r>
      <w:r w:rsidRPr="00D61C8A">
        <w:rPr>
          <w:rFonts w:ascii="Calibri" w:hAnsi="Calibri"/>
          <w:bCs/>
          <w:iCs/>
          <w:sz w:val="20"/>
          <w:szCs w:val="20"/>
        </w:rPr>
        <w:t xml:space="preserve">evelopment </w:t>
      </w:r>
      <w:r>
        <w:rPr>
          <w:rFonts w:ascii="Calibri" w:hAnsi="Calibri"/>
          <w:bCs/>
          <w:iCs/>
          <w:sz w:val="20"/>
          <w:szCs w:val="20"/>
        </w:rPr>
        <w:t>c</w:t>
      </w:r>
      <w:r w:rsidRPr="00D61C8A">
        <w:rPr>
          <w:rFonts w:ascii="Calibri" w:hAnsi="Calibri"/>
          <w:bCs/>
          <w:iCs/>
          <w:sz w:val="20"/>
          <w:szCs w:val="20"/>
        </w:rPr>
        <w:t>ommittee</w:t>
      </w:r>
    </w:p>
    <w:p w:rsidR="00B454FB" w:rsidRPr="00D61C8A" w:rsidRDefault="00B454FB" w:rsidP="00B454FB">
      <w:pPr>
        <w:spacing w:line="276" w:lineRule="auto"/>
        <w:rPr>
          <w:rFonts w:ascii="Calibri" w:hAnsi="Calibri"/>
        </w:rPr>
      </w:pPr>
      <w:r w:rsidRPr="00D61C8A">
        <w:rPr>
          <w:rFonts w:ascii="Calibri" w:hAnsi="Calibri"/>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II.B</w:t>
      </w:r>
      <w:r>
        <w:rPr>
          <w:rFonts w:ascii="Calibri" w:hAnsi="Calibri"/>
        </w:rPr>
        <w:tab/>
      </w:r>
      <w:r>
        <w:rPr>
          <w:rFonts w:ascii="Calibri" w:hAnsi="Calibri"/>
        </w:rPr>
        <w:tab/>
      </w:r>
      <w:r w:rsidRPr="00D61C8A">
        <w:rPr>
          <w:rFonts w:ascii="Calibri" w:hAnsi="Calibri"/>
        </w:rPr>
        <w:t xml:space="preserve">LIST OF </w:t>
      </w:r>
      <w:r>
        <w:rPr>
          <w:rFonts w:ascii="Calibri" w:hAnsi="Calibri"/>
        </w:rPr>
        <w:t>FIGURES</w:t>
      </w:r>
    </w:p>
    <w:p w:rsidR="00B454FB" w:rsidRPr="00D61C8A" w:rsidRDefault="00B454FB" w:rsidP="00B454FB">
      <w:pPr>
        <w:rPr>
          <w:rFonts w:ascii="Calibri" w:hAnsi="Calibri"/>
        </w:rPr>
      </w:pPr>
    </w:p>
    <w:p w:rsidR="00B454FB" w:rsidRDefault="00B454FB" w:rsidP="00B454FB">
      <w:pPr>
        <w:rPr>
          <w:rFonts w:ascii="Calibri" w:hAnsi="Calibri"/>
          <w:color w:val="000000"/>
          <w:sz w:val="20"/>
          <w:szCs w:val="20"/>
        </w:rPr>
      </w:pPr>
      <w:r>
        <w:rPr>
          <w:rFonts w:ascii="Calibri" w:hAnsi="Calibri"/>
          <w:color w:val="000000"/>
          <w:sz w:val="20"/>
          <w:szCs w:val="20"/>
        </w:rPr>
        <w:t>Figure 1.  Geographic location of Nepal</w:t>
      </w:r>
    </w:p>
    <w:p w:rsidR="00B454FB" w:rsidRDefault="00B454FB" w:rsidP="00B454FB">
      <w:pPr>
        <w:rPr>
          <w:rFonts w:ascii="Calibri" w:hAnsi="Calibri"/>
          <w:color w:val="000000"/>
          <w:sz w:val="20"/>
          <w:szCs w:val="20"/>
        </w:rPr>
      </w:pPr>
    </w:p>
    <w:p w:rsidR="00B454FB" w:rsidRDefault="00B454FB" w:rsidP="00B454FB">
      <w:pPr>
        <w:rPr>
          <w:rFonts w:ascii="Calibri" w:hAnsi="Calibri"/>
          <w:color w:val="000000"/>
          <w:sz w:val="20"/>
          <w:szCs w:val="20"/>
        </w:rPr>
      </w:pPr>
      <w:r>
        <w:rPr>
          <w:rFonts w:ascii="Calibri" w:hAnsi="Calibri"/>
          <w:color w:val="000000"/>
          <w:sz w:val="20"/>
          <w:szCs w:val="20"/>
        </w:rPr>
        <w:t>Figure 2.  Administrative/political units in Nepal</w:t>
      </w:r>
    </w:p>
    <w:p w:rsidR="00B454FB" w:rsidRDefault="00B454FB" w:rsidP="00B454FB">
      <w:pPr>
        <w:rPr>
          <w:rFonts w:ascii="Calibri" w:hAnsi="Calibri"/>
          <w:color w:val="000000"/>
          <w:sz w:val="20"/>
          <w:szCs w:val="20"/>
        </w:rPr>
      </w:pPr>
    </w:p>
    <w:p w:rsidR="00B454FB" w:rsidRDefault="00B454FB" w:rsidP="00B454FB">
      <w:pPr>
        <w:rPr>
          <w:rFonts w:ascii="Calibri" w:hAnsi="Calibri"/>
          <w:color w:val="000000"/>
          <w:sz w:val="20"/>
          <w:szCs w:val="20"/>
        </w:rPr>
      </w:pPr>
      <w:r>
        <w:rPr>
          <w:rFonts w:ascii="Calibri" w:hAnsi="Calibri"/>
          <w:color w:val="000000"/>
          <w:sz w:val="20"/>
          <w:szCs w:val="20"/>
        </w:rPr>
        <w:t>Figure 3.  Summary of ED injury data in Nepal, 2006-2009</w:t>
      </w:r>
    </w:p>
    <w:p w:rsidR="00B454FB" w:rsidRDefault="00B454FB" w:rsidP="00B454FB">
      <w:pPr>
        <w:rPr>
          <w:rFonts w:ascii="Calibri" w:hAnsi="Calibri"/>
          <w:color w:val="000000"/>
          <w:sz w:val="20"/>
          <w:szCs w:val="20"/>
        </w:rPr>
      </w:pPr>
    </w:p>
    <w:p w:rsidR="00B454FB" w:rsidRDefault="00B454FB" w:rsidP="00B454FB">
      <w:pPr>
        <w:rPr>
          <w:rFonts w:ascii="Calibri" w:hAnsi="Calibri"/>
          <w:color w:val="000000"/>
          <w:sz w:val="20"/>
          <w:szCs w:val="20"/>
        </w:rPr>
      </w:pPr>
      <w:r>
        <w:rPr>
          <w:rFonts w:ascii="Calibri" w:hAnsi="Calibri"/>
          <w:color w:val="000000"/>
          <w:sz w:val="20"/>
          <w:szCs w:val="20"/>
        </w:rPr>
        <w:t>Figure 4.  Steps of the VAE injury surveillance system</w:t>
      </w:r>
    </w:p>
    <w:p w:rsidR="00B454FB" w:rsidRDefault="00B454FB" w:rsidP="00B454FB">
      <w:pPr>
        <w:rPr>
          <w:rFonts w:ascii="Calibri" w:hAnsi="Calibri"/>
          <w:color w:val="000000"/>
          <w:sz w:val="20"/>
          <w:szCs w:val="20"/>
        </w:rPr>
      </w:pPr>
    </w:p>
    <w:p w:rsidR="00B454FB" w:rsidRDefault="00B454FB" w:rsidP="00B454FB">
      <w:pPr>
        <w:rPr>
          <w:rFonts w:ascii="Calibri" w:hAnsi="Calibri"/>
          <w:color w:val="000000"/>
          <w:sz w:val="20"/>
          <w:szCs w:val="20"/>
        </w:rPr>
      </w:pPr>
      <w:r>
        <w:rPr>
          <w:rFonts w:ascii="Calibri" w:hAnsi="Calibri"/>
          <w:color w:val="000000"/>
          <w:sz w:val="20"/>
          <w:szCs w:val="20"/>
        </w:rPr>
        <w:t>Figure 5.  Distribution of MAJWG MRE materials</w:t>
      </w:r>
    </w:p>
    <w:p w:rsidR="00B454FB" w:rsidRDefault="00B454FB" w:rsidP="00B454FB">
      <w:pPr>
        <w:rPr>
          <w:rFonts w:ascii="Calibri" w:hAnsi="Calibri"/>
          <w:color w:val="000000"/>
          <w:sz w:val="20"/>
          <w:szCs w:val="20"/>
        </w:rPr>
      </w:pPr>
    </w:p>
    <w:p w:rsidR="00B454FB" w:rsidRDefault="00B454FB" w:rsidP="00B454FB">
      <w:pPr>
        <w:rPr>
          <w:rFonts w:ascii="Calibri" w:hAnsi="Calibri"/>
          <w:color w:val="000000"/>
          <w:sz w:val="20"/>
          <w:szCs w:val="20"/>
        </w:rPr>
      </w:pPr>
      <w:r>
        <w:rPr>
          <w:rFonts w:ascii="Calibri" w:hAnsi="Calibri"/>
          <w:color w:val="000000"/>
          <w:sz w:val="20"/>
          <w:szCs w:val="20"/>
        </w:rPr>
        <w:t>Figure 6.  Government education personnel involved in systematic MRE activities</w:t>
      </w:r>
    </w:p>
    <w:p w:rsidR="00B454FB" w:rsidRDefault="00B454FB" w:rsidP="00B454FB">
      <w:pPr>
        <w:pStyle w:val="Heading1"/>
        <w:numPr>
          <w:ilvl w:val="0"/>
          <w:numId w:val="0"/>
        </w:numPr>
        <w:spacing w:before="0"/>
        <w:rPr>
          <w:rFonts w:ascii="Calibri" w:hAnsi="Calibri"/>
        </w:rPr>
      </w:pPr>
    </w:p>
    <w:p w:rsidR="00B454FB" w:rsidRPr="00D61C8A" w:rsidRDefault="00B454FB" w:rsidP="00B454FB">
      <w:pPr>
        <w:pStyle w:val="Heading1"/>
        <w:numPr>
          <w:ilvl w:val="0"/>
          <w:numId w:val="0"/>
        </w:numPr>
        <w:spacing w:before="0"/>
        <w:rPr>
          <w:rFonts w:ascii="Calibri" w:hAnsi="Calibri"/>
        </w:rPr>
      </w:pPr>
      <w:r>
        <w:rPr>
          <w:rFonts w:ascii="Calibri" w:hAnsi="Calibri"/>
        </w:rPr>
        <w:br w:type="page"/>
      </w:r>
      <w:r>
        <w:rPr>
          <w:rFonts w:ascii="Calibri" w:hAnsi="Calibri"/>
        </w:rPr>
        <w:lastRenderedPageBreak/>
        <w:t>III</w:t>
      </w:r>
      <w:r>
        <w:rPr>
          <w:rFonts w:ascii="Calibri" w:hAnsi="Calibri"/>
        </w:rPr>
        <w:tab/>
      </w:r>
      <w:r>
        <w:rPr>
          <w:rFonts w:ascii="Calibri" w:hAnsi="Calibri"/>
        </w:rPr>
        <w:tab/>
      </w:r>
      <w:r w:rsidRPr="00D61C8A">
        <w:rPr>
          <w:rFonts w:ascii="Calibri" w:hAnsi="Calibri"/>
        </w:rPr>
        <w:t>BACKGROUND</w:t>
      </w:r>
    </w:p>
    <w:p w:rsidR="00B454FB" w:rsidRDefault="00B454FB" w:rsidP="00B454FB">
      <w:pPr>
        <w:pStyle w:val="Heading2"/>
        <w:numPr>
          <w:ilvl w:val="0"/>
          <w:numId w:val="0"/>
        </w:numPr>
        <w:spacing w:before="0"/>
        <w:rPr>
          <w:rFonts w:ascii="Calibri" w:hAnsi="Calibri"/>
          <w:b w:val="0"/>
          <w:bCs w:val="0"/>
          <w:color w:val="auto"/>
          <w:sz w:val="24"/>
          <w:szCs w:val="24"/>
        </w:rPr>
      </w:pPr>
    </w:p>
    <w:p w:rsidR="00B454FB" w:rsidRPr="00D61C8A" w:rsidRDefault="00B454FB" w:rsidP="00B454FB">
      <w:pPr>
        <w:pStyle w:val="Heading2"/>
        <w:numPr>
          <w:ilvl w:val="0"/>
          <w:numId w:val="0"/>
        </w:numPr>
        <w:spacing w:before="0"/>
        <w:rPr>
          <w:rFonts w:ascii="Calibri" w:hAnsi="Calibri"/>
        </w:rPr>
      </w:pPr>
      <w:r>
        <w:rPr>
          <w:rFonts w:ascii="Calibri" w:hAnsi="Calibri"/>
        </w:rPr>
        <w:t>III.A</w:t>
      </w:r>
      <w:r>
        <w:rPr>
          <w:rFonts w:ascii="Calibri" w:hAnsi="Calibri"/>
        </w:rPr>
        <w:tab/>
      </w:r>
      <w:r>
        <w:rPr>
          <w:rFonts w:ascii="Calibri" w:hAnsi="Calibri"/>
        </w:rPr>
        <w:tab/>
        <w:t>G</w:t>
      </w:r>
      <w:r w:rsidRPr="00D61C8A">
        <w:rPr>
          <w:rFonts w:ascii="Calibri" w:hAnsi="Calibri"/>
        </w:rPr>
        <w:t xml:space="preserve">eographic </w:t>
      </w:r>
      <w:r>
        <w:rPr>
          <w:rFonts w:ascii="Calibri" w:hAnsi="Calibri"/>
        </w:rPr>
        <w:t xml:space="preserve">and demographic </w:t>
      </w:r>
      <w:r w:rsidRPr="00D61C8A">
        <w:rPr>
          <w:rFonts w:ascii="Calibri" w:hAnsi="Calibri"/>
        </w:rPr>
        <w:t>attributes and administrative divisions of Nepal</w:t>
      </w:r>
    </w:p>
    <w:p w:rsidR="00B454FB" w:rsidRPr="00661C46" w:rsidRDefault="00DF37D4" w:rsidP="00B454FB">
      <w:pPr>
        <w:rPr>
          <w:rFonts w:ascii="Calibri" w:hAnsi="Calibri"/>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125730</wp:posOffset>
                </wp:positionV>
                <wp:extent cx="2174240" cy="249555"/>
                <wp:effectExtent l="0" t="1905" r="0" b="0"/>
                <wp:wrapSquare wrapText="bothSides"/>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26B6" w:rsidRPr="000370D1" w:rsidRDefault="005226B6" w:rsidP="00B454FB">
                            <w:pPr>
                              <w:pStyle w:val="Caption"/>
                              <w:rPr>
                                <w:rFonts w:ascii="Calibri" w:hAnsi="Calibri"/>
                                <w:b w:val="0"/>
                                <w:noProof/>
                                <w:sz w:val="22"/>
                                <w:szCs w:val="24"/>
                              </w:rPr>
                            </w:pPr>
                            <w:r w:rsidRPr="000370D1">
                              <w:rPr>
                                <w:rFonts w:ascii="Calibri" w:hAnsi="Calibri"/>
                                <w:b w:val="0"/>
                                <w:sz w:val="18"/>
                              </w:rPr>
                              <w:t xml:space="preserve">Figure </w:t>
                            </w:r>
                            <w:r w:rsidR="008C78B9" w:rsidRPr="000370D1">
                              <w:rPr>
                                <w:rFonts w:ascii="Calibri" w:hAnsi="Calibri"/>
                                <w:b w:val="0"/>
                                <w:sz w:val="18"/>
                              </w:rPr>
                              <w:fldChar w:fldCharType="begin"/>
                            </w:r>
                            <w:r w:rsidRPr="000370D1">
                              <w:rPr>
                                <w:rFonts w:ascii="Calibri" w:hAnsi="Calibri"/>
                                <w:b w:val="0"/>
                                <w:sz w:val="18"/>
                              </w:rPr>
                              <w:instrText xml:space="preserve"> SEQ Figure \* ARABIC </w:instrText>
                            </w:r>
                            <w:r w:rsidR="008C78B9" w:rsidRPr="000370D1">
                              <w:rPr>
                                <w:rFonts w:ascii="Calibri" w:hAnsi="Calibri"/>
                                <w:b w:val="0"/>
                                <w:sz w:val="18"/>
                              </w:rPr>
                              <w:fldChar w:fldCharType="separate"/>
                            </w:r>
                            <w:r>
                              <w:rPr>
                                <w:rFonts w:ascii="Calibri" w:hAnsi="Calibri"/>
                                <w:b w:val="0"/>
                                <w:noProof/>
                                <w:sz w:val="18"/>
                              </w:rPr>
                              <w:t>1</w:t>
                            </w:r>
                            <w:r w:rsidR="008C78B9" w:rsidRPr="000370D1">
                              <w:rPr>
                                <w:rFonts w:ascii="Calibri" w:hAnsi="Calibri"/>
                                <w:b w:val="0"/>
                                <w:sz w:val="18"/>
                              </w:rPr>
                              <w:fldChar w:fldCharType="end"/>
                            </w:r>
                            <w:r>
                              <w:rPr>
                                <w:rFonts w:ascii="Calibri" w:hAnsi="Calibri"/>
                                <w:b w:val="0"/>
                                <w:sz w:val="18"/>
                              </w:rPr>
                              <w:t>. Geographic location of Nepal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9.9pt;width:171.2pt;height:1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" stroked="f">
                <v:textbox inset="0,0,0,0">
                  <w:txbxContent>
                    <w:p w:rsidR="005226B6" w:rsidRPr="000370D1" w:rsidRDefault="005226B6" w:rsidP="00B454FB">
                      <w:pPr>
                        <w:pStyle w:val="Caption"/>
                        <w:rPr>
                          <w:rFonts w:ascii="Calibri" w:hAnsi="Calibri"/>
                          <w:b w:val="0"/>
                          <w:noProof/>
                          <w:sz w:val="22"/>
                          <w:szCs w:val="24"/>
                        </w:rPr>
                      </w:pPr>
                      <w:r w:rsidRPr="000370D1">
                        <w:rPr>
                          <w:rFonts w:ascii="Calibri" w:hAnsi="Calibri"/>
                          <w:b w:val="0"/>
                          <w:sz w:val="18"/>
                        </w:rPr>
                        <w:t xml:space="preserve">Figure </w:t>
                      </w:r>
                      <w:r w:rsidR="008C78B9" w:rsidRPr="000370D1">
                        <w:rPr>
                          <w:rFonts w:ascii="Calibri" w:hAnsi="Calibri"/>
                          <w:b w:val="0"/>
                          <w:sz w:val="18"/>
                        </w:rPr>
                        <w:fldChar w:fldCharType="begin"/>
                      </w:r>
                      <w:r w:rsidRPr="000370D1">
                        <w:rPr>
                          <w:rFonts w:ascii="Calibri" w:hAnsi="Calibri"/>
                          <w:b w:val="0"/>
                          <w:sz w:val="18"/>
                        </w:rPr>
                        <w:instrText xml:space="preserve"> SEQ Figure \* ARABIC </w:instrText>
                      </w:r>
                      <w:r w:rsidR="008C78B9" w:rsidRPr="000370D1">
                        <w:rPr>
                          <w:rFonts w:ascii="Calibri" w:hAnsi="Calibri"/>
                          <w:b w:val="0"/>
                          <w:sz w:val="18"/>
                        </w:rPr>
                        <w:fldChar w:fldCharType="separate"/>
                      </w:r>
                      <w:r>
                        <w:rPr>
                          <w:rFonts w:ascii="Calibri" w:hAnsi="Calibri"/>
                          <w:b w:val="0"/>
                          <w:noProof/>
                          <w:sz w:val="18"/>
                        </w:rPr>
                        <w:t>1</w:t>
                      </w:r>
                      <w:r w:rsidR="008C78B9" w:rsidRPr="000370D1">
                        <w:rPr>
                          <w:rFonts w:ascii="Calibri" w:hAnsi="Calibri"/>
                          <w:b w:val="0"/>
                          <w:sz w:val="18"/>
                        </w:rPr>
                        <w:fldChar w:fldCharType="end"/>
                      </w:r>
                      <w:r>
                        <w:rPr>
                          <w:rFonts w:ascii="Calibri" w:hAnsi="Calibri"/>
                          <w:b w:val="0"/>
                          <w:sz w:val="18"/>
                        </w:rPr>
                        <w:t>. Geographic location of Nepal</w:t>
                      </w:r>
                    </w:p>
                  </w:txbxContent>
                </v:textbox>
                <w10:wrap type="square"/>
              </v:shape>
            </w:pict>
          </mc:Fallback>
        </mc:AlternateContent>
      </w:r>
      <w:r w:rsidR="00B454FB" w:rsidRPr="00D61C8A">
        <w:rPr>
          <w:rFonts w:ascii="Calibri" w:hAnsi="Calibri"/>
          <w:sz w:val="12"/>
          <w:szCs w:val="12"/>
        </w:rPr>
        <w:t xml:space="preserve"> </w:t>
      </w:r>
    </w:p>
    <w:p w:rsidR="00B454FB" w:rsidRPr="00D61C8A" w:rsidRDefault="00407A28" w:rsidP="00B454FB">
      <w:pPr>
        <w:rPr>
          <w:rFonts w:ascii="Calibri" w:hAnsi="Calibri"/>
        </w:rPr>
      </w:pPr>
      <w:r>
        <w:rPr>
          <w:noProof/>
        </w:rPr>
        <w:drawing>
          <wp:anchor distT="0" distB="0" distL="114300" distR="114300" simplePos="0" relativeHeight="251657216" behindDoc="0" locked="0" layoutInCell="1" allowOverlap="1">
            <wp:simplePos x="0" y="0"/>
            <wp:positionH relativeFrom="column">
              <wp:posOffset>-2288540</wp:posOffset>
            </wp:positionH>
            <wp:positionV relativeFrom="paragraph">
              <wp:posOffset>189230</wp:posOffset>
            </wp:positionV>
            <wp:extent cx="2225675" cy="2539365"/>
            <wp:effectExtent l="19050" t="0" r="3175" b="0"/>
            <wp:wrapSquare wrapText="bothSides"/>
            <wp:docPr id="30"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pic:cNvPicPr>
                      <a:picLocks noChangeAspect="1" noChangeArrowheads="1"/>
                    </pic:cNvPicPr>
                  </pic:nvPicPr>
                  <pic:blipFill>
                    <a:blip r:embed="rId8" cstate="print"/>
                    <a:srcRect/>
                    <a:stretch>
                      <a:fillRect/>
                    </a:stretch>
                  </pic:blipFill>
                  <pic:spPr bwMode="auto">
                    <a:xfrm>
                      <a:off x="0" y="0"/>
                      <a:ext cx="2225675" cy="2539365"/>
                    </a:xfrm>
                    <a:prstGeom prst="rect">
                      <a:avLst/>
                    </a:prstGeom>
                    <a:noFill/>
                    <a:ln w="9525">
                      <a:noFill/>
                      <a:miter lim="800000"/>
                      <a:headEnd/>
                      <a:tailEnd/>
                    </a:ln>
                  </pic:spPr>
                </pic:pic>
              </a:graphicData>
            </a:graphic>
          </wp:anchor>
        </w:drawing>
      </w:r>
      <w:r w:rsidR="00B454FB">
        <w:rPr>
          <w:rFonts w:ascii="Calibri" w:hAnsi="Calibri"/>
          <w:sz w:val="20"/>
          <w:szCs w:val="20"/>
        </w:rPr>
        <w:t xml:space="preserve">  </w:t>
      </w:r>
      <w:r w:rsidR="00B454FB" w:rsidRPr="00D61C8A">
        <w:rPr>
          <w:rFonts w:ascii="Calibri" w:hAnsi="Calibri"/>
          <w:sz w:val="20"/>
          <w:szCs w:val="20"/>
        </w:rPr>
        <w:t>The Federal Democratic Republic of Nepal is a landlocked country bordering the People’s Republic of China and the Republic of India, with a population of approximately 2</w:t>
      </w:r>
      <w:r w:rsidR="00B454FB">
        <w:rPr>
          <w:rFonts w:ascii="Calibri" w:hAnsi="Calibri"/>
          <w:sz w:val="20"/>
          <w:szCs w:val="20"/>
        </w:rPr>
        <w:t>9</w:t>
      </w:r>
      <w:r w:rsidR="00B454FB" w:rsidRPr="00D61C8A">
        <w:rPr>
          <w:rFonts w:ascii="Calibri" w:hAnsi="Calibri"/>
          <w:sz w:val="20"/>
          <w:szCs w:val="20"/>
        </w:rPr>
        <w:t>.</w:t>
      </w:r>
      <w:r w:rsidR="00B454FB">
        <w:rPr>
          <w:rFonts w:ascii="Calibri" w:hAnsi="Calibri"/>
          <w:sz w:val="20"/>
          <w:szCs w:val="20"/>
        </w:rPr>
        <w:t>0</w:t>
      </w:r>
      <w:r w:rsidR="00B454FB" w:rsidRPr="00D61C8A">
        <w:rPr>
          <w:rFonts w:ascii="Calibri" w:hAnsi="Calibri"/>
          <w:sz w:val="20"/>
          <w:szCs w:val="20"/>
        </w:rPr>
        <w:t xml:space="preserve"> million.</w:t>
      </w:r>
      <w:r w:rsidR="00B454FB" w:rsidRPr="00D61C8A">
        <w:rPr>
          <w:rStyle w:val="EndnoteReference"/>
          <w:rFonts w:ascii="Calibri" w:hAnsi="Calibri"/>
          <w:sz w:val="20"/>
          <w:szCs w:val="20"/>
        </w:rPr>
        <w:endnoteReference w:id="3"/>
      </w:r>
      <w:r w:rsidR="00B454FB" w:rsidRPr="00D61C8A">
        <w:rPr>
          <w:rFonts w:ascii="Calibri" w:hAnsi="Calibri"/>
          <w:sz w:val="20"/>
          <w:szCs w:val="20"/>
        </w:rPr>
        <w:t xml:space="preserve">  The country is geographically divided into three belts: the mountainous Parbat region in the north, the hilly Pahar region in the middle, and the flat Terai (or Madhesh) region in the south.  Nepal is an ethnically and linguistically </w:t>
      </w:r>
      <w:r w:rsidR="00B454FB">
        <w:rPr>
          <w:rFonts w:ascii="Calibri" w:hAnsi="Calibri"/>
          <w:sz w:val="20"/>
          <w:szCs w:val="20"/>
        </w:rPr>
        <w:t>diverse nation; the 2001 census</w:t>
      </w:r>
      <w:r w:rsidR="00B454FB" w:rsidRPr="00D61C8A">
        <w:rPr>
          <w:rFonts w:ascii="Calibri" w:hAnsi="Calibri"/>
          <w:sz w:val="20"/>
          <w:szCs w:val="20"/>
        </w:rPr>
        <w:t xml:space="preserve"> administered by the Nep</w:t>
      </w:r>
      <w:r w:rsidR="00B454FB">
        <w:rPr>
          <w:rFonts w:ascii="Calibri" w:hAnsi="Calibri"/>
          <w:sz w:val="20"/>
          <w:szCs w:val="20"/>
        </w:rPr>
        <w:t>al Central Bureau of Statistics</w:t>
      </w:r>
      <w:r w:rsidR="00B454FB" w:rsidRPr="00D61C8A">
        <w:rPr>
          <w:rFonts w:ascii="Calibri" w:hAnsi="Calibri"/>
          <w:sz w:val="20"/>
          <w:szCs w:val="20"/>
        </w:rPr>
        <w:t xml:space="preserve"> reported the existence of 92 spoken languages and 103 distinct ethnic groups and castes.</w:t>
      </w:r>
      <w:r w:rsidR="00B454FB" w:rsidRPr="00D61C8A">
        <w:rPr>
          <w:rStyle w:val="EndnoteReference"/>
          <w:rFonts w:ascii="Calibri" w:hAnsi="Calibri"/>
          <w:sz w:val="20"/>
          <w:szCs w:val="20"/>
        </w:rPr>
        <w:endnoteReference w:id="4"/>
      </w:r>
      <w:r w:rsidR="00B454FB" w:rsidRPr="00D61C8A">
        <w:rPr>
          <w:rFonts w:ascii="Calibri" w:hAnsi="Calibri"/>
          <w:sz w:val="20"/>
          <w:szCs w:val="20"/>
        </w:rPr>
        <w:t xml:space="preserve">  The geographic and demographic diversity of Nepal influence the culture, infrastructure, and governance of the nation, and must be taken into account when considering issues such as health and education.</w:t>
      </w:r>
    </w:p>
    <w:p w:rsidR="00B454FB" w:rsidRPr="00D61C8A" w:rsidRDefault="00B454FB" w:rsidP="00B454FB">
      <w:pPr>
        <w:rPr>
          <w:rFonts w:ascii="Calibri" w:hAnsi="Calibri"/>
          <w:sz w:val="20"/>
          <w:szCs w:val="20"/>
        </w:rPr>
      </w:pPr>
    </w:p>
    <w:p w:rsidR="00B454FB" w:rsidRDefault="00B454FB" w:rsidP="00B454FB">
      <w:pPr>
        <w:rPr>
          <w:rFonts w:ascii="Calibri" w:hAnsi="Calibri"/>
          <w:sz w:val="20"/>
          <w:szCs w:val="20"/>
        </w:rPr>
      </w:pPr>
      <w:r w:rsidRPr="00D61C8A">
        <w:rPr>
          <w:rFonts w:ascii="Calibri" w:hAnsi="Calibri"/>
          <w:sz w:val="20"/>
          <w:szCs w:val="20"/>
        </w:rPr>
        <w:t xml:space="preserve">The smallest administrative unit in Nepal is a ward.  </w:t>
      </w:r>
      <w:r>
        <w:rPr>
          <w:rFonts w:ascii="Calibri" w:hAnsi="Calibri"/>
          <w:sz w:val="20"/>
          <w:szCs w:val="20"/>
        </w:rPr>
        <w:t>The</w:t>
      </w:r>
      <w:r w:rsidRPr="00D61C8A">
        <w:rPr>
          <w:rFonts w:ascii="Calibri" w:hAnsi="Calibri"/>
          <w:sz w:val="20"/>
          <w:szCs w:val="20"/>
        </w:rPr>
        <w:t xml:space="preserve"> 36,023 wards in </w:t>
      </w:r>
      <w:r>
        <w:rPr>
          <w:rFonts w:ascii="Calibri" w:hAnsi="Calibri"/>
          <w:sz w:val="20"/>
          <w:szCs w:val="20"/>
        </w:rPr>
        <w:t>Nepal</w:t>
      </w:r>
      <w:r w:rsidRPr="00D61C8A">
        <w:rPr>
          <w:rFonts w:ascii="Calibri" w:hAnsi="Calibri"/>
          <w:sz w:val="20"/>
          <w:szCs w:val="20"/>
        </w:rPr>
        <w:t xml:space="preserve"> are grouped into Village Development Committees (VDCs), consist</w:t>
      </w:r>
      <w:r>
        <w:rPr>
          <w:rFonts w:ascii="Calibri" w:hAnsi="Calibri"/>
          <w:sz w:val="20"/>
          <w:szCs w:val="20"/>
        </w:rPr>
        <w:t>ing</w:t>
      </w:r>
      <w:r w:rsidRPr="00D61C8A">
        <w:rPr>
          <w:rFonts w:ascii="Calibri" w:hAnsi="Calibri"/>
          <w:sz w:val="20"/>
          <w:szCs w:val="20"/>
        </w:rPr>
        <w:t xml:space="preserve"> of nine wards</w:t>
      </w:r>
      <w:r>
        <w:rPr>
          <w:rFonts w:ascii="Calibri" w:hAnsi="Calibri"/>
          <w:sz w:val="20"/>
          <w:szCs w:val="20"/>
        </w:rPr>
        <w:t>,</w:t>
      </w:r>
      <w:r w:rsidRPr="00D61C8A">
        <w:rPr>
          <w:rFonts w:ascii="Calibri" w:hAnsi="Calibri"/>
          <w:sz w:val="20"/>
          <w:szCs w:val="20"/>
        </w:rPr>
        <w:t xml:space="preserve"> and municipalities consist</w:t>
      </w:r>
      <w:r>
        <w:rPr>
          <w:rFonts w:ascii="Calibri" w:hAnsi="Calibri"/>
          <w:sz w:val="20"/>
          <w:szCs w:val="20"/>
        </w:rPr>
        <w:t>ing</w:t>
      </w:r>
      <w:r w:rsidRPr="00D61C8A">
        <w:rPr>
          <w:rFonts w:ascii="Calibri" w:hAnsi="Calibri"/>
          <w:sz w:val="20"/>
          <w:szCs w:val="20"/>
        </w:rPr>
        <w:t xml:space="preserve"> of nine to 35 wards.  The 3914 VDCs and 58 municipalities are clustered into 75 districts, which are further grouped into five development regions: the Eastern, Central, Western, Mid-Western, and Far-Western Regions.</w:t>
      </w:r>
      <w:r>
        <w:rPr>
          <w:rFonts w:ascii="Calibri" w:hAnsi="Calibri"/>
          <w:sz w:val="20"/>
          <w:szCs w:val="20"/>
        </w:rPr>
        <w:t xml:space="preserve">  </w:t>
      </w:r>
    </w:p>
    <w:p w:rsidR="00B454FB" w:rsidRDefault="00B454FB" w:rsidP="00B454FB">
      <w:pPr>
        <w:rPr>
          <w:rFonts w:ascii="Calibri" w:hAnsi="Calibri"/>
          <w:sz w:val="20"/>
          <w:szCs w:val="20"/>
        </w:rPr>
      </w:pPr>
    </w:p>
    <w:p w:rsidR="00B454FB" w:rsidRPr="00D61C8A" w:rsidRDefault="00B454FB" w:rsidP="00B454FB">
      <w:pPr>
        <w:pStyle w:val="Heading2"/>
        <w:numPr>
          <w:ilvl w:val="0"/>
          <w:numId w:val="0"/>
        </w:numPr>
        <w:spacing w:before="0"/>
        <w:rPr>
          <w:rFonts w:ascii="Calibri" w:hAnsi="Calibri"/>
        </w:rPr>
      </w:pPr>
      <w:r>
        <w:rPr>
          <w:rFonts w:ascii="Calibri" w:hAnsi="Calibri"/>
        </w:rPr>
        <w:t>III.B</w:t>
      </w:r>
      <w:r>
        <w:rPr>
          <w:rFonts w:ascii="Calibri" w:hAnsi="Calibri"/>
        </w:rPr>
        <w:tab/>
      </w:r>
      <w:r>
        <w:rPr>
          <w:rFonts w:ascii="Calibri" w:hAnsi="Calibri"/>
        </w:rPr>
        <w:tab/>
      </w:r>
      <w:r>
        <w:rPr>
          <w:rFonts w:ascii="Calibri" w:hAnsi="Calibri"/>
        </w:rPr>
        <w:tab/>
        <w:t>T</w:t>
      </w:r>
      <w:r w:rsidRPr="00D61C8A">
        <w:rPr>
          <w:rFonts w:ascii="Calibri" w:hAnsi="Calibri"/>
        </w:rPr>
        <w:t>he Nepali conflict and use of explosive devices</w:t>
      </w:r>
      <w:r>
        <w:rPr>
          <w:rFonts w:ascii="Calibri" w:hAnsi="Calibri"/>
        </w:rPr>
        <w:t xml:space="preserve"> (ED)</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Civil conflict between </w:t>
      </w:r>
      <w:r>
        <w:rPr>
          <w:rFonts w:ascii="Calibri" w:hAnsi="Calibri"/>
          <w:sz w:val="20"/>
          <w:szCs w:val="20"/>
        </w:rPr>
        <w:t xml:space="preserve">Nepali </w:t>
      </w:r>
      <w:r w:rsidRPr="00D61C8A">
        <w:rPr>
          <w:rFonts w:ascii="Calibri" w:hAnsi="Calibri"/>
          <w:sz w:val="20"/>
          <w:szCs w:val="20"/>
        </w:rPr>
        <w:t>government and Maoist forces erupted in February 1996</w:t>
      </w:r>
      <w:r w:rsidRPr="00D61C8A">
        <w:rPr>
          <w:rStyle w:val="EndnoteReference"/>
          <w:rFonts w:ascii="Calibri" w:hAnsi="Calibri"/>
          <w:sz w:val="20"/>
          <w:szCs w:val="20"/>
        </w:rPr>
        <w:endnoteReference w:id="5"/>
      </w:r>
      <w:r w:rsidRPr="00D61C8A">
        <w:rPr>
          <w:rFonts w:ascii="Calibri" w:hAnsi="Calibri"/>
          <w:sz w:val="20"/>
          <w:szCs w:val="20"/>
        </w:rPr>
        <w:t xml:space="preserve"> and increased in intensity after 2001.</w:t>
      </w:r>
      <w:r w:rsidRPr="00D61C8A">
        <w:rPr>
          <w:rStyle w:val="EndnoteReference"/>
          <w:rFonts w:ascii="Calibri" w:hAnsi="Calibri"/>
          <w:sz w:val="20"/>
          <w:szCs w:val="20"/>
        </w:rPr>
        <w:endnoteReference w:id="6"/>
      </w:r>
      <w:r w:rsidRPr="00D61C8A">
        <w:rPr>
          <w:rFonts w:ascii="Calibri" w:hAnsi="Calibri"/>
          <w:sz w:val="20"/>
          <w:szCs w:val="20"/>
        </w:rPr>
        <w:t xml:space="preserve">  The United Nations (UN) estimates that more than 12,000 people were killed and over 100,000 were displaced during the conflict,</w:t>
      </w:r>
      <w:r w:rsidRPr="00D61C8A">
        <w:rPr>
          <w:rStyle w:val="EndnoteReference"/>
          <w:rFonts w:ascii="Calibri" w:hAnsi="Calibri"/>
          <w:sz w:val="20"/>
          <w:szCs w:val="20"/>
        </w:rPr>
        <w:endnoteReference w:id="7"/>
      </w:r>
      <w:r w:rsidRPr="00D61C8A">
        <w:rPr>
          <w:rFonts w:ascii="Calibri" w:hAnsi="Calibri"/>
          <w:sz w:val="20"/>
          <w:szCs w:val="20"/>
        </w:rPr>
        <w:t xml:space="preserve"> which formally ended with the signing of the UN-monitored Comprehensive Peace Accord (CPA) in November 2006.</w:t>
      </w:r>
      <w:r w:rsidRPr="00D61C8A">
        <w:rPr>
          <w:rStyle w:val="EndnoteReference"/>
          <w:rFonts w:ascii="Calibri" w:hAnsi="Calibri"/>
          <w:sz w:val="20"/>
          <w:szCs w:val="20"/>
        </w:rPr>
        <w:endnoteReference w:id="8"/>
      </w:r>
    </w:p>
    <w:p w:rsidR="00B454FB" w:rsidRPr="00D61C8A" w:rsidRDefault="00B454FB" w:rsidP="00B454FB">
      <w:pPr>
        <w:rPr>
          <w:rFonts w:ascii="Calibri" w:hAnsi="Calibri"/>
          <w:sz w:val="20"/>
          <w:szCs w:val="20"/>
        </w:rPr>
      </w:pPr>
    </w:p>
    <w:p w:rsidR="00B454FB" w:rsidRPr="00D61C8A" w:rsidRDefault="00B454FB" w:rsidP="00B454FB">
      <w:pPr>
        <w:rPr>
          <w:rFonts w:ascii="Calibri" w:eastAsia="Cambria" w:hAnsi="Calibri"/>
          <w:sz w:val="20"/>
          <w:szCs w:val="20"/>
        </w:rPr>
      </w:pPr>
      <w:r w:rsidRPr="00D61C8A">
        <w:rPr>
          <w:rFonts w:ascii="Calibri" w:hAnsi="Calibri"/>
          <w:sz w:val="20"/>
          <w:szCs w:val="20"/>
        </w:rPr>
        <w:t xml:space="preserve">Both </w:t>
      </w:r>
      <w:r>
        <w:rPr>
          <w:rFonts w:ascii="Calibri" w:hAnsi="Calibri"/>
          <w:sz w:val="20"/>
          <w:szCs w:val="20"/>
        </w:rPr>
        <w:t>government and Maoist personnel</w:t>
      </w:r>
      <w:r w:rsidRPr="00D61C8A">
        <w:rPr>
          <w:rFonts w:ascii="Calibri" w:hAnsi="Calibri"/>
          <w:sz w:val="20"/>
          <w:szCs w:val="20"/>
        </w:rPr>
        <w:t xml:space="preserve"> used explosive devices (ED) during the conflict.  Landmine Monitor, which publishes </w:t>
      </w:r>
      <w:r>
        <w:rPr>
          <w:rFonts w:ascii="Calibri" w:hAnsi="Calibri"/>
          <w:sz w:val="20"/>
          <w:szCs w:val="20"/>
        </w:rPr>
        <w:t>national</w:t>
      </w:r>
      <w:r w:rsidRPr="00D61C8A">
        <w:rPr>
          <w:rFonts w:ascii="Calibri" w:hAnsi="Calibri"/>
          <w:sz w:val="20"/>
          <w:szCs w:val="20"/>
        </w:rPr>
        <w:t xml:space="preserve"> and global reports about landmines and other ED, first reported the use of landmines in Nepal in 1999.</w:t>
      </w:r>
      <w:r w:rsidRPr="00D61C8A">
        <w:rPr>
          <w:rStyle w:val="EndnoteReference"/>
          <w:rFonts w:ascii="Calibri" w:hAnsi="Calibri"/>
          <w:sz w:val="20"/>
          <w:szCs w:val="20"/>
        </w:rPr>
        <w:endnoteReference w:id="9"/>
      </w:r>
      <w:r w:rsidRPr="00D61C8A">
        <w:rPr>
          <w:rFonts w:ascii="Calibri" w:hAnsi="Calibri"/>
          <w:sz w:val="20"/>
          <w:szCs w:val="20"/>
        </w:rPr>
        <w:t xml:space="preserve">  The use of landmines and other ED increased as the conflict escalated</w:t>
      </w:r>
      <w:r>
        <w:rPr>
          <w:rFonts w:ascii="Calibri" w:hAnsi="Calibri"/>
          <w:sz w:val="20"/>
          <w:szCs w:val="20"/>
        </w:rPr>
        <w:t>;</w:t>
      </w:r>
      <w:r w:rsidRPr="00D61C8A">
        <w:rPr>
          <w:rStyle w:val="EndnoteReference"/>
          <w:rFonts w:ascii="Calibri" w:hAnsi="Calibri"/>
          <w:sz w:val="20"/>
          <w:szCs w:val="20"/>
        </w:rPr>
        <w:endnoteReference w:id="10"/>
      </w:r>
      <w:r w:rsidRPr="00D61C8A">
        <w:rPr>
          <w:rFonts w:ascii="Calibri" w:hAnsi="Calibri"/>
          <w:sz w:val="20"/>
          <w:szCs w:val="20"/>
        </w:rPr>
        <w:t xml:space="preserve"> Landmine Monitor reported that </w:t>
      </w:r>
      <w:r>
        <w:rPr>
          <w:rFonts w:ascii="Calibri" w:hAnsi="Calibri"/>
          <w:sz w:val="20"/>
          <w:szCs w:val="20"/>
        </w:rPr>
        <w:t>the number of affected districts increased from four in 1999 to</w:t>
      </w:r>
      <w:r w:rsidRPr="00D61C8A">
        <w:rPr>
          <w:rFonts w:ascii="Calibri" w:hAnsi="Calibri"/>
          <w:sz w:val="20"/>
          <w:szCs w:val="20"/>
        </w:rPr>
        <w:t xml:space="preserve"> 37</w:t>
      </w:r>
      <w:r>
        <w:rPr>
          <w:rFonts w:ascii="Calibri" w:hAnsi="Calibri"/>
          <w:sz w:val="20"/>
          <w:szCs w:val="20"/>
        </w:rPr>
        <w:t xml:space="preserve">, 71 and 75 districts in 2000, </w:t>
      </w:r>
      <w:r w:rsidRPr="00D61C8A">
        <w:rPr>
          <w:rFonts w:ascii="Calibri" w:hAnsi="Calibri"/>
          <w:sz w:val="20"/>
          <w:szCs w:val="20"/>
        </w:rPr>
        <w:t>2001 and 2002</w:t>
      </w:r>
      <w:r>
        <w:rPr>
          <w:rFonts w:ascii="Calibri" w:hAnsi="Calibri"/>
          <w:sz w:val="20"/>
          <w:szCs w:val="20"/>
        </w:rPr>
        <w:t>, respectively</w:t>
      </w:r>
      <w:r w:rsidRPr="00D61C8A">
        <w:rPr>
          <w:rFonts w:ascii="Calibri" w:hAnsi="Calibri"/>
          <w:sz w:val="20"/>
          <w:szCs w:val="20"/>
        </w:rPr>
        <w:t>.</w:t>
      </w:r>
      <w:r w:rsidRPr="00D61C8A">
        <w:rPr>
          <w:rStyle w:val="EndnoteReference"/>
          <w:rFonts w:ascii="Calibri" w:hAnsi="Calibri"/>
          <w:sz w:val="20"/>
          <w:szCs w:val="20"/>
        </w:rPr>
        <w:t xml:space="preserve"> </w:t>
      </w:r>
      <w:r w:rsidRPr="00D61C8A">
        <w:rPr>
          <w:rStyle w:val="EndnoteReference"/>
          <w:rFonts w:ascii="Calibri" w:hAnsi="Calibri"/>
          <w:sz w:val="20"/>
          <w:szCs w:val="20"/>
        </w:rPr>
        <w:endnoteReference w:id="11"/>
      </w:r>
      <w:r w:rsidRPr="00D61C8A">
        <w:rPr>
          <w:rFonts w:ascii="Calibri" w:eastAsia="Cambria" w:hAnsi="Calibri"/>
          <w:sz w:val="20"/>
          <w:szCs w:val="20"/>
        </w:rPr>
        <w:t xml:space="preserve"> </w:t>
      </w:r>
    </w:p>
    <w:p w:rsidR="00B454FB" w:rsidRDefault="00B454FB" w:rsidP="00B454FB">
      <w:pPr>
        <w:rPr>
          <w:rFonts w:ascii="Calibri" w:hAnsi="Calibri"/>
          <w:noProof/>
        </w:rPr>
      </w:pPr>
      <w:r w:rsidRPr="00D61C8A">
        <w:rPr>
          <w:rFonts w:ascii="Calibri" w:hAnsi="Calibri"/>
          <w:noProof/>
        </w:rPr>
        <w:t xml:space="preserve"> </w:t>
      </w: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III.B.1</w:t>
      </w:r>
      <w:r>
        <w:rPr>
          <w:rFonts w:ascii="Calibri" w:hAnsi="Calibri"/>
          <w:sz w:val="20"/>
          <w:szCs w:val="20"/>
        </w:rPr>
        <w:tab/>
      </w:r>
      <w:r>
        <w:rPr>
          <w:rFonts w:ascii="Calibri" w:hAnsi="Calibri"/>
          <w:sz w:val="20"/>
          <w:szCs w:val="20"/>
        </w:rPr>
        <w:tab/>
      </w:r>
      <w:r w:rsidRPr="00D61C8A">
        <w:rPr>
          <w:rFonts w:ascii="Calibri" w:hAnsi="Calibri"/>
          <w:sz w:val="20"/>
          <w:szCs w:val="20"/>
        </w:rPr>
        <w:t xml:space="preserve">Use of </w:t>
      </w:r>
      <w:r>
        <w:rPr>
          <w:rFonts w:ascii="Calibri" w:hAnsi="Calibri"/>
          <w:sz w:val="20"/>
          <w:szCs w:val="20"/>
        </w:rPr>
        <w:t>ED</w:t>
      </w:r>
      <w:r w:rsidRPr="00D61C8A">
        <w:rPr>
          <w:rFonts w:ascii="Calibri" w:hAnsi="Calibri"/>
          <w:sz w:val="20"/>
          <w:szCs w:val="20"/>
        </w:rPr>
        <w:t xml:space="preserve"> by government security forces during the conflict</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In 2001, Landmine Monitor reported that the </w:t>
      </w:r>
      <w:r>
        <w:rPr>
          <w:rFonts w:ascii="Calibri" w:hAnsi="Calibri"/>
          <w:sz w:val="20"/>
          <w:szCs w:val="20"/>
        </w:rPr>
        <w:t>Royal Nepalese Army (RNA)</w:t>
      </w:r>
      <w:r w:rsidRPr="00D61C8A">
        <w:rPr>
          <w:rStyle w:val="FootnoteReference"/>
          <w:rFonts w:ascii="Calibri" w:hAnsi="Calibri"/>
          <w:sz w:val="20"/>
          <w:szCs w:val="20"/>
        </w:rPr>
        <w:footnoteReference w:id="2"/>
      </w:r>
      <w:r>
        <w:rPr>
          <w:rFonts w:ascii="Calibri" w:hAnsi="Calibri"/>
          <w:sz w:val="20"/>
          <w:szCs w:val="20"/>
        </w:rPr>
        <w:t xml:space="preserve"> </w:t>
      </w:r>
      <w:r w:rsidRPr="00D61C8A">
        <w:rPr>
          <w:rFonts w:ascii="Calibri" w:hAnsi="Calibri"/>
          <w:sz w:val="20"/>
          <w:szCs w:val="20"/>
        </w:rPr>
        <w:t xml:space="preserve">and </w:t>
      </w:r>
      <w:r>
        <w:rPr>
          <w:rFonts w:ascii="Calibri" w:hAnsi="Calibri"/>
          <w:sz w:val="20"/>
          <w:szCs w:val="20"/>
        </w:rPr>
        <w:t>Nepal P</w:t>
      </w:r>
      <w:r w:rsidRPr="00D61C8A">
        <w:rPr>
          <w:rFonts w:ascii="Calibri" w:hAnsi="Calibri"/>
          <w:sz w:val="20"/>
          <w:szCs w:val="20"/>
        </w:rPr>
        <w:t>olice were using antipersonnel landmines.</w:t>
      </w:r>
      <w:r w:rsidRPr="00D61C8A">
        <w:rPr>
          <w:rStyle w:val="EndnoteReference"/>
          <w:rFonts w:ascii="Calibri" w:hAnsi="Calibri"/>
          <w:sz w:val="20"/>
          <w:szCs w:val="20"/>
        </w:rPr>
        <w:endnoteReference w:id="12"/>
      </w:r>
      <w:r w:rsidRPr="00D61C8A">
        <w:rPr>
          <w:rFonts w:ascii="Calibri" w:hAnsi="Calibri"/>
          <w:sz w:val="20"/>
          <w:szCs w:val="20"/>
        </w:rPr>
        <w:t xml:space="preserve">  Government representatives officially acknowledged the use of antipersonnel landmines by all three g</w:t>
      </w:r>
      <w:r>
        <w:rPr>
          <w:rFonts w:ascii="Calibri" w:hAnsi="Calibri"/>
          <w:sz w:val="20"/>
          <w:szCs w:val="20"/>
        </w:rPr>
        <w:t xml:space="preserve">overnment security forces – the </w:t>
      </w:r>
      <w:r w:rsidRPr="00D61C8A">
        <w:rPr>
          <w:rFonts w:ascii="Calibri" w:hAnsi="Calibri"/>
          <w:sz w:val="20"/>
          <w:szCs w:val="20"/>
        </w:rPr>
        <w:t>RNA, the Nepal Police and the Armed Police Force (APF) – in 2002.</w:t>
      </w:r>
      <w:r w:rsidRPr="00D61C8A">
        <w:rPr>
          <w:rStyle w:val="EndnoteReference"/>
          <w:rFonts w:ascii="Calibri" w:hAnsi="Calibri"/>
          <w:sz w:val="20"/>
          <w:szCs w:val="20"/>
        </w:rPr>
        <w:endnoteReference w:id="13"/>
      </w:r>
      <w:r w:rsidRPr="00D61C8A">
        <w:rPr>
          <w:rFonts w:ascii="Calibri" w:hAnsi="Calibri"/>
          <w:sz w:val="20"/>
          <w:szCs w:val="20"/>
        </w:rPr>
        <w:t xml:space="preserve">  According to Landmine Monitor, government forces did not use </w:t>
      </w:r>
      <w:r>
        <w:rPr>
          <w:rFonts w:ascii="Calibri" w:hAnsi="Calibri"/>
          <w:sz w:val="20"/>
          <w:szCs w:val="20"/>
        </w:rPr>
        <w:t>land</w:t>
      </w:r>
      <w:r w:rsidRPr="00D61C8A">
        <w:rPr>
          <w:rFonts w:ascii="Calibri" w:hAnsi="Calibri"/>
          <w:sz w:val="20"/>
          <w:szCs w:val="20"/>
        </w:rPr>
        <w:t>mines or improvised explosive devices (IED) during the ceasefire between January and August 2003 but increased use of ED in 2004 and 2005.</w:t>
      </w:r>
      <w:r w:rsidRPr="00D61C8A">
        <w:rPr>
          <w:rStyle w:val="EndnoteReference"/>
          <w:rFonts w:ascii="Calibri" w:hAnsi="Calibri"/>
          <w:sz w:val="20"/>
          <w:szCs w:val="20"/>
        </w:rPr>
        <w:endnoteReference w:id="14"/>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Government security forces used ED to create defensive perimeters around army installations, police posts, government offices, infrastructure and potential vantage points.</w:t>
      </w:r>
      <w:r w:rsidRPr="00D61C8A">
        <w:rPr>
          <w:rStyle w:val="EndnoteReference"/>
          <w:rFonts w:ascii="Calibri" w:hAnsi="Calibri"/>
          <w:sz w:val="20"/>
          <w:szCs w:val="20"/>
        </w:rPr>
        <w:endnoteReference w:id="15"/>
      </w:r>
      <w:r w:rsidRPr="00D61C8A">
        <w:rPr>
          <w:rFonts w:ascii="Calibri" w:hAnsi="Calibri"/>
          <w:sz w:val="20"/>
          <w:szCs w:val="20"/>
        </w:rPr>
        <w:t xml:space="preserve">  ED were also used to trap Maoist</w:t>
      </w:r>
      <w:r>
        <w:rPr>
          <w:rFonts w:ascii="Calibri" w:hAnsi="Calibri"/>
          <w:sz w:val="20"/>
          <w:szCs w:val="20"/>
        </w:rPr>
        <w:t xml:space="preserve"> force</w:t>
      </w:r>
      <w:r w:rsidRPr="00D61C8A">
        <w:rPr>
          <w:rFonts w:ascii="Calibri" w:hAnsi="Calibri"/>
          <w:sz w:val="20"/>
          <w:szCs w:val="20"/>
        </w:rPr>
        <w:t>s.</w:t>
      </w:r>
      <w:r w:rsidRPr="00D61C8A">
        <w:rPr>
          <w:rStyle w:val="EndnoteReference"/>
          <w:rFonts w:ascii="Calibri" w:hAnsi="Calibri"/>
          <w:sz w:val="20"/>
          <w:szCs w:val="20"/>
        </w:rPr>
        <w:endnoteReference w:id="16"/>
      </w:r>
      <w:r w:rsidRPr="00D61C8A">
        <w:rPr>
          <w:rFonts w:ascii="Calibri" w:hAnsi="Calibri"/>
          <w:sz w:val="20"/>
          <w:szCs w:val="20"/>
        </w:rPr>
        <w:t xml:space="preserve">  In 2003 an RNA spokesperson defended the use of ED, claiming, “In a war like this where hundreds of guerrillas try to storm a base manned by a few soldiers, mines are the only defense.”</w:t>
      </w:r>
      <w:r w:rsidRPr="00D61C8A">
        <w:rPr>
          <w:rStyle w:val="EndnoteReference"/>
          <w:rFonts w:ascii="Calibri" w:hAnsi="Calibri"/>
          <w:sz w:val="20"/>
          <w:szCs w:val="20"/>
        </w:rPr>
        <w:endnoteReference w:id="17"/>
      </w:r>
      <w:r w:rsidRPr="00D61C8A">
        <w:rPr>
          <w:rFonts w:ascii="Calibri" w:hAnsi="Calibri"/>
          <w:sz w:val="20"/>
          <w:szCs w:val="20"/>
        </w:rPr>
        <w:t xml:space="preserve">  In 2004, the government began arming local civilian militias to conduct mining.</w:t>
      </w:r>
      <w:r w:rsidRPr="00D61C8A">
        <w:rPr>
          <w:rStyle w:val="EndnoteReference"/>
          <w:rFonts w:ascii="Calibri" w:hAnsi="Calibri"/>
          <w:sz w:val="20"/>
          <w:szCs w:val="20"/>
        </w:rPr>
        <w:endnoteReference w:id="18"/>
      </w:r>
    </w:p>
    <w:p w:rsidR="00B454FB" w:rsidRDefault="00B454FB" w:rsidP="00B454FB">
      <w:pPr>
        <w:pStyle w:val="Heading2"/>
        <w:numPr>
          <w:ilvl w:val="0"/>
          <w:numId w:val="0"/>
        </w:numPr>
        <w:spacing w:before="0"/>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The RNA laid 53 antipersonnel minefields,</w:t>
      </w:r>
      <w:r w:rsidRPr="00D61C8A">
        <w:rPr>
          <w:rStyle w:val="EndnoteReference"/>
          <w:rFonts w:ascii="Calibri" w:hAnsi="Calibri"/>
          <w:sz w:val="20"/>
          <w:szCs w:val="20"/>
        </w:rPr>
        <w:endnoteReference w:id="19"/>
      </w:r>
      <w:r w:rsidRPr="00D61C8A">
        <w:rPr>
          <w:rFonts w:ascii="Calibri" w:hAnsi="Calibri"/>
          <w:sz w:val="20"/>
          <w:szCs w:val="20"/>
        </w:rPr>
        <w:t xml:space="preserve"> each of which typically covered 10,000 to 20,000 square meters.</w:t>
      </w:r>
      <w:r w:rsidRPr="00D61C8A">
        <w:rPr>
          <w:rStyle w:val="EndnoteReference"/>
          <w:rFonts w:ascii="Calibri" w:hAnsi="Calibri"/>
          <w:sz w:val="20"/>
          <w:szCs w:val="20"/>
        </w:rPr>
        <w:endnoteReference w:id="20"/>
      </w:r>
      <w:r w:rsidRPr="00D61C8A">
        <w:rPr>
          <w:rFonts w:ascii="Calibri" w:hAnsi="Calibri"/>
          <w:sz w:val="20"/>
          <w:szCs w:val="20"/>
        </w:rPr>
        <w:t xml:space="preserve">  In 2008 the Nepalese Army (NA) estimated that it had deployed approximately 14,000 antipersonnel landmines, including 11,000 PMD-6 box, 3000 POMZ-2 fragmentation and M14 low-level landmines.</w:t>
      </w:r>
      <w:r w:rsidRPr="00D61C8A">
        <w:rPr>
          <w:rStyle w:val="EndnoteReference"/>
          <w:rFonts w:ascii="Calibri" w:hAnsi="Calibri"/>
          <w:sz w:val="20"/>
          <w:szCs w:val="20"/>
        </w:rPr>
        <w:endnoteReference w:id="21"/>
      </w:r>
    </w:p>
    <w:p w:rsidR="00B454FB" w:rsidRPr="00D61C8A" w:rsidRDefault="00B454FB" w:rsidP="00B454FB">
      <w:pPr>
        <w:rPr>
          <w:rFonts w:ascii="Calibri" w:hAnsi="Calibri"/>
          <w:sz w:val="20"/>
          <w:szCs w:val="20"/>
        </w:rPr>
      </w:pPr>
    </w:p>
    <w:p w:rsidR="00B454FB" w:rsidRDefault="00B454FB" w:rsidP="00B454FB">
      <w:r>
        <w:rPr>
          <w:rFonts w:ascii="Calibri" w:hAnsi="Calibri"/>
          <w:sz w:val="20"/>
          <w:szCs w:val="20"/>
        </w:rPr>
        <w:br w:type="page"/>
      </w:r>
    </w:p>
    <w:p w:rsidR="00B454FB" w:rsidRPr="00EE3F80" w:rsidRDefault="00B454FB" w:rsidP="00B454FB">
      <w:pPr>
        <w:pStyle w:val="Caption"/>
        <w:keepNext/>
        <w:rPr>
          <w:rFonts w:ascii="Calibri" w:hAnsi="Calibri"/>
          <w:b w:val="0"/>
          <w:sz w:val="16"/>
        </w:rPr>
      </w:pPr>
      <w:r w:rsidRPr="00EE3F80">
        <w:rPr>
          <w:rFonts w:ascii="Calibri" w:hAnsi="Calibri"/>
          <w:b w:val="0"/>
          <w:sz w:val="16"/>
        </w:rPr>
        <w:lastRenderedPageBreak/>
        <w:t xml:space="preserve">Figure </w:t>
      </w:r>
      <w:r w:rsidR="008C78B9" w:rsidRPr="00EE3F80">
        <w:rPr>
          <w:rFonts w:ascii="Calibri" w:hAnsi="Calibri"/>
          <w:b w:val="0"/>
          <w:sz w:val="16"/>
        </w:rPr>
        <w:fldChar w:fldCharType="begin"/>
      </w:r>
      <w:r w:rsidRPr="00EE3F80">
        <w:rPr>
          <w:rFonts w:ascii="Calibri" w:hAnsi="Calibri"/>
          <w:b w:val="0"/>
          <w:sz w:val="16"/>
        </w:rPr>
        <w:instrText xml:space="preserve"> SEQ Figure \* ARABIC </w:instrText>
      </w:r>
      <w:r w:rsidR="008C78B9" w:rsidRPr="00EE3F80">
        <w:rPr>
          <w:rFonts w:ascii="Calibri" w:hAnsi="Calibri"/>
          <w:b w:val="0"/>
          <w:sz w:val="16"/>
        </w:rPr>
        <w:fldChar w:fldCharType="separate"/>
      </w:r>
      <w:r w:rsidR="006E411E">
        <w:rPr>
          <w:rFonts w:ascii="Calibri" w:hAnsi="Calibri"/>
          <w:b w:val="0"/>
          <w:noProof/>
          <w:sz w:val="16"/>
        </w:rPr>
        <w:t>2</w:t>
      </w:r>
      <w:r w:rsidR="008C78B9" w:rsidRPr="00EE3F80">
        <w:rPr>
          <w:rFonts w:ascii="Calibri" w:hAnsi="Calibri"/>
          <w:b w:val="0"/>
          <w:sz w:val="16"/>
        </w:rPr>
        <w:fldChar w:fldCharType="end"/>
      </w:r>
      <w:r w:rsidRPr="00EE3F80">
        <w:rPr>
          <w:rFonts w:ascii="Calibri" w:hAnsi="Calibri"/>
          <w:b w:val="0"/>
          <w:sz w:val="16"/>
        </w:rPr>
        <w:t>. Administrative/political units of Nepal (</w:t>
      </w:r>
      <w:r w:rsidRPr="00EE3F80">
        <w:rPr>
          <w:rFonts w:ascii="Calibri" w:hAnsi="Calibri"/>
          <w:b w:val="0"/>
          <w:i/>
          <w:sz w:val="16"/>
        </w:rPr>
        <w:t>Source: http://www.un.org.np/reports/maps/npcgis/NatBio00001.jpg</w:t>
      </w:r>
      <w:r w:rsidRPr="00EE3F80">
        <w:rPr>
          <w:rFonts w:ascii="Calibri" w:hAnsi="Calibri"/>
          <w:b w:val="0"/>
          <w:sz w:val="16"/>
        </w:rPr>
        <w:t>)</w:t>
      </w:r>
    </w:p>
    <w:p w:rsidR="00B454FB" w:rsidRPr="00EE3F80" w:rsidRDefault="00407A28" w:rsidP="00B454FB">
      <w:pPr>
        <w:pStyle w:val="Caption"/>
        <w:keepNext/>
        <w:rPr>
          <w:b w:val="0"/>
        </w:rPr>
      </w:pPr>
      <w:r>
        <w:rPr>
          <w:rFonts w:ascii="Calibri" w:hAnsi="Calibri"/>
          <w:noProof/>
        </w:rPr>
        <w:drawing>
          <wp:inline distT="0" distB="0" distL="0" distR="0">
            <wp:extent cx="6155055" cy="8288655"/>
            <wp:effectExtent l="19050" t="0" r="0" b="0"/>
            <wp:docPr id="1" name="Picture 1"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pic:cNvPicPr>
                      <a:picLocks noChangeAspect="1" noChangeArrowheads="1"/>
                    </pic:cNvPicPr>
                  </pic:nvPicPr>
                  <pic:blipFill>
                    <a:blip r:embed="rId9" cstate="print"/>
                    <a:srcRect/>
                    <a:stretch>
                      <a:fillRect/>
                    </a:stretch>
                  </pic:blipFill>
                  <pic:spPr bwMode="auto">
                    <a:xfrm>
                      <a:off x="0" y="0"/>
                      <a:ext cx="6155055" cy="8288655"/>
                    </a:xfrm>
                    <a:prstGeom prst="rect">
                      <a:avLst/>
                    </a:prstGeom>
                    <a:noFill/>
                    <a:ln w="9525">
                      <a:noFill/>
                      <a:miter lim="800000"/>
                      <a:headEnd/>
                      <a:tailEnd/>
                    </a:ln>
                  </pic:spPr>
                </pic:pic>
              </a:graphicData>
            </a:graphic>
          </wp:inline>
        </w:drawing>
      </w:r>
      <w:r w:rsidR="00B454FB">
        <w:rPr>
          <w:rFonts w:ascii="Calibri" w:hAnsi="Calibri"/>
        </w:rPr>
        <w:br w:type="page"/>
      </w:r>
      <w:r w:rsidR="00B454FB" w:rsidRPr="00EE3F80">
        <w:rPr>
          <w:rFonts w:ascii="Calibri" w:hAnsi="Calibri"/>
          <w:b w:val="0"/>
        </w:rPr>
        <w:lastRenderedPageBreak/>
        <w:t>The RNA also laid approximately 300 areas of IED.</w:t>
      </w:r>
      <w:r w:rsidR="00B454FB" w:rsidRPr="00EE3F80">
        <w:rPr>
          <w:rStyle w:val="EndnoteReference"/>
          <w:rFonts w:ascii="Calibri" w:hAnsi="Calibri"/>
          <w:b w:val="0"/>
        </w:rPr>
        <w:endnoteReference w:id="22"/>
      </w:r>
      <w:r w:rsidR="00B454FB" w:rsidRPr="00EE3F80">
        <w:rPr>
          <w:rFonts w:ascii="Calibri" w:hAnsi="Calibri"/>
          <w:b w:val="0"/>
        </w:rPr>
        <w:t xml:space="preserve">  The RNA claims that it laid approximately 25,000 command-detonated Claymore-type IED</w:t>
      </w:r>
      <w:r w:rsidR="00B454FB" w:rsidRPr="00EE3F80">
        <w:rPr>
          <w:rStyle w:val="EndnoteReference"/>
          <w:rFonts w:ascii="Calibri" w:hAnsi="Calibri"/>
          <w:b w:val="0"/>
        </w:rPr>
        <w:endnoteReference w:id="23"/>
      </w:r>
      <w:r w:rsidR="00B454FB" w:rsidRPr="00EE3F80">
        <w:rPr>
          <w:rFonts w:ascii="Calibri" w:hAnsi="Calibri"/>
          <w:b w:val="0"/>
        </w:rPr>
        <w:t xml:space="preserve"> and the APF claims that it laid command-detonated devices called “ordnance explosive devices” to protect the </w:t>
      </w:r>
    </w:p>
    <w:p w:rsidR="00B454FB" w:rsidRDefault="00B454FB" w:rsidP="00B454FB">
      <w:pPr>
        <w:rPr>
          <w:rFonts w:ascii="Calibri" w:eastAsia="Cambria" w:hAnsi="Calibri"/>
          <w:sz w:val="20"/>
          <w:szCs w:val="20"/>
        </w:rPr>
      </w:pPr>
      <w:r w:rsidRPr="00D61C8A">
        <w:rPr>
          <w:rFonts w:ascii="Calibri" w:hAnsi="Calibri"/>
          <w:sz w:val="20"/>
          <w:szCs w:val="20"/>
        </w:rPr>
        <w:t>perimeters of its posts.</w:t>
      </w:r>
      <w:r w:rsidRPr="00D61C8A">
        <w:rPr>
          <w:rStyle w:val="EndnoteReference"/>
          <w:rFonts w:ascii="Calibri" w:hAnsi="Calibri"/>
          <w:sz w:val="20"/>
          <w:szCs w:val="20"/>
        </w:rPr>
        <w:endnoteReference w:id="24"/>
      </w:r>
      <w:r w:rsidRPr="00D61C8A">
        <w:rPr>
          <w:rFonts w:ascii="Calibri" w:hAnsi="Calibri"/>
          <w:sz w:val="20"/>
          <w:szCs w:val="20"/>
        </w:rPr>
        <w:t xml:space="preserve">  Landmine Monitor </w:t>
      </w:r>
      <w:r w:rsidR="00197F0B">
        <w:rPr>
          <w:rFonts w:ascii="Calibri" w:hAnsi="Calibri"/>
          <w:sz w:val="20"/>
          <w:szCs w:val="20"/>
        </w:rPr>
        <w:t>reported</w:t>
      </w:r>
      <w:r w:rsidR="00197F0B" w:rsidRPr="00D61C8A">
        <w:rPr>
          <w:rFonts w:ascii="Calibri" w:hAnsi="Calibri"/>
          <w:sz w:val="20"/>
          <w:szCs w:val="20"/>
        </w:rPr>
        <w:t xml:space="preserve"> </w:t>
      </w:r>
      <w:r w:rsidRPr="00D61C8A">
        <w:rPr>
          <w:rFonts w:ascii="Calibri" w:hAnsi="Calibri"/>
          <w:sz w:val="20"/>
          <w:szCs w:val="20"/>
        </w:rPr>
        <w:t xml:space="preserve">that members of the APF and other </w:t>
      </w:r>
      <w:r>
        <w:rPr>
          <w:rFonts w:ascii="Calibri" w:hAnsi="Calibri"/>
          <w:sz w:val="20"/>
          <w:szCs w:val="20"/>
        </w:rPr>
        <w:t>non-RNA government</w:t>
      </w:r>
      <w:r w:rsidRPr="00D61C8A">
        <w:rPr>
          <w:rFonts w:ascii="Calibri" w:hAnsi="Calibri"/>
          <w:sz w:val="20"/>
          <w:szCs w:val="20"/>
        </w:rPr>
        <w:t xml:space="preserve"> security forces were less likely to map or mark ED than the RNA.</w:t>
      </w:r>
      <w:r w:rsidRPr="00D61C8A">
        <w:rPr>
          <w:rStyle w:val="EndnoteReference"/>
          <w:rFonts w:ascii="Calibri" w:hAnsi="Calibri"/>
          <w:sz w:val="20"/>
          <w:szCs w:val="20"/>
        </w:rPr>
        <w:endnoteReference w:id="25"/>
      </w:r>
      <w:r>
        <w:rPr>
          <w:rFonts w:ascii="Calibri" w:hAnsi="Calibri"/>
          <w:sz w:val="20"/>
          <w:szCs w:val="20"/>
        </w:rPr>
        <w:t xml:space="preserve">  </w:t>
      </w:r>
      <w:r w:rsidRPr="00D61C8A">
        <w:rPr>
          <w:rFonts w:ascii="Calibri" w:hAnsi="Calibri"/>
          <w:sz w:val="20"/>
          <w:szCs w:val="20"/>
        </w:rPr>
        <w:t xml:space="preserve">In 2009, Landmine Monitor reported </w:t>
      </w:r>
      <w:r>
        <w:rPr>
          <w:rFonts w:ascii="Calibri" w:hAnsi="Calibri"/>
          <w:sz w:val="20"/>
          <w:szCs w:val="20"/>
        </w:rPr>
        <w:t>the acknowledgement by an</w:t>
      </w:r>
      <w:r w:rsidRPr="00D61C8A">
        <w:rPr>
          <w:rFonts w:ascii="Calibri" w:hAnsi="Calibri"/>
          <w:sz w:val="20"/>
          <w:szCs w:val="20"/>
        </w:rPr>
        <w:t xml:space="preserve"> RNA officer that soldiers frequently constructed command-detonated IED out of rockets, bombs, antivehicle </w:t>
      </w:r>
      <w:r>
        <w:rPr>
          <w:rFonts w:ascii="Calibri" w:hAnsi="Calibri"/>
          <w:sz w:val="20"/>
          <w:szCs w:val="20"/>
        </w:rPr>
        <w:t>land</w:t>
      </w:r>
      <w:r w:rsidRPr="00D61C8A">
        <w:rPr>
          <w:rFonts w:ascii="Calibri" w:hAnsi="Calibri"/>
          <w:sz w:val="20"/>
          <w:szCs w:val="20"/>
        </w:rPr>
        <w:t>mines and mortar shells.</w:t>
      </w:r>
      <w:r w:rsidRPr="00D61C8A">
        <w:rPr>
          <w:rStyle w:val="EndnoteReference"/>
          <w:rFonts w:ascii="Calibri" w:hAnsi="Calibri"/>
          <w:sz w:val="20"/>
          <w:szCs w:val="20"/>
        </w:rPr>
        <w:endnoteReference w:id="26"/>
      </w:r>
      <w:r w:rsidRPr="00D61C8A">
        <w:rPr>
          <w:rFonts w:ascii="Calibri" w:eastAsia="Cambria" w:hAnsi="Calibri"/>
          <w:sz w:val="20"/>
          <w:szCs w:val="20"/>
        </w:rPr>
        <w:t xml:space="preserve"> </w:t>
      </w:r>
    </w:p>
    <w:p w:rsidR="00B454FB" w:rsidRDefault="00B454FB" w:rsidP="00B454FB">
      <w:pPr>
        <w:pStyle w:val="Heading3"/>
        <w:numPr>
          <w:ilvl w:val="0"/>
          <w:numId w:val="0"/>
        </w:numPr>
        <w:spacing w:before="0"/>
        <w:rPr>
          <w:rFonts w:ascii="Calibri" w:hAnsi="Calibri"/>
          <w:sz w:val="20"/>
          <w:szCs w:val="20"/>
        </w:rPr>
      </w:pPr>
    </w:p>
    <w:p w:rsidR="00B454FB" w:rsidRDefault="00B454FB" w:rsidP="00B454FB">
      <w:pPr>
        <w:pStyle w:val="Heading3"/>
        <w:numPr>
          <w:ilvl w:val="0"/>
          <w:numId w:val="0"/>
        </w:numPr>
        <w:spacing w:before="0"/>
        <w:rPr>
          <w:rFonts w:ascii="Calibri" w:hAnsi="Calibri"/>
          <w:sz w:val="20"/>
          <w:szCs w:val="20"/>
        </w:rPr>
      </w:pPr>
      <w:r>
        <w:rPr>
          <w:rFonts w:ascii="Calibri" w:hAnsi="Calibri"/>
          <w:sz w:val="20"/>
          <w:szCs w:val="20"/>
        </w:rPr>
        <w:t>III.B.2</w:t>
      </w:r>
      <w:r>
        <w:rPr>
          <w:rFonts w:ascii="Calibri" w:hAnsi="Calibri"/>
          <w:sz w:val="20"/>
          <w:szCs w:val="20"/>
        </w:rPr>
        <w:tab/>
      </w:r>
      <w:r>
        <w:rPr>
          <w:rFonts w:ascii="Calibri" w:hAnsi="Calibri"/>
          <w:sz w:val="20"/>
          <w:szCs w:val="20"/>
        </w:rPr>
        <w:tab/>
      </w:r>
      <w:r w:rsidRPr="00D61C8A">
        <w:rPr>
          <w:rFonts w:ascii="Calibri" w:hAnsi="Calibri"/>
          <w:sz w:val="20"/>
          <w:szCs w:val="20"/>
        </w:rPr>
        <w:t xml:space="preserve">Use of </w:t>
      </w:r>
      <w:r>
        <w:rPr>
          <w:rFonts w:ascii="Calibri" w:hAnsi="Calibri"/>
          <w:sz w:val="20"/>
          <w:szCs w:val="20"/>
        </w:rPr>
        <w:t>ED</w:t>
      </w:r>
      <w:r w:rsidRPr="00D61C8A">
        <w:rPr>
          <w:rFonts w:ascii="Calibri" w:hAnsi="Calibri"/>
          <w:sz w:val="20"/>
          <w:szCs w:val="20"/>
        </w:rPr>
        <w:t xml:space="preserve"> by Maoist forces during the conflict</w:t>
      </w:r>
    </w:p>
    <w:p w:rsidR="00B454FB" w:rsidRPr="00A33523" w:rsidRDefault="00B454FB" w:rsidP="00B454FB"/>
    <w:p w:rsidR="00B454FB" w:rsidRPr="00D61C8A" w:rsidRDefault="00B454FB" w:rsidP="00B454FB">
      <w:pPr>
        <w:rPr>
          <w:rFonts w:ascii="Calibri" w:hAnsi="Calibri"/>
          <w:sz w:val="20"/>
          <w:szCs w:val="20"/>
        </w:rPr>
      </w:pPr>
      <w:r w:rsidRPr="00D61C8A">
        <w:rPr>
          <w:rFonts w:ascii="Calibri" w:hAnsi="Calibri"/>
          <w:sz w:val="20"/>
          <w:szCs w:val="20"/>
        </w:rPr>
        <w:t>According to Landmine Monitor, Maoist forces started using ED in 1996</w:t>
      </w:r>
      <w:r w:rsidRPr="00D61C8A">
        <w:rPr>
          <w:rFonts w:ascii="Calibri" w:hAnsi="Calibri"/>
          <w:sz w:val="20"/>
          <w:szCs w:val="20"/>
          <w:vertAlign w:val="superscript"/>
        </w:rPr>
        <w:endnoteReference w:id="27"/>
      </w:r>
      <w:r w:rsidRPr="00D61C8A">
        <w:rPr>
          <w:rFonts w:ascii="Calibri" w:hAnsi="Calibri"/>
          <w:sz w:val="20"/>
          <w:szCs w:val="20"/>
        </w:rPr>
        <w:t xml:space="preserve"> and </w:t>
      </w:r>
      <w:r>
        <w:rPr>
          <w:rFonts w:ascii="Calibri" w:hAnsi="Calibri"/>
          <w:sz w:val="20"/>
          <w:szCs w:val="20"/>
        </w:rPr>
        <w:t>had</w:t>
      </w:r>
      <w:r w:rsidRPr="00D61C8A">
        <w:rPr>
          <w:rFonts w:ascii="Calibri" w:hAnsi="Calibri"/>
          <w:sz w:val="20"/>
          <w:szCs w:val="20"/>
        </w:rPr>
        <w:t xml:space="preserve"> deploy</w:t>
      </w:r>
      <w:r>
        <w:rPr>
          <w:rFonts w:ascii="Calibri" w:hAnsi="Calibri"/>
          <w:sz w:val="20"/>
          <w:szCs w:val="20"/>
        </w:rPr>
        <w:t>ed</w:t>
      </w:r>
      <w:r w:rsidRPr="00D61C8A">
        <w:rPr>
          <w:rFonts w:ascii="Calibri" w:hAnsi="Calibri"/>
          <w:sz w:val="20"/>
          <w:szCs w:val="20"/>
        </w:rPr>
        <w:t xml:space="preserve"> </w:t>
      </w:r>
      <w:r>
        <w:rPr>
          <w:rFonts w:ascii="Calibri" w:hAnsi="Calibri"/>
          <w:sz w:val="20"/>
          <w:szCs w:val="20"/>
        </w:rPr>
        <w:t>ED</w:t>
      </w:r>
      <w:r w:rsidRPr="00D61C8A">
        <w:rPr>
          <w:rFonts w:ascii="Calibri" w:hAnsi="Calibri"/>
          <w:sz w:val="20"/>
          <w:szCs w:val="20"/>
        </w:rPr>
        <w:t xml:space="preserve"> in 72 districts by 2001.</w:t>
      </w:r>
      <w:r w:rsidRPr="00D61C8A">
        <w:rPr>
          <w:rFonts w:ascii="Calibri" w:hAnsi="Calibri"/>
          <w:sz w:val="20"/>
          <w:szCs w:val="20"/>
          <w:vertAlign w:val="superscript"/>
        </w:rPr>
        <w:endnoteReference w:id="28"/>
      </w:r>
      <w:r w:rsidRPr="00D61C8A">
        <w:rPr>
          <w:rFonts w:ascii="Calibri" w:hAnsi="Calibri"/>
          <w:sz w:val="20"/>
          <w:szCs w:val="20"/>
        </w:rPr>
        <w:t xml:space="preserve">  Maoists used especially high numbers of ED in 2001 and 2002</w:t>
      </w:r>
      <w:r w:rsidRPr="00D61C8A">
        <w:rPr>
          <w:rFonts w:ascii="Calibri" w:hAnsi="Calibri"/>
          <w:sz w:val="20"/>
          <w:szCs w:val="20"/>
          <w:vertAlign w:val="superscript"/>
        </w:rPr>
        <w:endnoteReference w:id="29"/>
      </w:r>
      <w:r w:rsidRPr="00D61C8A">
        <w:rPr>
          <w:rFonts w:ascii="Calibri" w:hAnsi="Calibri"/>
          <w:sz w:val="20"/>
          <w:szCs w:val="20"/>
        </w:rPr>
        <w:t xml:space="preserve"> during the escalation of the conflict and the failure of peace talks</w:t>
      </w:r>
      <w:r w:rsidRPr="00D61C8A">
        <w:rPr>
          <w:rFonts w:ascii="Calibri" w:hAnsi="Calibri"/>
          <w:sz w:val="20"/>
          <w:szCs w:val="20"/>
          <w:vertAlign w:val="superscript"/>
        </w:rPr>
        <w:endnoteReference w:id="30"/>
      </w:r>
      <w:r w:rsidRPr="00D61C8A">
        <w:rPr>
          <w:rFonts w:ascii="Calibri" w:hAnsi="Calibri"/>
          <w:sz w:val="20"/>
          <w:szCs w:val="20"/>
        </w:rPr>
        <w:t xml:space="preserve"> but, like government forces, did not use any ED during the 2003 ceasefire.</w:t>
      </w:r>
      <w:r w:rsidRPr="00D61C8A">
        <w:rPr>
          <w:rFonts w:ascii="Calibri" w:hAnsi="Calibri"/>
          <w:sz w:val="20"/>
          <w:szCs w:val="20"/>
          <w:vertAlign w:val="superscript"/>
        </w:rPr>
        <w:endnoteReference w:id="31"/>
      </w:r>
      <w:r w:rsidRPr="00D61C8A">
        <w:rPr>
          <w:rFonts w:ascii="Calibri" w:hAnsi="Calibri"/>
          <w:sz w:val="20"/>
          <w:szCs w:val="20"/>
        </w:rPr>
        <w:t xml:space="preserve">  In 2004, Landmine Monitor claimed that the Maoists had used ED “much more extensively” than government forces.</w:t>
      </w:r>
      <w:r w:rsidRPr="00D61C8A">
        <w:rPr>
          <w:rFonts w:ascii="Calibri" w:hAnsi="Calibri"/>
          <w:sz w:val="20"/>
          <w:szCs w:val="20"/>
          <w:vertAlign w:val="superscript"/>
        </w:rPr>
        <w:endnoteReference w:id="32"/>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Maoist forces used ED to ambush </w:t>
      </w:r>
      <w:r>
        <w:rPr>
          <w:rFonts w:ascii="Calibri" w:hAnsi="Calibri"/>
          <w:sz w:val="20"/>
          <w:szCs w:val="20"/>
        </w:rPr>
        <w:t>RNA</w:t>
      </w:r>
      <w:r w:rsidRPr="00D61C8A">
        <w:rPr>
          <w:rFonts w:ascii="Calibri" w:hAnsi="Calibri"/>
          <w:sz w:val="20"/>
          <w:szCs w:val="20"/>
        </w:rPr>
        <w:t xml:space="preserve"> and </w:t>
      </w:r>
      <w:r>
        <w:rPr>
          <w:rFonts w:ascii="Calibri" w:hAnsi="Calibri"/>
          <w:sz w:val="20"/>
          <w:szCs w:val="20"/>
        </w:rPr>
        <w:t>Nepal P</w:t>
      </w:r>
      <w:r w:rsidRPr="00D61C8A">
        <w:rPr>
          <w:rFonts w:ascii="Calibri" w:hAnsi="Calibri"/>
          <w:sz w:val="20"/>
          <w:szCs w:val="20"/>
        </w:rPr>
        <w:t>olice personnel</w:t>
      </w:r>
      <w:r w:rsidRPr="00D61C8A">
        <w:rPr>
          <w:rFonts w:ascii="Calibri" w:hAnsi="Calibri"/>
          <w:sz w:val="20"/>
          <w:szCs w:val="20"/>
          <w:vertAlign w:val="superscript"/>
        </w:rPr>
        <w:endnoteReference w:id="33"/>
      </w:r>
      <w:r w:rsidRPr="00D61C8A">
        <w:rPr>
          <w:rFonts w:ascii="Calibri" w:hAnsi="Calibri"/>
          <w:sz w:val="20"/>
          <w:szCs w:val="20"/>
        </w:rPr>
        <w:t xml:space="preserve"> and vehicles;</w:t>
      </w:r>
      <w:r w:rsidRPr="00D61C8A">
        <w:rPr>
          <w:rFonts w:ascii="Calibri" w:hAnsi="Calibri"/>
          <w:sz w:val="20"/>
          <w:szCs w:val="20"/>
          <w:vertAlign w:val="superscript"/>
        </w:rPr>
        <w:endnoteReference w:id="34"/>
      </w:r>
      <w:r w:rsidRPr="00D61C8A">
        <w:rPr>
          <w:rFonts w:ascii="Calibri" w:hAnsi="Calibri"/>
          <w:sz w:val="20"/>
          <w:szCs w:val="20"/>
        </w:rPr>
        <w:t xml:space="preserve"> to destroy buildings, pylons, telecom towers and other infrastructure;</w:t>
      </w:r>
      <w:r w:rsidRPr="00D61C8A">
        <w:rPr>
          <w:rFonts w:ascii="Calibri" w:hAnsi="Calibri"/>
          <w:sz w:val="20"/>
          <w:szCs w:val="20"/>
          <w:vertAlign w:val="superscript"/>
        </w:rPr>
        <w:endnoteReference w:id="35"/>
      </w:r>
      <w:r w:rsidRPr="00D61C8A">
        <w:rPr>
          <w:rFonts w:ascii="Calibri" w:hAnsi="Calibri"/>
          <w:sz w:val="20"/>
          <w:szCs w:val="20"/>
        </w:rPr>
        <w:t xml:space="preserve"> and to prevent government forces from entering areas they controlled.</w:t>
      </w:r>
      <w:r w:rsidRPr="00D61C8A">
        <w:rPr>
          <w:rFonts w:ascii="Calibri" w:hAnsi="Calibri"/>
          <w:sz w:val="20"/>
          <w:szCs w:val="20"/>
          <w:vertAlign w:val="superscript"/>
        </w:rPr>
        <w:endnoteReference w:id="36"/>
      </w:r>
      <w:r w:rsidRPr="00D61C8A">
        <w:rPr>
          <w:rFonts w:ascii="Calibri" w:hAnsi="Calibri"/>
          <w:sz w:val="20"/>
          <w:szCs w:val="20"/>
        </w:rPr>
        <w:t xml:space="preserve">  They also targeted civil authorities including the Chief Justice of the Supreme Court, Nepal Red Cross Society (NRCS) members, teachers, parliamentarians, and representatives of other sectors.</w:t>
      </w:r>
      <w:r w:rsidRPr="00D61C8A">
        <w:rPr>
          <w:rFonts w:ascii="Calibri" w:hAnsi="Calibri"/>
          <w:sz w:val="20"/>
          <w:szCs w:val="20"/>
          <w:vertAlign w:val="superscript"/>
        </w:rPr>
        <w:endnoteReference w:id="37"/>
      </w:r>
      <w:r w:rsidRPr="00D61C8A">
        <w:rPr>
          <w:rFonts w:ascii="Calibri" w:hAnsi="Calibri"/>
          <w:sz w:val="20"/>
          <w:szCs w:val="20"/>
        </w:rPr>
        <w:t xml:space="preserve">  They used ED to attack civilian vehicles including buses and ambulances</w:t>
      </w:r>
      <w:r w:rsidRPr="00D61C8A">
        <w:rPr>
          <w:rFonts w:ascii="Calibri" w:hAnsi="Calibri"/>
          <w:sz w:val="20"/>
          <w:szCs w:val="20"/>
          <w:vertAlign w:val="superscript"/>
        </w:rPr>
        <w:endnoteReference w:id="38"/>
      </w:r>
      <w:r w:rsidRPr="00D61C8A">
        <w:rPr>
          <w:rFonts w:ascii="Calibri" w:hAnsi="Calibri"/>
          <w:sz w:val="20"/>
          <w:szCs w:val="20"/>
        </w:rPr>
        <w:t xml:space="preserve"> and planted ED in and around schools, playgrounds, farmland, and roadsides.</w:t>
      </w:r>
      <w:r w:rsidRPr="00D61C8A">
        <w:rPr>
          <w:rFonts w:ascii="Calibri" w:hAnsi="Calibri"/>
          <w:sz w:val="20"/>
          <w:szCs w:val="20"/>
          <w:vertAlign w:val="superscript"/>
        </w:rPr>
        <w:endnoteReference w:id="39"/>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Landmine Monitor reported in 2005 that the Maoists were using primarily command-detonated ED, </w:t>
      </w:r>
      <w:r>
        <w:rPr>
          <w:rFonts w:ascii="Calibri" w:hAnsi="Calibri"/>
          <w:sz w:val="20"/>
          <w:szCs w:val="20"/>
        </w:rPr>
        <w:t>predominantly</w:t>
      </w:r>
      <w:r w:rsidRPr="00D61C8A">
        <w:rPr>
          <w:rFonts w:ascii="Calibri" w:hAnsi="Calibri"/>
          <w:sz w:val="20"/>
          <w:szCs w:val="20"/>
        </w:rPr>
        <w:t xml:space="preserve"> controlled remotely by radio signals or other devices.</w:t>
      </w:r>
      <w:r w:rsidRPr="00D61C8A">
        <w:rPr>
          <w:rFonts w:ascii="Calibri" w:hAnsi="Calibri"/>
          <w:sz w:val="20"/>
          <w:szCs w:val="20"/>
          <w:vertAlign w:val="superscript"/>
        </w:rPr>
        <w:endnoteReference w:id="40"/>
      </w:r>
      <w:r w:rsidRPr="00D61C8A">
        <w:rPr>
          <w:rFonts w:ascii="Calibri" w:hAnsi="Calibri"/>
          <w:sz w:val="20"/>
          <w:szCs w:val="20"/>
        </w:rPr>
        <w:t xml:space="preserve">  Other Landmine Monitor reports confirmed the use of command-detonated devices;</w:t>
      </w:r>
      <w:r w:rsidRPr="00D61C8A">
        <w:rPr>
          <w:rFonts w:ascii="Calibri" w:hAnsi="Calibri"/>
          <w:sz w:val="20"/>
          <w:szCs w:val="20"/>
          <w:vertAlign w:val="superscript"/>
        </w:rPr>
        <w:endnoteReference w:id="41"/>
      </w:r>
      <w:r w:rsidRPr="00D61C8A">
        <w:rPr>
          <w:rFonts w:ascii="Calibri" w:hAnsi="Calibri"/>
          <w:sz w:val="20"/>
          <w:szCs w:val="20"/>
        </w:rPr>
        <w:t xml:space="preserve"> time-delayed devices using timers;</w:t>
      </w:r>
      <w:r w:rsidRPr="00D61C8A">
        <w:rPr>
          <w:rFonts w:ascii="Calibri" w:hAnsi="Calibri"/>
          <w:sz w:val="20"/>
          <w:szCs w:val="20"/>
          <w:vertAlign w:val="superscript"/>
        </w:rPr>
        <w:endnoteReference w:id="42"/>
      </w:r>
      <w:r w:rsidRPr="00D61C8A">
        <w:rPr>
          <w:rFonts w:ascii="Calibri" w:hAnsi="Calibri"/>
          <w:sz w:val="20"/>
          <w:szCs w:val="20"/>
        </w:rPr>
        <w:t xml:space="preserve"> and victim-activated devices</w:t>
      </w:r>
      <w:r w:rsidRPr="00D61C8A">
        <w:rPr>
          <w:rFonts w:ascii="Calibri" w:hAnsi="Calibri"/>
          <w:sz w:val="20"/>
          <w:szCs w:val="20"/>
          <w:vertAlign w:val="superscript"/>
        </w:rPr>
        <w:endnoteReference w:id="43"/>
      </w:r>
      <w:r w:rsidRPr="00D61C8A">
        <w:rPr>
          <w:rFonts w:ascii="Calibri" w:hAnsi="Calibri"/>
          <w:sz w:val="20"/>
          <w:szCs w:val="20"/>
        </w:rPr>
        <w:t xml:space="preserve"> including pressure and tripwire </w:t>
      </w:r>
      <w:r>
        <w:rPr>
          <w:rFonts w:ascii="Calibri" w:hAnsi="Calibri"/>
          <w:sz w:val="20"/>
          <w:szCs w:val="20"/>
        </w:rPr>
        <w:t>land</w:t>
      </w:r>
      <w:r w:rsidRPr="00D61C8A">
        <w:rPr>
          <w:rFonts w:ascii="Calibri" w:hAnsi="Calibri"/>
          <w:sz w:val="20"/>
          <w:szCs w:val="20"/>
        </w:rPr>
        <w:t>mines</w:t>
      </w:r>
      <w:r w:rsidRPr="00D61C8A">
        <w:rPr>
          <w:rFonts w:ascii="Calibri" w:hAnsi="Calibri"/>
          <w:sz w:val="20"/>
          <w:szCs w:val="20"/>
          <w:vertAlign w:val="superscript"/>
        </w:rPr>
        <w:endnoteReference w:id="44"/>
      </w:r>
      <w:r w:rsidRPr="00D61C8A">
        <w:rPr>
          <w:rFonts w:ascii="Calibri" w:hAnsi="Calibri"/>
          <w:sz w:val="20"/>
          <w:szCs w:val="20"/>
        </w:rPr>
        <w:t xml:space="preserve"> and ED attached to effigies and banners.</w:t>
      </w:r>
      <w:r w:rsidRPr="00D61C8A">
        <w:rPr>
          <w:rFonts w:ascii="Calibri" w:hAnsi="Calibri"/>
          <w:sz w:val="20"/>
          <w:szCs w:val="20"/>
          <w:vertAlign w:val="superscript"/>
        </w:rPr>
        <w:endnoteReference w:id="45"/>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Pr>
          <w:rFonts w:ascii="Calibri" w:hAnsi="Calibri"/>
          <w:sz w:val="20"/>
          <w:szCs w:val="20"/>
        </w:rPr>
        <w:t xml:space="preserve">Maoist forces </w:t>
      </w:r>
      <w:r w:rsidRPr="00D61C8A">
        <w:rPr>
          <w:rFonts w:ascii="Calibri" w:hAnsi="Calibri"/>
          <w:sz w:val="20"/>
          <w:szCs w:val="20"/>
        </w:rPr>
        <w:t>deploy</w:t>
      </w:r>
      <w:r>
        <w:rPr>
          <w:rFonts w:ascii="Calibri" w:hAnsi="Calibri"/>
          <w:sz w:val="20"/>
          <w:szCs w:val="20"/>
        </w:rPr>
        <w:t>ed</w:t>
      </w:r>
      <w:r w:rsidRPr="00D61C8A">
        <w:rPr>
          <w:rFonts w:ascii="Calibri" w:hAnsi="Calibri"/>
          <w:sz w:val="20"/>
          <w:szCs w:val="20"/>
        </w:rPr>
        <w:t xml:space="preserve"> some factory-made Claymore-type </w:t>
      </w:r>
      <w:r>
        <w:rPr>
          <w:rFonts w:ascii="Calibri" w:hAnsi="Calibri"/>
          <w:sz w:val="20"/>
          <w:szCs w:val="20"/>
        </w:rPr>
        <w:t>land</w:t>
      </w:r>
      <w:r w:rsidRPr="00D61C8A">
        <w:rPr>
          <w:rFonts w:ascii="Calibri" w:hAnsi="Calibri"/>
          <w:sz w:val="20"/>
          <w:szCs w:val="20"/>
        </w:rPr>
        <w:t>mines which may have been captured from government stocks</w:t>
      </w:r>
      <w:r>
        <w:rPr>
          <w:rFonts w:ascii="Calibri" w:hAnsi="Calibri"/>
          <w:sz w:val="20"/>
          <w:szCs w:val="20"/>
        </w:rPr>
        <w:t xml:space="preserve">, although they </w:t>
      </w:r>
      <w:r w:rsidRPr="00D61C8A">
        <w:rPr>
          <w:rFonts w:ascii="Calibri" w:hAnsi="Calibri"/>
          <w:sz w:val="20"/>
          <w:szCs w:val="20"/>
        </w:rPr>
        <w:t>did not use factory-made antipersonnel landmines.</w:t>
      </w:r>
      <w:r w:rsidRPr="00D61C8A">
        <w:rPr>
          <w:rFonts w:ascii="Calibri" w:hAnsi="Calibri"/>
          <w:sz w:val="20"/>
          <w:szCs w:val="20"/>
          <w:vertAlign w:val="superscript"/>
        </w:rPr>
        <w:endnoteReference w:id="46"/>
      </w:r>
      <w:r w:rsidRPr="00D61C8A">
        <w:rPr>
          <w:rFonts w:ascii="Calibri" w:hAnsi="Calibri"/>
          <w:sz w:val="20"/>
          <w:szCs w:val="20"/>
        </w:rPr>
        <w:t xml:space="preserve">  Maoist forces predominantly used homemade IED,</w:t>
      </w:r>
      <w:r w:rsidRPr="00D61C8A">
        <w:rPr>
          <w:rFonts w:ascii="Calibri" w:hAnsi="Calibri"/>
          <w:sz w:val="20"/>
          <w:szCs w:val="20"/>
          <w:vertAlign w:val="superscript"/>
        </w:rPr>
        <w:endnoteReference w:id="47"/>
      </w:r>
      <w:r w:rsidRPr="00D61C8A">
        <w:rPr>
          <w:rFonts w:ascii="Calibri" w:hAnsi="Calibri"/>
          <w:sz w:val="20"/>
          <w:szCs w:val="20"/>
        </w:rPr>
        <w:t xml:space="preserve"> many of which consisted of steel containers such as pressure cookers or metal pipes filled wi</w:t>
      </w:r>
      <w:r>
        <w:rPr>
          <w:rFonts w:ascii="Calibri" w:hAnsi="Calibri"/>
          <w:sz w:val="20"/>
          <w:szCs w:val="20"/>
        </w:rPr>
        <w:t xml:space="preserve">th gelatin and detonated with </w:t>
      </w:r>
      <w:r w:rsidRPr="00D61C8A">
        <w:rPr>
          <w:rFonts w:ascii="Calibri" w:hAnsi="Calibri"/>
          <w:sz w:val="20"/>
          <w:szCs w:val="20"/>
        </w:rPr>
        <w:t>basic triggering device</w:t>
      </w:r>
      <w:r>
        <w:rPr>
          <w:rFonts w:ascii="Calibri" w:hAnsi="Calibri"/>
          <w:sz w:val="20"/>
          <w:szCs w:val="20"/>
        </w:rPr>
        <w:t>s</w:t>
      </w:r>
      <w:r w:rsidRPr="00D61C8A">
        <w:rPr>
          <w:rFonts w:ascii="Calibri" w:hAnsi="Calibri"/>
          <w:sz w:val="20"/>
          <w:szCs w:val="20"/>
        </w:rPr>
        <w:t>.</w:t>
      </w:r>
      <w:r w:rsidRPr="00D61C8A">
        <w:rPr>
          <w:rFonts w:ascii="Calibri" w:hAnsi="Calibri"/>
          <w:sz w:val="20"/>
          <w:szCs w:val="20"/>
          <w:vertAlign w:val="superscript"/>
        </w:rPr>
        <w:endnoteReference w:id="48"/>
      </w:r>
      <w:r w:rsidRPr="00D61C8A">
        <w:rPr>
          <w:rFonts w:ascii="Calibri" w:hAnsi="Calibri"/>
          <w:sz w:val="20"/>
          <w:szCs w:val="20"/>
        </w:rPr>
        <w:t xml:space="preserve"> </w:t>
      </w:r>
      <w:r w:rsidR="00BE312A">
        <w:rPr>
          <w:rFonts w:ascii="Calibri" w:hAnsi="Calibri"/>
          <w:sz w:val="20"/>
          <w:szCs w:val="20"/>
        </w:rPr>
        <w:t xml:space="preserve">In addition, they </w:t>
      </w:r>
      <w:r w:rsidRPr="00D61C8A">
        <w:rPr>
          <w:rFonts w:ascii="Calibri" w:hAnsi="Calibri"/>
          <w:sz w:val="20"/>
          <w:szCs w:val="20"/>
        </w:rPr>
        <w:t>used bucket bombs,</w:t>
      </w:r>
      <w:r w:rsidRPr="00D61C8A">
        <w:rPr>
          <w:rFonts w:ascii="Calibri" w:hAnsi="Calibri"/>
          <w:sz w:val="20"/>
          <w:szCs w:val="20"/>
          <w:vertAlign w:val="superscript"/>
        </w:rPr>
        <w:endnoteReference w:id="49"/>
      </w:r>
      <w:r w:rsidRPr="00D61C8A">
        <w:rPr>
          <w:rFonts w:ascii="Calibri" w:hAnsi="Calibri"/>
          <w:sz w:val="20"/>
          <w:szCs w:val="20"/>
        </w:rPr>
        <w:t xml:space="preserve"> packet bombs (which are carried in plastic bags and which can be thrown over walls),</w:t>
      </w:r>
      <w:r w:rsidRPr="00D61C8A">
        <w:rPr>
          <w:rFonts w:ascii="Calibri" w:hAnsi="Calibri"/>
          <w:sz w:val="20"/>
          <w:szCs w:val="20"/>
          <w:vertAlign w:val="superscript"/>
        </w:rPr>
        <w:endnoteReference w:id="50"/>
      </w:r>
      <w:r w:rsidRPr="00D61C8A">
        <w:rPr>
          <w:rFonts w:ascii="Calibri" w:hAnsi="Calibri"/>
          <w:sz w:val="20"/>
          <w:szCs w:val="20"/>
        </w:rPr>
        <w:t xml:space="preserve"> pipe bombs,</w:t>
      </w:r>
      <w:r w:rsidRPr="00D61C8A">
        <w:rPr>
          <w:rFonts w:ascii="Calibri" w:hAnsi="Calibri"/>
          <w:sz w:val="20"/>
          <w:szCs w:val="20"/>
          <w:vertAlign w:val="superscript"/>
        </w:rPr>
        <w:endnoteReference w:id="51"/>
      </w:r>
      <w:r w:rsidRPr="00D61C8A">
        <w:rPr>
          <w:rFonts w:ascii="Calibri" w:hAnsi="Calibri"/>
          <w:sz w:val="20"/>
          <w:szCs w:val="20"/>
        </w:rPr>
        <w:t xml:space="preserve"> pressure-cooker bombs,</w:t>
      </w:r>
      <w:r w:rsidRPr="00D61C8A">
        <w:rPr>
          <w:rFonts w:ascii="Calibri" w:hAnsi="Calibri"/>
          <w:sz w:val="20"/>
          <w:szCs w:val="20"/>
          <w:vertAlign w:val="superscript"/>
        </w:rPr>
        <w:endnoteReference w:id="52"/>
      </w:r>
      <w:r w:rsidRPr="00D61C8A">
        <w:rPr>
          <w:rFonts w:ascii="Calibri" w:hAnsi="Calibri"/>
          <w:sz w:val="20"/>
          <w:szCs w:val="20"/>
        </w:rPr>
        <w:t xml:space="preserve"> socket bombs (improvised hand grenades made of galvanized pipe sockets)</w:t>
      </w:r>
      <w:r w:rsidRPr="00D61C8A">
        <w:rPr>
          <w:rFonts w:ascii="Calibri" w:hAnsi="Calibri"/>
          <w:sz w:val="20"/>
          <w:szCs w:val="20"/>
          <w:vertAlign w:val="superscript"/>
        </w:rPr>
        <w:endnoteReference w:id="53"/>
      </w:r>
      <w:r w:rsidRPr="00D61C8A">
        <w:rPr>
          <w:rFonts w:ascii="Calibri" w:hAnsi="Calibri"/>
          <w:sz w:val="20"/>
          <w:szCs w:val="20"/>
        </w:rPr>
        <w:t xml:space="preserve"> and sutali bombs (improvised hand grenades).</w:t>
      </w:r>
      <w:r w:rsidRPr="00D61C8A">
        <w:rPr>
          <w:rFonts w:ascii="Calibri" w:hAnsi="Calibri"/>
          <w:sz w:val="20"/>
          <w:szCs w:val="20"/>
          <w:vertAlign w:val="superscript"/>
        </w:rPr>
        <w:endnoteReference w:id="54"/>
      </w:r>
      <w:r w:rsidRPr="00D61C8A">
        <w:rPr>
          <w:rFonts w:ascii="Calibri" w:hAnsi="Calibri"/>
          <w:sz w:val="20"/>
          <w:szCs w:val="20"/>
        </w:rPr>
        <w:t xml:space="preserve">  According to Landmine Monitor and the Electronic Mine Action Network (E-MINE), socket and sutali bombs have accounted for most </w:t>
      </w:r>
      <w:r>
        <w:rPr>
          <w:rFonts w:ascii="Calibri" w:hAnsi="Calibri"/>
          <w:sz w:val="20"/>
          <w:szCs w:val="20"/>
        </w:rPr>
        <w:t>unexploded ordnance (</w:t>
      </w:r>
      <w:r w:rsidRPr="00D61C8A">
        <w:rPr>
          <w:rFonts w:ascii="Calibri" w:hAnsi="Calibri"/>
          <w:sz w:val="20"/>
          <w:szCs w:val="20"/>
        </w:rPr>
        <w:t>UXO</w:t>
      </w:r>
      <w:r>
        <w:rPr>
          <w:rFonts w:ascii="Calibri" w:hAnsi="Calibri"/>
          <w:sz w:val="20"/>
          <w:szCs w:val="20"/>
        </w:rPr>
        <w:t>)</w:t>
      </w:r>
      <w:r w:rsidRPr="00D61C8A">
        <w:rPr>
          <w:rFonts w:ascii="Calibri" w:hAnsi="Calibri"/>
          <w:sz w:val="20"/>
          <w:szCs w:val="20"/>
        </w:rPr>
        <w:t xml:space="preserve"> contamination threatening civilians.</w:t>
      </w:r>
      <w:r w:rsidRPr="00D61C8A">
        <w:rPr>
          <w:rFonts w:ascii="Calibri" w:hAnsi="Calibri"/>
          <w:sz w:val="20"/>
          <w:szCs w:val="20"/>
          <w:vertAlign w:val="superscript"/>
        </w:rPr>
        <w:endnoteReference w:id="55"/>
      </w:r>
    </w:p>
    <w:p w:rsidR="00B454FB" w:rsidRPr="00D61C8A" w:rsidRDefault="00B454FB" w:rsidP="00B454FB">
      <w:pPr>
        <w:rPr>
          <w:rFonts w:ascii="Calibri" w:hAnsi="Calibri"/>
        </w:rPr>
      </w:pPr>
    </w:p>
    <w:p w:rsidR="00B454FB" w:rsidRPr="00D61C8A" w:rsidRDefault="00B454FB" w:rsidP="00B454FB">
      <w:pPr>
        <w:pStyle w:val="Heading2"/>
        <w:numPr>
          <w:ilvl w:val="0"/>
          <w:numId w:val="0"/>
        </w:numPr>
        <w:spacing w:before="0"/>
        <w:rPr>
          <w:rFonts w:ascii="Calibri" w:hAnsi="Calibri"/>
        </w:rPr>
      </w:pPr>
      <w:r>
        <w:rPr>
          <w:rFonts w:ascii="Calibri" w:hAnsi="Calibri"/>
        </w:rPr>
        <w:t>III.C</w:t>
      </w:r>
      <w:r>
        <w:rPr>
          <w:rFonts w:ascii="Calibri" w:hAnsi="Calibri"/>
        </w:rPr>
        <w:tab/>
      </w:r>
      <w:r>
        <w:rPr>
          <w:rFonts w:ascii="Calibri" w:hAnsi="Calibri"/>
        </w:rPr>
        <w:tab/>
      </w:r>
      <w:r w:rsidRPr="00D61C8A">
        <w:rPr>
          <w:rFonts w:ascii="Calibri" w:hAnsi="Calibri"/>
        </w:rPr>
        <w:t>C</w:t>
      </w:r>
      <w:r>
        <w:rPr>
          <w:rFonts w:ascii="Calibri" w:hAnsi="Calibri"/>
        </w:rPr>
        <w:t>learance, c</w:t>
      </w:r>
      <w:r w:rsidRPr="00D61C8A">
        <w:rPr>
          <w:rFonts w:ascii="Calibri" w:hAnsi="Calibri"/>
        </w:rPr>
        <w:t xml:space="preserve">ontamination </w:t>
      </w:r>
      <w:r>
        <w:rPr>
          <w:rFonts w:ascii="Calibri" w:hAnsi="Calibri"/>
        </w:rPr>
        <w:t xml:space="preserve">and renewed ED use </w:t>
      </w:r>
      <w:r w:rsidRPr="00D61C8A">
        <w:rPr>
          <w:rFonts w:ascii="Calibri" w:hAnsi="Calibri"/>
        </w:rPr>
        <w:t>following the conflict</w:t>
      </w:r>
    </w:p>
    <w:p w:rsidR="00B454FB" w:rsidRPr="00D61C8A" w:rsidRDefault="00B454FB" w:rsidP="00B454FB">
      <w:pPr>
        <w:rPr>
          <w:rFonts w:ascii="Calibri" w:hAnsi="Calibri"/>
        </w:rPr>
      </w:pPr>
    </w:p>
    <w:p w:rsidR="00B454FB" w:rsidRDefault="00B454FB" w:rsidP="00B454FB">
      <w:pPr>
        <w:pStyle w:val="Heading3"/>
        <w:numPr>
          <w:ilvl w:val="0"/>
          <w:numId w:val="0"/>
        </w:numPr>
        <w:spacing w:before="0"/>
        <w:rPr>
          <w:rFonts w:ascii="Calibri" w:hAnsi="Calibri"/>
          <w:sz w:val="20"/>
          <w:szCs w:val="20"/>
        </w:rPr>
      </w:pPr>
      <w:r>
        <w:rPr>
          <w:rFonts w:ascii="Calibri" w:hAnsi="Calibri"/>
          <w:sz w:val="20"/>
          <w:szCs w:val="20"/>
        </w:rPr>
        <w:t>III.C.1</w:t>
      </w:r>
      <w:r>
        <w:rPr>
          <w:rFonts w:ascii="Calibri" w:hAnsi="Calibri"/>
          <w:sz w:val="20"/>
          <w:szCs w:val="20"/>
        </w:rPr>
        <w:tab/>
      </w:r>
      <w:r>
        <w:rPr>
          <w:rFonts w:ascii="Calibri" w:hAnsi="Calibri"/>
          <w:sz w:val="20"/>
          <w:szCs w:val="20"/>
        </w:rPr>
        <w:tab/>
      </w:r>
      <w:r w:rsidRPr="00D61C8A">
        <w:rPr>
          <w:rFonts w:ascii="Calibri" w:hAnsi="Calibri"/>
          <w:sz w:val="20"/>
          <w:szCs w:val="20"/>
        </w:rPr>
        <w:t>The CPA and the official end of the conflict</w:t>
      </w:r>
    </w:p>
    <w:p w:rsidR="00B454FB" w:rsidRPr="0038302A" w:rsidRDefault="00B454FB" w:rsidP="00B454FB"/>
    <w:p w:rsidR="00B454FB" w:rsidRPr="004E6FD7" w:rsidRDefault="00B454FB" w:rsidP="00B454FB">
      <w:pPr>
        <w:rPr>
          <w:rFonts w:ascii="Calibri" w:hAnsi="Calibri"/>
          <w:sz w:val="20"/>
          <w:szCs w:val="20"/>
        </w:rPr>
      </w:pPr>
      <w:r w:rsidRPr="004E6FD7">
        <w:rPr>
          <w:rFonts w:ascii="Calibri" w:hAnsi="Calibri"/>
          <w:sz w:val="20"/>
          <w:szCs w:val="20"/>
        </w:rPr>
        <w:t>Peace negotiations concluded in 2006 with the CPA, signed between the interim government of Nepal and the Communist Party of Nepal/Maoist (CPN/M), and the tri-partite Agreement on Monitoring of the Management of Arms and Armies (AMMAA).  Under the terms of these two agreements, members of the People’s Liberation Army (PLA), the armed wing of the CPN/M, were cantoned at seven sites and obligated to turn in all IED at designated locations.  Both the NA and CPN/M committed to address the clearance and stockpile destruction of landmines and other ED.   The CPN/M joined the interim parliament and government in 2007.  No use of ED by either party to the conflict has been reported since the 2006 ceasefire.  The National Mine Action Authority (NMAA), composed of a mine action (MA) steering committee and a national MA technical committee, was established in 2007 and will eventually take responsibility for all MA activities in Nepal.  In the interim, the UN Mine Action Team (comprised of the UN Mine Action Service and UNICEF) and local partners have coordinated these activities and worked to build the capacity of the NMAA in anticipation of the eventual handover.</w:t>
      </w:r>
    </w:p>
    <w:p w:rsidR="00B454FB" w:rsidRDefault="00B454FB" w:rsidP="00B454FB">
      <w:pPr>
        <w:rPr>
          <w:rFonts w:ascii="Calibri" w:hAnsi="Calibri"/>
          <w:sz w:val="20"/>
          <w:szCs w:val="20"/>
        </w:rPr>
      </w:pPr>
    </w:p>
    <w:p w:rsidR="00B454FB" w:rsidRDefault="00B454FB" w:rsidP="00B454FB">
      <w:pPr>
        <w:pStyle w:val="Heading3"/>
        <w:numPr>
          <w:ilvl w:val="0"/>
          <w:numId w:val="0"/>
        </w:numPr>
        <w:spacing w:before="0"/>
        <w:rPr>
          <w:rFonts w:ascii="Calibri" w:hAnsi="Calibri"/>
          <w:sz w:val="20"/>
          <w:szCs w:val="20"/>
        </w:rPr>
      </w:pPr>
      <w:r>
        <w:rPr>
          <w:rFonts w:ascii="Calibri" w:hAnsi="Calibri"/>
          <w:sz w:val="20"/>
          <w:szCs w:val="20"/>
        </w:rPr>
        <w:t>III.C.2</w:t>
      </w:r>
      <w:r>
        <w:rPr>
          <w:rFonts w:ascii="Calibri" w:hAnsi="Calibri"/>
          <w:sz w:val="20"/>
          <w:szCs w:val="20"/>
        </w:rPr>
        <w:tab/>
      </w:r>
      <w:r>
        <w:rPr>
          <w:rFonts w:ascii="Calibri" w:hAnsi="Calibri"/>
          <w:sz w:val="20"/>
          <w:szCs w:val="20"/>
        </w:rPr>
        <w:tab/>
      </w:r>
      <w:r w:rsidRPr="00D61C8A">
        <w:rPr>
          <w:rFonts w:ascii="Calibri" w:hAnsi="Calibri"/>
          <w:sz w:val="20"/>
          <w:szCs w:val="20"/>
        </w:rPr>
        <w:t>Clearance and contamination following the conflict</w:t>
      </w:r>
    </w:p>
    <w:p w:rsidR="00B454FB" w:rsidRPr="0038302A" w:rsidRDefault="00B454FB" w:rsidP="00B454FB"/>
    <w:p w:rsidR="00B454FB" w:rsidRPr="004E6FD7" w:rsidRDefault="00B454FB" w:rsidP="00B454FB">
      <w:pPr>
        <w:rPr>
          <w:rFonts w:ascii="Calibri" w:hAnsi="Calibri"/>
          <w:sz w:val="20"/>
          <w:szCs w:val="20"/>
        </w:rPr>
      </w:pPr>
      <w:r w:rsidRPr="004E6FD7">
        <w:rPr>
          <w:rFonts w:ascii="Calibri" w:hAnsi="Calibri"/>
          <w:sz w:val="20"/>
          <w:szCs w:val="20"/>
        </w:rPr>
        <w:t>Systematic clearance operations began in 2007.</w:t>
      </w:r>
      <w:r w:rsidRPr="004E6FD7">
        <w:rPr>
          <w:rStyle w:val="EndnoteReference"/>
          <w:rFonts w:ascii="Calibri" w:hAnsi="Calibri"/>
          <w:sz w:val="20"/>
          <w:szCs w:val="20"/>
        </w:rPr>
        <w:endnoteReference w:id="56"/>
      </w:r>
      <w:r w:rsidRPr="004E6FD7">
        <w:rPr>
          <w:rFonts w:ascii="Calibri" w:hAnsi="Calibri"/>
          <w:sz w:val="20"/>
          <w:szCs w:val="20"/>
        </w:rPr>
        <w:t xml:space="preserve">  As of July 2009, the NA had cleared 17 minefields and 104 IED fields, leaving an additional 36 minefields and an estimated 200 IED fields to be cleared.</w:t>
      </w:r>
      <w:r w:rsidRPr="004E6FD7">
        <w:rPr>
          <w:rStyle w:val="EndnoteReference"/>
          <w:rFonts w:ascii="Calibri" w:hAnsi="Calibri"/>
          <w:sz w:val="20"/>
          <w:szCs w:val="20"/>
        </w:rPr>
        <w:endnoteReference w:id="57"/>
      </w:r>
      <w:r w:rsidRPr="004E6FD7">
        <w:rPr>
          <w:rFonts w:ascii="Calibri" w:hAnsi="Calibri"/>
          <w:sz w:val="20"/>
          <w:szCs w:val="20"/>
        </w:rPr>
        <w:t xml:space="preserve">  Given the current clearance capacity of the NA, the United Nations Mine Action Team (UNMAT) has predicted that all contaminated areas will be cleared by mid-2011.</w:t>
      </w:r>
      <w:r w:rsidRPr="004E6FD7">
        <w:rPr>
          <w:rStyle w:val="EndnoteReference"/>
          <w:rFonts w:ascii="Calibri" w:hAnsi="Calibri"/>
          <w:sz w:val="20"/>
          <w:szCs w:val="20"/>
        </w:rPr>
        <w:endnoteReference w:id="58"/>
      </w:r>
      <w:r w:rsidRPr="004E6FD7">
        <w:rPr>
          <w:rFonts w:ascii="Calibri" w:hAnsi="Calibri"/>
          <w:sz w:val="20"/>
          <w:szCs w:val="20"/>
        </w:rPr>
        <w:t xml:space="preserve">  UNMAT and the United Nations Mission in Nepal (UNMIN) concluded destruction of all unstable (Category 1) IED at Maoist cantonment sites in July 2008 and continued destruction of IED considered safe to store (Category 2) during 2009.</w:t>
      </w:r>
      <w:r w:rsidRPr="004E6FD7">
        <w:rPr>
          <w:rStyle w:val="EndnoteReference"/>
          <w:rFonts w:ascii="Calibri" w:hAnsi="Calibri"/>
          <w:sz w:val="20"/>
          <w:szCs w:val="20"/>
        </w:rPr>
        <w:endnoteReference w:id="59"/>
      </w:r>
      <w:r w:rsidRPr="004E6FD7">
        <w:rPr>
          <w:rFonts w:ascii="Calibri" w:hAnsi="Calibri"/>
          <w:sz w:val="20"/>
          <w:szCs w:val="20"/>
        </w:rPr>
        <w:t xml:space="preserve">  Socket, bucket and pipe bombs and </w:t>
      </w:r>
      <w:r w:rsidRPr="004E6FD7">
        <w:rPr>
          <w:rFonts w:ascii="Calibri" w:hAnsi="Calibri"/>
          <w:sz w:val="20"/>
          <w:szCs w:val="20"/>
        </w:rPr>
        <w:lastRenderedPageBreak/>
        <w:t>other IED produced by the PLA accounted for most post-conflict contamination.</w:t>
      </w:r>
      <w:r w:rsidRPr="004E6FD7">
        <w:rPr>
          <w:rStyle w:val="EndnoteReference"/>
          <w:rFonts w:ascii="Calibri" w:hAnsi="Calibri"/>
          <w:sz w:val="20"/>
          <w:szCs w:val="20"/>
        </w:rPr>
        <w:endnoteReference w:id="60"/>
      </w:r>
      <w:r w:rsidRPr="004E6FD7">
        <w:rPr>
          <w:rFonts w:ascii="Calibri" w:hAnsi="Calibri"/>
          <w:sz w:val="20"/>
          <w:szCs w:val="20"/>
        </w:rPr>
        <w:t xml:space="preserve">  An assessment of 117 locations in 2007 and 2008 found a limited threat of residual contamination.</w:t>
      </w:r>
      <w:r w:rsidRPr="004E6FD7">
        <w:rPr>
          <w:rStyle w:val="EndnoteReference"/>
          <w:rFonts w:ascii="Calibri" w:hAnsi="Calibri"/>
          <w:sz w:val="20"/>
          <w:szCs w:val="20"/>
        </w:rPr>
        <w:endnoteReference w:id="61"/>
      </w:r>
      <w:r w:rsidRPr="004E6FD7">
        <w:rPr>
          <w:rFonts w:ascii="Calibri" w:eastAsia="Cambria" w:hAnsi="Calibri"/>
          <w:sz w:val="20"/>
          <w:szCs w:val="20"/>
        </w:rPr>
        <w:t xml:space="preserve"> </w:t>
      </w:r>
    </w:p>
    <w:p w:rsidR="00B454FB" w:rsidRDefault="00B454FB" w:rsidP="00B454FB">
      <w:pPr>
        <w:pStyle w:val="Heading3"/>
        <w:numPr>
          <w:ilvl w:val="0"/>
          <w:numId w:val="0"/>
        </w:numPr>
        <w:spacing w:before="0"/>
        <w:rPr>
          <w:rFonts w:ascii="Calibri" w:hAnsi="Calibri"/>
          <w:sz w:val="20"/>
          <w:szCs w:val="20"/>
        </w:rPr>
      </w:pPr>
    </w:p>
    <w:p w:rsidR="00B454FB" w:rsidRDefault="00B454FB" w:rsidP="00B454FB">
      <w:pPr>
        <w:pStyle w:val="Heading3"/>
        <w:numPr>
          <w:ilvl w:val="0"/>
          <w:numId w:val="0"/>
        </w:numPr>
        <w:spacing w:before="0"/>
        <w:rPr>
          <w:rFonts w:ascii="Calibri" w:hAnsi="Calibri"/>
          <w:sz w:val="20"/>
          <w:szCs w:val="20"/>
        </w:rPr>
      </w:pPr>
      <w:r>
        <w:rPr>
          <w:rFonts w:ascii="Calibri" w:hAnsi="Calibri"/>
          <w:sz w:val="20"/>
          <w:szCs w:val="20"/>
        </w:rPr>
        <w:t>III.C.3</w:t>
      </w:r>
      <w:r>
        <w:rPr>
          <w:rFonts w:ascii="Calibri" w:hAnsi="Calibri"/>
          <w:sz w:val="20"/>
          <w:szCs w:val="20"/>
        </w:rPr>
        <w:tab/>
      </w:r>
      <w:r>
        <w:rPr>
          <w:rFonts w:ascii="Calibri" w:hAnsi="Calibri"/>
          <w:sz w:val="20"/>
          <w:szCs w:val="20"/>
        </w:rPr>
        <w:tab/>
      </w:r>
      <w:r w:rsidRPr="00D61C8A">
        <w:rPr>
          <w:rFonts w:ascii="Calibri" w:hAnsi="Calibri"/>
          <w:sz w:val="20"/>
          <w:szCs w:val="20"/>
        </w:rPr>
        <w:t xml:space="preserve">Renewed use of </w:t>
      </w:r>
      <w:r>
        <w:rPr>
          <w:rFonts w:ascii="Calibri" w:hAnsi="Calibri"/>
          <w:sz w:val="20"/>
          <w:szCs w:val="20"/>
        </w:rPr>
        <w:t>ED</w:t>
      </w:r>
      <w:r w:rsidRPr="00D61C8A">
        <w:rPr>
          <w:rFonts w:ascii="Calibri" w:hAnsi="Calibri"/>
          <w:sz w:val="20"/>
          <w:szCs w:val="20"/>
        </w:rPr>
        <w:t xml:space="preserve"> following the conflict</w:t>
      </w:r>
    </w:p>
    <w:p w:rsidR="00B454FB" w:rsidRPr="0038302A" w:rsidRDefault="00B454FB" w:rsidP="00B454FB"/>
    <w:p w:rsidR="00B454FB" w:rsidRPr="00D61C8A" w:rsidRDefault="00B454FB" w:rsidP="00B454FB">
      <w:pPr>
        <w:rPr>
          <w:rFonts w:ascii="Calibri" w:eastAsia="Cambria" w:hAnsi="Calibri"/>
          <w:sz w:val="20"/>
          <w:szCs w:val="20"/>
        </w:rPr>
      </w:pPr>
      <w:r w:rsidRPr="00D61C8A">
        <w:rPr>
          <w:rFonts w:ascii="Calibri" w:hAnsi="Calibri"/>
          <w:sz w:val="20"/>
          <w:szCs w:val="20"/>
        </w:rPr>
        <w:t>In recent years, non-state armed groups (NSAG) seeking autonomy have committed acts of violence in the southern Terai region.  In 2008, Landmine Monitor reported a lack of indications that any of these groups have used, produced or stockpiled antipersonnel landmines.</w:t>
      </w:r>
      <w:r w:rsidRPr="00D61C8A">
        <w:rPr>
          <w:rStyle w:val="EndnoteReference"/>
          <w:rFonts w:ascii="Calibri" w:hAnsi="Calibri"/>
          <w:sz w:val="20"/>
          <w:szCs w:val="20"/>
        </w:rPr>
        <w:endnoteReference w:id="62"/>
      </w:r>
      <w:r w:rsidRPr="00D61C8A">
        <w:rPr>
          <w:rFonts w:ascii="Calibri" w:hAnsi="Calibri"/>
          <w:sz w:val="20"/>
          <w:szCs w:val="20"/>
        </w:rPr>
        <w:t xml:space="preserve">  However, several of these groups have reportedly used IED, including: Janatantrik Terai Mukti Morcha (Democratic Terai Liberation Front), Kirant Workers’ Party, Madheshi Janadhikar Forum (Madheshi People’s Rights Forum), Nepal Defense Army, and Terai Kobra.</w:t>
      </w:r>
      <w:r w:rsidRPr="00D61C8A">
        <w:rPr>
          <w:rStyle w:val="EndnoteReference"/>
          <w:rFonts w:ascii="Calibri" w:hAnsi="Calibri"/>
          <w:sz w:val="20"/>
          <w:szCs w:val="20"/>
        </w:rPr>
        <w:endnoteReference w:id="63"/>
      </w:r>
      <w:r w:rsidRPr="00D61C8A">
        <w:rPr>
          <w:rFonts w:ascii="Calibri" w:hAnsi="Calibri"/>
          <w:sz w:val="20"/>
          <w:szCs w:val="20"/>
        </w:rPr>
        <w:t xml:space="preserve">  Landmine Monitor reported in 2009 that th</w:t>
      </w:r>
      <w:r>
        <w:rPr>
          <w:rFonts w:ascii="Calibri" w:hAnsi="Calibri"/>
          <w:sz w:val="20"/>
          <w:szCs w:val="20"/>
        </w:rPr>
        <w:t>is</w:t>
      </w:r>
      <w:r w:rsidRPr="00D61C8A">
        <w:rPr>
          <w:rFonts w:ascii="Calibri" w:hAnsi="Calibri"/>
          <w:sz w:val="20"/>
          <w:szCs w:val="20"/>
        </w:rPr>
        <w:t xml:space="preserve"> contamination, while not considered very widespread,</w:t>
      </w:r>
      <w:r w:rsidRPr="00D61C8A">
        <w:rPr>
          <w:rStyle w:val="EndnoteReference"/>
          <w:rFonts w:ascii="Calibri" w:hAnsi="Calibri"/>
          <w:sz w:val="20"/>
          <w:szCs w:val="20"/>
        </w:rPr>
        <w:endnoteReference w:id="64"/>
      </w:r>
      <w:r w:rsidRPr="00D61C8A">
        <w:rPr>
          <w:rFonts w:ascii="Calibri" w:hAnsi="Calibri"/>
          <w:sz w:val="20"/>
          <w:szCs w:val="20"/>
        </w:rPr>
        <w:t xml:space="preserve"> ha</w:t>
      </w:r>
      <w:r>
        <w:rPr>
          <w:rFonts w:ascii="Calibri" w:hAnsi="Calibri"/>
          <w:sz w:val="20"/>
          <w:szCs w:val="20"/>
        </w:rPr>
        <w:t>d</w:t>
      </w:r>
      <w:r w:rsidRPr="00D61C8A">
        <w:rPr>
          <w:rFonts w:ascii="Calibri" w:hAnsi="Calibri"/>
          <w:sz w:val="20"/>
          <w:szCs w:val="20"/>
        </w:rPr>
        <w:t xml:space="preserve"> already resulted in injuries.</w:t>
      </w:r>
      <w:r w:rsidRPr="00D61C8A">
        <w:rPr>
          <w:rStyle w:val="EndnoteReference"/>
          <w:rFonts w:ascii="Calibri" w:hAnsi="Calibri"/>
          <w:sz w:val="20"/>
          <w:szCs w:val="20"/>
        </w:rPr>
        <w:endnoteReference w:id="65"/>
      </w:r>
      <w:r w:rsidRPr="00D61C8A">
        <w:rPr>
          <w:rFonts w:ascii="Calibri" w:eastAsia="Cambria" w:hAnsi="Calibri"/>
          <w:sz w:val="20"/>
          <w:szCs w:val="20"/>
        </w:rPr>
        <w:t xml:space="preserve"> </w:t>
      </w:r>
    </w:p>
    <w:p w:rsidR="00B454FB" w:rsidRDefault="00B454FB" w:rsidP="00B454FB">
      <w:pPr>
        <w:pStyle w:val="Heading2"/>
        <w:numPr>
          <w:ilvl w:val="0"/>
          <w:numId w:val="0"/>
        </w:numPr>
        <w:spacing w:before="0"/>
        <w:rPr>
          <w:rFonts w:ascii="Calibri" w:hAnsi="Calibri"/>
          <w:b w:val="0"/>
          <w:bCs w:val="0"/>
          <w:color w:val="auto"/>
          <w:sz w:val="24"/>
          <w:szCs w:val="24"/>
        </w:rPr>
      </w:pPr>
    </w:p>
    <w:p w:rsidR="00B454FB" w:rsidRPr="00D61C8A" w:rsidRDefault="00B454FB" w:rsidP="00B454FB">
      <w:pPr>
        <w:pStyle w:val="Heading2"/>
        <w:numPr>
          <w:ilvl w:val="0"/>
          <w:numId w:val="0"/>
        </w:numPr>
        <w:spacing w:before="0"/>
        <w:rPr>
          <w:rFonts w:ascii="Calibri" w:hAnsi="Calibri"/>
        </w:rPr>
      </w:pPr>
      <w:r>
        <w:rPr>
          <w:rFonts w:ascii="Calibri" w:hAnsi="Calibri"/>
        </w:rPr>
        <w:t>III.D</w:t>
      </w:r>
      <w:r>
        <w:rPr>
          <w:rFonts w:ascii="Calibri" w:hAnsi="Calibri"/>
        </w:rPr>
        <w:tab/>
      </w:r>
      <w:r>
        <w:rPr>
          <w:rFonts w:ascii="Calibri" w:hAnsi="Calibri"/>
        </w:rPr>
        <w:tab/>
        <w:t>I</w:t>
      </w:r>
      <w:r w:rsidRPr="00D61C8A">
        <w:rPr>
          <w:rFonts w:ascii="Calibri" w:hAnsi="Calibri"/>
        </w:rPr>
        <w:t xml:space="preserve">njuries due to </w:t>
      </w:r>
      <w:r>
        <w:rPr>
          <w:rFonts w:ascii="Calibri" w:hAnsi="Calibri"/>
        </w:rPr>
        <w:t>ED</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National non-governmental organizations (NGO) such as the Ban Landmines Campaign Nepal (NCBL) and </w:t>
      </w:r>
      <w:r>
        <w:rPr>
          <w:rFonts w:ascii="Calibri" w:hAnsi="Calibri"/>
          <w:sz w:val="20"/>
          <w:szCs w:val="20"/>
        </w:rPr>
        <w:t xml:space="preserve">INSEC </w:t>
      </w:r>
      <w:r w:rsidRPr="00D61C8A">
        <w:rPr>
          <w:rFonts w:ascii="Calibri" w:hAnsi="Calibri"/>
          <w:sz w:val="20"/>
          <w:szCs w:val="20"/>
        </w:rPr>
        <w:t xml:space="preserve">and international partners </w:t>
      </w:r>
      <w:r>
        <w:rPr>
          <w:rFonts w:ascii="Calibri" w:hAnsi="Calibri"/>
          <w:sz w:val="20"/>
          <w:szCs w:val="20"/>
        </w:rPr>
        <w:t>including</w:t>
      </w:r>
      <w:r w:rsidRPr="00D61C8A">
        <w:rPr>
          <w:rFonts w:ascii="Calibri" w:hAnsi="Calibri"/>
          <w:sz w:val="20"/>
          <w:szCs w:val="20"/>
        </w:rPr>
        <w:t xml:space="preserve"> Hand</w:t>
      </w:r>
      <w:r>
        <w:rPr>
          <w:rFonts w:ascii="Calibri" w:hAnsi="Calibri"/>
          <w:sz w:val="20"/>
          <w:szCs w:val="20"/>
        </w:rPr>
        <w:t>icap International (HI) and UNICEF</w:t>
      </w:r>
      <w:r w:rsidRPr="00D61C8A">
        <w:rPr>
          <w:rFonts w:ascii="Calibri" w:hAnsi="Calibri"/>
          <w:sz w:val="20"/>
          <w:szCs w:val="20"/>
        </w:rPr>
        <w:t xml:space="preserve"> </w:t>
      </w:r>
      <w:r>
        <w:rPr>
          <w:rFonts w:ascii="Calibri" w:hAnsi="Calibri"/>
          <w:sz w:val="20"/>
          <w:szCs w:val="20"/>
        </w:rPr>
        <w:t xml:space="preserve">have </w:t>
      </w:r>
      <w:r w:rsidRPr="00D61C8A">
        <w:rPr>
          <w:rFonts w:ascii="Calibri" w:hAnsi="Calibri"/>
          <w:sz w:val="20"/>
          <w:szCs w:val="20"/>
        </w:rPr>
        <w:t xml:space="preserve">reported on ED injuries during and after the conflict.  </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III.D.1</w:t>
      </w:r>
      <w:r>
        <w:rPr>
          <w:rFonts w:ascii="Calibri" w:hAnsi="Calibri"/>
          <w:sz w:val="20"/>
          <w:szCs w:val="20"/>
        </w:rPr>
        <w:tab/>
      </w:r>
      <w:r>
        <w:rPr>
          <w:rFonts w:ascii="Calibri" w:hAnsi="Calibri"/>
          <w:sz w:val="20"/>
          <w:szCs w:val="20"/>
        </w:rPr>
        <w:tab/>
      </w:r>
      <w:r w:rsidRPr="00D61C8A">
        <w:rPr>
          <w:rFonts w:ascii="Calibri" w:hAnsi="Calibri"/>
          <w:sz w:val="20"/>
          <w:szCs w:val="20"/>
        </w:rPr>
        <w:t>Geographic locations</w:t>
      </w:r>
      <w:r>
        <w:rPr>
          <w:rFonts w:ascii="Calibri" w:hAnsi="Calibri"/>
          <w:sz w:val="20"/>
          <w:szCs w:val="20"/>
        </w:rPr>
        <w:t xml:space="preserve"> of ED injuries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In 2000, Landmine Monitor reported the occurrence of ED injuries in 37 districts.</w:t>
      </w:r>
      <w:r w:rsidRPr="00D61C8A">
        <w:rPr>
          <w:rStyle w:val="EndnoteReference"/>
          <w:rFonts w:ascii="Calibri" w:hAnsi="Calibri"/>
          <w:sz w:val="20"/>
          <w:szCs w:val="20"/>
        </w:rPr>
        <w:endnoteReference w:id="66"/>
      </w:r>
      <w:r w:rsidRPr="00D61C8A">
        <w:rPr>
          <w:rFonts w:ascii="Calibri" w:hAnsi="Calibri"/>
          <w:sz w:val="20"/>
          <w:szCs w:val="20"/>
        </w:rPr>
        <w:t xml:space="preserve">  The number of affected districts increased to 71 in 2001,</w:t>
      </w:r>
      <w:r w:rsidRPr="00D61C8A">
        <w:rPr>
          <w:rStyle w:val="EndnoteReference"/>
          <w:rFonts w:ascii="Calibri" w:hAnsi="Calibri"/>
          <w:sz w:val="20"/>
          <w:szCs w:val="20"/>
        </w:rPr>
        <w:endnoteReference w:id="67"/>
      </w:r>
      <w:r w:rsidRPr="00D61C8A">
        <w:rPr>
          <w:rFonts w:ascii="Calibri" w:hAnsi="Calibri"/>
          <w:sz w:val="20"/>
          <w:szCs w:val="20"/>
        </w:rPr>
        <w:t xml:space="preserve"> 72 in 2002</w:t>
      </w:r>
      <w:r w:rsidRPr="00D61C8A">
        <w:rPr>
          <w:rStyle w:val="EndnoteReference"/>
          <w:rFonts w:ascii="Calibri" w:hAnsi="Calibri"/>
          <w:sz w:val="20"/>
          <w:szCs w:val="20"/>
        </w:rPr>
        <w:endnoteReference w:id="68"/>
      </w:r>
      <w:r w:rsidRPr="00D61C8A">
        <w:rPr>
          <w:rFonts w:ascii="Calibri" w:hAnsi="Calibri"/>
          <w:sz w:val="20"/>
          <w:szCs w:val="20"/>
        </w:rPr>
        <w:t xml:space="preserve"> and 73 in 2004.</w:t>
      </w:r>
      <w:r w:rsidRPr="00D61C8A">
        <w:rPr>
          <w:rStyle w:val="EndnoteReference"/>
          <w:rFonts w:ascii="Calibri" w:hAnsi="Calibri"/>
          <w:sz w:val="20"/>
          <w:szCs w:val="20"/>
        </w:rPr>
        <w:endnoteReference w:id="69"/>
      </w:r>
      <w:r w:rsidRPr="00D61C8A">
        <w:rPr>
          <w:rFonts w:ascii="Calibri" w:hAnsi="Calibri"/>
          <w:sz w:val="20"/>
          <w:szCs w:val="20"/>
        </w:rPr>
        <w:t xml:space="preserve">  The number of affected districts dropped to 29 in 2005</w:t>
      </w:r>
      <w:r w:rsidRPr="00D61C8A">
        <w:rPr>
          <w:rStyle w:val="EndnoteReference"/>
          <w:rFonts w:ascii="Calibri" w:hAnsi="Calibri"/>
          <w:sz w:val="20"/>
          <w:szCs w:val="20"/>
        </w:rPr>
        <w:endnoteReference w:id="70"/>
      </w:r>
      <w:r w:rsidRPr="00D61C8A">
        <w:rPr>
          <w:rFonts w:ascii="Calibri" w:hAnsi="Calibri"/>
          <w:sz w:val="20"/>
          <w:szCs w:val="20"/>
        </w:rPr>
        <w:t xml:space="preserve"> but rose again to 51 in 2006.</w:t>
      </w:r>
      <w:r w:rsidRPr="00D61C8A">
        <w:rPr>
          <w:rStyle w:val="EndnoteReference"/>
          <w:rFonts w:ascii="Calibri" w:hAnsi="Calibri"/>
          <w:sz w:val="20"/>
          <w:szCs w:val="20"/>
        </w:rPr>
        <w:endnoteReference w:id="71"/>
      </w:r>
      <w:r w:rsidRPr="00D61C8A">
        <w:rPr>
          <w:rFonts w:ascii="Calibri" w:hAnsi="Calibri"/>
          <w:sz w:val="20"/>
          <w:szCs w:val="20"/>
        </w:rPr>
        <w:t xml:space="preserve">  This number has fallen in recent years, to 29, 24 and 18 districts in 2007, 2008, and 2009, respectively.</w:t>
      </w:r>
      <w:r w:rsidRPr="00D61C8A">
        <w:rPr>
          <w:rStyle w:val="EndnoteReference"/>
          <w:rFonts w:ascii="Calibri" w:hAnsi="Calibri"/>
          <w:sz w:val="20"/>
          <w:szCs w:val="20"/>
        </w:rPr>
        <w:endnoteReference w:id="72"/>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III.D.2</w:t>
      </w:r>
      <w:r>
        <w:rPr>
          <w:rFonts w:ascii="Calibri" w:hAnsi="Calibri"/>
          <w:sz w:val="20"/>
          <w:szCs w:val="20"/>
        </w:rPr>
        <w:tab/>
      </w:r>
      <w:r>
        <w:rPr>
          <w:rFonts w:ascii="Calibri" w:hAnsi="Calibri"/>
          <w:sz w:val="20"/>
          <w:szCs w:val="20"/>
        </w:rPr>
        <w:tab/>
      </w:r>
      <w:r w:rsidRPr="00D61C8A">
        <w:rPr>
          <w:rFonts w:ascii="Calibri" w:hAnsi="Calibri"/>
          <w:sz w:val="20"/>
          <w:szCs w:val="20"/>
        </w:rPr>
        <w:t>Measurement of ED injur</w:t>
      </w:r>
      <w:r>
        <w:rPr>
          <w:rFonts w:ascii="Calibri" w:hAnsi="Calibri"/>
          <w:sz w:val="20"/>
          <w:szCs w:val="20"/>
        </w:rPr>
        <w:t>ies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Prior to establishment of the INSEC ED injury surveillance system, ED injury data w</w:t>
      </w:r>
      <w:r>
        <w:rPr>
          <w:rFonts w:ascii="Calibri" w:hAnsi="Calibri"/>
          <w:sz w:val="20"/>
          <w:szCs w:val="20"/>
        </w:rPr>
        <w:t>ere</w:t>
      </w:r>
      <w:r w:rsidRPr="00D61C8A">
        <w:rPr>
          <w:rFonts w:ascii="Calibri" w:hAnsi="Calibri"/>
          <w:sz w:val="20"/>
          <w:szCs w:val="20"/>
        </w:rPr>
        <w:t xml:space="preserve"> collected by several organizations.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 1998, NCBL became the first organization in Nepal to collect ED injury data.</w:t>
      </w:r>
      <w:r w:rsidRPr="00D61C8A">
        <w:rPr>
          <w:rStyle w:val="EndnoteReference"/>
          <w:rFonts w:ascii="Calibri" w:hAnsi="Calibri"/>
          <w:sz w:val="20"/>
          <w:szCs w:val="20"/>
        </w:rPr>
        <w:endnoteReference w:id="73"/>
      </w:r>
      <w:r w:rsidRPr="00D61C8A">
        <w:rPr>
          <w:rFonts w:ascii="Calibri" w:hAnsi="Calibri"/>
          <w:sz w:val="20"/>
          <w:szCs w:val="20"/>
        </w:rPr>
        <w:t xml:space="preserve">  NCBL has collected data from a variety of sources, including media outlets</w:t>
      </w:r>
      <w:r>
        <w:rPr>
          <w:rFonts w:ascii="Calibri" w:hAnsi="Calibri"/>
          <w:sz w:val="20"/>
          <w:szCs w:val="20"/>
        </w:rPr>
        <w:t>,</w:t>
      </w:r>
      <w:r w:rsidRPr="00D61C8A">
        <w:rPr>
          <w:rStyle w:val="EndnoteReference"/>
          <w:rFonts w:ascii="Calibri" w:hAnsi="Calibri"/>
          <w:b/>
          <w:sz w:val="20"/>
          <w:szCs w:val="20"/>
        </w:rPr>
        <w:endnoteReference w:id="74"/>
      </w:r>
      <w:r w:rsidRPr="00D61C8A">
        <w:rPr>
          <w:rFonts w:ascii="Calibri" w:hAnsi="Calibri"/>
          <w:sz w:val="20"/>
          <w:szCs w:val="20"/>
        </w:rPr>
        <w:t xml:space="preserve"> hospital reports</w:t>
      </w:r>
      <w:r>
        <w:rPr>
          <w:rFonts w:ascii="Calibri" w:hAnsi="Calibri"/>
          <w:sz w:val="20"/>
          <w:szCs w:val="20"/>
        </w:rPr>
        <w:t>,</w:t>
      </w:r>
      <w:r w:rsidRPr="00D61C8A">
        <w:rPr>
          <w:rStyle w:val="EndnoteReference"/>
          <w:rFonts w:ascii="Calibri" w:hAnsi="Calibri"/>
          <w:b/>
          <w:sz w:val="20"/>
          <w:szCs w:val="20"/>
        </w:rPr>
        <w:endnoteReference w:id="75"/>
      </w:r>
      <w:r w:rsidRPr="00D61C8A">
        <w:rPr>
          <w:rFonts w:ascii="Calibri" w:hAnsi="Calibri"/>
          <w:sz w:val="20"/>
          <w:szCs w:val="20"/>
        </w:rPr>
        <w:t xml:space="preserve"> human rights organizations</w:t>
      </w:r>
      <w:r>
        <w:rPr>
          <w:rFonts w:ascii="Calibri" w:hAnsi="Calibri"/>
          <w:sz w:val="20"/>
          <w:szCs w:val="20"/>
        </w:rPr>
        <w:t>,</w:t>
      </w:r>
      <w:r w:rsidRPr="00D61C8A">
        <w:rPr>
          <w:rStyle w:val="EndnoteReference"/>
          <w:rFonts w:ascii="Calibri" w:hAnsi="Calibri"/>
          <w:sz w:val="20"/>
          <w:szCs w:val="20"/>
        </w:rPr>
        <w:endnoteReference w:id="76"/>
      </w:r>
      <w:r w:rsidRPr="00D61C8A">
        <w:rPr>
          <w:rFonts w:ascii="Calibri" w:hAnsi="Calibri"/>
          <w:sz w:val="20"/>
          <w:szCs w:val="20"/>
        </w:rPr>
        <w:t xml:space="preserve"> police and army personnel</w:t>
      </w:r>
      <w:r>
        <w:rPr>
          <w:rFonts w:ascii="Calibri" w:hAnsi="Calibri"/>
          <w:sz w:val="20"/>
          <w:szCs w:val="20"/>
        </w:rPr>
        <w:t>,</w:t>
      </w:r>
      <w:r w:rsidRPr="00D61C8A">
        <w:rPr>
          <w:rStyle w:val="EndnoteReference"/>
          <w:rFonts w:ascii="Calibri" w:hAnsi="Calibri"/>
          <w:sz w:val="20"/>
          <w:szCs w:val="20"/>
        </w:rPr>
        <w:endnoteReference w:id="77"/>
      </w:r>
      <w:r w:rsidRPr="00D61C8A">
        <w:rPr>
          <w:rFonts w:ascii="Calibri" w:hAnsi="Calibri"/>
          <w:sz w:val="20"/>
          <w:szCs w:val="20"/>
        </w:rPr>
        <w:t xml:space="preserve"> political leaders</w:t>
      </w:r>
      <w:r>
        <w:rPr>
          <w:rFonts w:ascii="Calibri" w:hAnsi="Calibri"/>
          <w:sz w:val="20"/>
          <w:szCs w:val="20"/>
        </w:rPr>
        <w:t>,</w:t>
      </w:r>
      <w:r w:rsidRPr="00D61C8A">
        <w:rPr>
          <w:rStyle w:val="EndnoteReference"/>
          <w:rFonts w:ascii="Calibri" w:hAnsi="Calibri"/>
          <w:b/>
          <w:sz w:val="20"/>
          <w:szCs w:val="20"/>
        </w:rPr>
        <w:endnoteReference w:id="78"/>
      </w:r>
      <w:r w:rsidRPr="00D61C8A">
        <w:rPr>
          <w:rFonts w:ascii="Calibri" w:hAnsi="Calibri"/>
          <w:sz w:val="20"/>
          <w:szCs w:val="20"/>
        </w:rPr>
        <w:t xml:space="preserve"> people living in the affected areas</w:t>
      </w:r>
      <w:r>
        <w:rPr>
          <w:rFonts w:ascii="Calibri" w:hAnsi="Calibri"/>
          <w:sz w:val="20"/>
          <w:szCs w:val="20"/>
        </w:rPr>
        <w:t>,</w:t>
      </w:r>
      <w:r w:rsidRPr="00D61C8A">
        <w:rPr>
          <w:rStyle w:val="EndnoteReference"/>
          <w:rFonts w:ascii="Calibri" w:hAnsi="Calibri"/>
          <w:sz w:val="20"/>
          <w:szCs w:val="20"/>
        </w:rPr>
        <w:endnoteReference w:id="79"/>
      </w:r>
      <w:r w:rsidRPr="00D61C8A">
        <w:rPr>
          <w:rFonts w:ascii="Calibri" w:hAnsi="Calibri"/>
          <w:sz w:val="20"/>
          <w:szCs w:val="20"/>
        </w:rPr>
        <w:t xml:space="preserve"> and special committees established to monitor the activities of both parties to the </w:t>
      </w:r>
      <w:r>
        <w:rPr>
          <w:rFonts w:ascii="Calibri" w:hAnsi="Calibri"/>
          <w:sz w:val="20"/>
          <w:szCs w:val="20"/>
        </w:rPr>
        <w:t>civil</w:t>
      </w:r>
      <w:r w:rsidRPr="00D61C8A">
        <w:rPr>
          <w:rFonts w:ascii="Calibri" w:hAnsi="Calibri"/>
          <w:sz w:val="20"/>
          <w:szCs w:val="20"/>
        </w:rPr>
        <w:t xml:space="preserve"> conflict.</w:t>
      </w:r>
      <w:r w:rsidRPr="00D61C8A">
        <w:rPr>
          <w:rStyle w:val="EndnoteReference"/>
          <w:rFonts w:ascii="Calibri" w:hAnsi="Calibri"/>
          <w:sz w:val="20"/>
          <w:szCs w:val="20"/>
        </w:rPr>
        <w:endnoteReference w:id="80"/>
      </w:r>
      <w:r w:rsidRPr="00D61C8A">
        <w:rPr>
          <w:rFonts w:ascii="Calibri" w:hAnsi="Calibri"/>
          <w:sz w:val="20"/>
          <w:szCs w:val="20"/>
        </w:rPr>
        <w:t xml:space="preserve">  NCBL collects data on injuries from a wide variety of conflict-related causes, including attacks and ambushes, shelling, bombing, and ED such as UXO and IED.</w:t>
      </w:r>
      <w:r w:rsidRPr="00D61C8A">
        <w:rPr>
          <w:rStyle w:val="EndnoteReference"/>
          <w:rFonts w:ascii="Calibri" w:hAnsi="Calibri"/>
          <w:sz w:val="20"/>
          <w:szCs w:val="20"/>
        </w:rPr>
        <w:endnoteReference w:id="81"/>
      </w:r>
      <w:r w:rsidRPr="00D61C8A">
        <w:rPr>
          <w:rFonts w:ascii="Calibri" w:hAnsi="Calibri"/>
          <w:sz w:val="20"/>
          <w:szCs w:val="20"/>
        </w:rPr>
        <w:t xml:space="preserve">  However, NCBL does not disaggregate data by device type, which limits </w:t>
      </w:r>
      <w:r>
        <w:rPr>
          <w:rFonts w:ascii="Calibri" w:hAnsi="Calibri"/>
          <w:sz w:val="20"/>
          <w:szCs w:val="20"/>
        </w:rPr>
        <w:t xml:space="preserve">the </w:t>
      </w:r>
      <w:r w:rsidRPr="00D61C8A">
        <w:rPr>
          <w:rFonts w:ascii="Calibri" w:hAnsi="Calibri"/>
          <w:sz w:val="20"/>
          <w:szCs w:val="20"/>
        </w:rPr>
        <w:t xml:space="preserve">usefulness </w:t>
      </w:r>
      <w:r>
        <w:rPr>
          <w:rFonts w:ascii="Calibri" w:hAnsi="Calibri"/>
          <w:sz w:val="20"/>
          <w:szCs w:val="20"/>
        </w:rPr>
        <w:t>of the data for MA</w:t>
      </w:r>
      <w:r w:rsidRPr="00D61C8A">
        <w:rPr>
          <w:rFonts w:ascii="Calibri" w:hAnsi="Calibri"/>
          <w:sz w:val="20"/>
          <w:szCs w:val="20"/>
        </w:rPr>
        <w:t xml:space="preserve"> activities.</w:t>
      </w:r>
      <w:r w:rsidRPr="00D61C8A">
        <w:rPr>
          <w:rStyle w:val="EndnoteReference"/>
          <w:rFonts w:ascii="Calibri" w:hAnsi="Calibri"/>
          <w:sz w:val="20"/>
          <w:szCs w:val="20"/>
        </w:rPr>
        <w:endnoteReference w:id="82"/>
      </w:r>
    </w:p>
    <w:p w:rsidR="00B454FB" w:rsidRPr="00D61C8A" w:rsidRDefault="00B454FB" w:rsidP="00B454FB">
      <w:pPr>
        <w:rPr>
          <w:rFonts w:ascii="Calibri" w:hAnsi="Calibri"/>
          <w:sz w:val="20"/>
          <w:szCs w:val="20"/>
        </w:rPr>
      </w:pPr>
    </w:p>
    <w:p w:rsidR="00B454FB" w:rsidRDefault="00B454FB" w:rsidP="00B454FB">
      <w:pPr>
        <w:rPr>
          <w:rFonts w:ascii="Calibri" w:hAnsi="Calibri"/>
          <w:sz w:val="20"/>
          <w:szCs w:val="20"/>
        </w:rPr>
      </w:pPr>
      <w:r w:rsidRPr="00D61C8A">
        <w:rPr>
          <w:rFonts w:ascii="Calibri" w:hAnsi="Calibri"/>
          <w:sz w:val="20"/>
          <w:szCs w:val="20"/>
        </w:rPr>
        <w:t>The Government of Nepal reported that 2456 incidents killed 1366 people between February 1996 and June 2000; NCBL reported an additional 76 incidents between J</w:t>
      </w:r>
      <w:r w:rsidR="008C6A74">
        <w:rPr>
          <w:rFonts w:ascii="Calibri" w:hAnsi="Calibri"/>
          <w:sz w:val="20"/>
          <w:szCs w:val="20"/>
        </w:rPr>
        <w:t>uly</w:t>
      </w:r>
      <w:r w:rsidRPr="00D61C8A">
        <w:rPr>
          <w:rFonts w:ascii="Calibri" w:hAnsi="Calibri"/>
          <w:sz w:val="20"/>
          <w:szCs w:val="20"/>
        </w:rPr>
        <w:t xml:space="preserve"> and December 2000.</w:t>
      </w:r>
      <w:r w:rsidRPr="00D61C8A">
        <w:rPr>
          <w:rStyle w:val="EndnoteReference"/>
          <w:rFonts w:ascii="Calibri" w:hAnsi="Calibri"/>
          <w:sz w:val="20"/>
          <w:szCs w:val="20"/>
        </w:rPr>
        <w:endnoteReference w:id="83"/>
      </w:r>
      <w:r w:rsidRPr="00D61C8A">
        <w:rPr>
          <w:rFonts w:ascii="Calibri" w:hAnsi="Calibri"/>
          <w:sz w:val="20"/>
          <w:szCs w:val="20"/>
        </w:rPr>
        <w:t xml:space="preserve">  </w:t>
      </w:r>
      <w:r>
        <w:rPr>
          <w:rFonts w:ascii="Calibri" w:hAnsi="Calibri"/>
          <w:sz w:val="20"/>
          <w:szCs w:val="20"/>
        </w:rPr>
        <w:t>Figure 3</w:t>
      </w:r>
      <w:r w:rsidRPr="00D61C8A">
        <w:rPr>
          <w:rFonts w:ascii="Calibri" w:hAnsi="Calibri"/>
          <w:sz w:val="20"/>
          <w:szCs w:val="20"/>
        </w:rPr>
        <w:t xml:space="preserve"> below shows a comparison of data collected by NCBL, UNICEF and INSEC between 2000 and 2009.  A summary of injury data collected by INSEC’s active surveillance system on victim-activated explosions (VAE) between 2006 and 2009 is available in Appendix A.1.</w:t>
      </w:r>
    </w:p>
    <w:p w:rsidR="00B454FB" w:rsidRDefault="00B454FB" w:rsidP="00B454FB">
      <w:pPr>
        <w:rPr>
          <w:rFonts w:ascii="Calibri" w:hAnsi="Calibri"/>
          <w:sz w:val="20"/>
          <w:szCs w:val="20"/>
        </w:rPr>
      </w:pPr>
    </w:p>
    <w:p w:rsidR="00B454FB" w:rsidRPr="00EE3F80" w:rsidRDefault="00B454FB" w:rsidP="00B454FB">
      <w:pPr>
        <w:pStyle w:val="Caption"/>
        <w:rPr>
          <w:rFonts w:ascii="Calibri" w:hAnsi="Calibri"/>
          <w:b w:val="0"/>
          <w:i/>
          <w:szCs w:val="12"/>
        </w:rPr>
      </w:pPr>
      <w:r>
        <w:rPr>
          <w:rFonts w:ascii="Calibri" w:hAnsi="Calibri"/>
          <w:szCs w:val="12"/>
        </w:rPr>
        <w:br w:type="page"/>
      </w:r>
      <w:r w:rsidRPr="00EE3F80">
        <w:rPr>
          <w:rFonts w:ascii="Calibri" w:hAnsi="Calibri"/>
          <w:b w:val="0"/>
          <w:sz w:val="16"/>
        </w:rPr>
        <w:lastRenderedPageBreak/>
        <w:t xml:space="preserve">Figure </w:t>
      </w:r>
      <w:r>
        <w:rPr>
          <w:rFonts w:ascii="Calibri" w:hAnsi="Calibri"/>
          <w:b w:val="0"/>
          <w:sz w:val="16"/>
        </w:rPr>
        <w:t>3</w:t>
      </w:r>
      <w:r w:rsidRPr="00EE3F80">
        <w:rPr>
          <w:rFonts w:ascii="Calibri" w:hAnsi="Calibri"/>
          <w:b w:val="0"/>
          <w:sz w:val="16"/>
        </w:rPr>
        <w:t>. Summary of ED injury data in Nepal, 2006-2009 (</w:t>
      </w:r>
      <w:r w:rsidRPr="00EE3F80">
        <w:rPr>
          <w:rFonts w:ascii="Calibri" w:hAnsi="Calibri"/>
          <w:b w:val="0"/>
          <w:i/>
          <w:sz w:val="16"/>
        </w:rPr>
        <w:t>Sources: INSEC, Landmine Monitor and NCBL</w:t>
      </w:r>
      <w:r w:rsidRPr="00EE3F80">
        <w:rPr>
          <w:rFonts w:ascii="Calibri" w:hAnsi="Calibri"/>
          <w:b w:val="0"/>
          <w:sz w:val="16"/>
        </w:rPr>
        <w:t>)</w:t>
      </w: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855"/>
        <w:gridCol w:w="1058"/>
        <w:gridCol w:w="1260"/>
        <w:gridCol w:w="1755"/>
        <w:gridCol w:w="990"/>
        <w:gridCol w:w="1350"/>
      </w:tblGrid>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Reporting organization (Source)</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No. of Incidents</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 or Combatant</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Injuries (Fatal/Non-Fatal)</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Affected (with injuries) Districts</w:t>
            </w: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 Injuries (Fatal/Non-Fatal)</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2000</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(L</w:t>
            </w:r>
            <w:r>
              <w:rPr>
                <w:rFonts w:ascii="Calibri" w:hAnsi="Calibri"/>
                <w:sz w:val="20"/>
                <w:szCs w:val="20"/>
              </w:rPr>
              <w:t xml:space="preserve">andmine </w:t>
            </w:r>
            <w:r w:rsidRPr="00D61C8A">
              <w:rPr>
                <w:rFonts w:ascii="Calibri" w:hAnsi="Calibri"/>
                <w:sz w:val="20"/>
                <w:szCs w:val="20"/>
              </w:rPr>
              <w:t>M</w:t>
            </w:r>
            <w:r>
              <w:rPr>
                <w:rFonts w:ascii="Calibri" w:hAnsi="Calibri"/>
                <w:sz w:val="20"/>
                <w:szCs w:val="20"/>
              </w:rPr>
              <w:t>onitor (LM)</w:t>
            </w:r>
            <w:r w:rsidRPr="00D61C8A">
              <w:rPr>
                <w:rFonts w:ascii="Calibri" w:hAnsi="Calibri"/>
                <w:sz w:val="20"/>
                <w:szCs w:val="20"/>
              </w:rPr>
              <w:t xml:space="preserve"> 2001)</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182 (106/76)</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62</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2001</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(LM 2002)</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148</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424 (214/210)</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71</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2002</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w:t>
            </w:r>
            <w:hyperlink r:id="rId10"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720 (202/518)</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313*</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2003</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w:t>
            </w:r>
            <w:hyperlink r:id="rId11"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731 (196/535)</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225</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2004</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w:t>
            </w:r>
            <w:hyperlink r:id="rId12"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1445 (389/1056)</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707</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2005</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NCBL (</w:t>
            </w:r>
            <w:hyperlink r:id="rId13" w:history="1">
              <w:r w:rsidRPr="00D61C8A">
                <w:rPr>
                  <w:rStyle w:val="Hyperlink"/>
                  <w:rFonts w:ascii="Calibri" w:hAnsi="Calibri"/>
                  <w:sz w:val="20"/>
                  <w:szCs w:val="20"/>
                </w:rPr>
                <w:t>www.nepal.icbl.org</w:t>
              </w:r>
            </w:hyperlink>
            <w:r w:rsidRPr="00D61C8A">
              <w:rPr>
                <w:rFonts w:ascii="Calibri" w:hAnsi="Calibri"/>
                <w:sz w:val="20"/>
                <w:szCs w:val="20"/>
              </w:rPr>
              <w:t>)</w:t>
            </w:r>
          </w:p>
          <w:p w:rsidR="00B454FB" w:rsidRPr="00D61C8A" w:rsidRDefault="00B454FB" w:rsidP="00B454FB">
            <w:pPr>
              <w:rPr>
                <w:rFonts w:ascii="Calibri" w:hAnsi="Calibri"/>
                <w:sz w:val="20"/>
                <w:szCs w:val="20"/>
              </w:rPr>
            </w:pPr>
            <w:r w:rsidRPr="00D61C8A">
              <w:rPr>
                <w:rFonts w:ascii="Calibri" w:hAnsi="Calibri"/>
                <w:sz w:val="20"/>
                <w:szCs w:val="20"/>
              </w:rPr>
              <w:t>UNICEF** (LM 2006)</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Both</w:t>
            </w:r>
          </w:p>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771 (210/561)</w:t>
            </w:r>
          </w:p>
          <w:p w:rsidR="00B454FB" w:rsidRPr="00D61C8A" w:rsidRDefault="00B454FB" w:rsidP="00B454FB">
            <w:pPr>
              <w:rPr>
                <w:rFonts w:ascii="Calibri" w:hAnsi="Calibri"/>
                <w:sz w:val="20"/>
                <w:szCs w:val="20"/>
              </w:rPr>
            </w:pPr>
            <w:r w:rsidRPr="00D61C8A">
              <w:rPr>
                <w:rFonts w:ascii="Calibri" w:hAnsi="Calibri"/>
                <w:sz w:val="20"/>
                <w:szCs w:val="20"/>
              </w:rPr>
              <w:t>197 (77/120)</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536</w:t>
            </w:r>
          </w:p>
          <w:p w:rsidR="00B454FB" w:rsidRPr="00D61C8A" w:rsidRDefault="00B454FB" w:rsidP="00B454FB">
            <w:pPr>
              <w:rPr>
                <w:rFonts w:ascii="Calibri" w:hAnsi="Calibri"/>
                <w:sz w:val="20"/>
                <w:szCs w:val="20"/>
              </w:rPr>
            </w:pPr>
            <w:r w:rsidRPr="00D61C8A">
              <w:rPr>
                <w:rFonts w:ascii="Calibri" w:hAnsi="Calibri"/>
                <w:sz w:val="20"/>
                <w:szCs w:val="20"/>
              </w:rPr>
              <w:t>142</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2006</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INSEC (2006 Annual Report)</w:t>
            </w:r>
          </w:p>
          <w:p w:rsidR="00B454FB" w:rsidRPr="00D61C8A" w:rsidRDefault="00B454FB" w:rsidP="00B454FB">
            <w:pPr>
              <w:rPr>
                <w:rFonts w:ascii="Calibri" w:hAnsi="Calibri"/>
                <w:sz w:val="20"/>
                <w:szCs w:val="20"/>
              </w:rPr>
            </w:pPr>
            <w:r w:rsidRPr="00D61C8A">
              <w:rPr>
                <w:rFonts w:ascii="Calibri" w:hAnsi="Calibri"/>
                <w:sz w:val="20"/>
                <w:szCs w:val="20"/>
              </w:rPr>
              <w:t>NCBL (</w:t>
            </w:r>
            <w:hyperlink r:id="rId14"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98</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w:t>
            </w:r>
          </w:p>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169 (39/130)</w:t>
            </w:r>
          </w:p>
          <w:p w:rsidR="00B454FB" w:rsidRPr="00D61C8A" w:rsidRDefault="00B454FB" w:rsidP="00B454FB">
            <w:pPr>
              <w:rPr>
                <w:rFonts w:ascii="Calibri" w:hAnsi="Calibri"/>
                <w:sz w:val="20"/>
                <w:szCs w:val="20"/>
              </w:rPr>
            </w:pPr>
            <w:r w:rsidRPr="00D61C8A">
              <w:rPr>
                <w:rFonts w:ascii="Calibri" w:hAnsi="Calibri"/>
                <w:sz w:val="20"/>
                <w:szCs w:val="20"/>
              </w:rPr>
              <w:t>357 (80/277)</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51</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169</w:t>
            </w:r>
          </w:p>
          <w:p w:rsidR="00B454FB" w:rsidRPr="00D61C8A" w:rsidRDefault="00B454FB" w:rsidP="00B454FB">
            <w:pPr>
              <w:rPr>
                <w:rFonts w:ascii="Calibri" w:hAnsi="Calibri"/>
                <w:sz w:val="20"/>
                <w:szCs w:val="20"/>
              </w:rPr>
            </w:pPr>
            <w:r w:rsidRPr="00D61C8A">
              <w:rPr>
                <w:rFonts w:ascii="Calibri" w:hAnsi="Calibri"/>
                <w:sz w:val="20"/>
                <w:szCs w:val="20"/>
              </w:rPr>
              <w:t>224</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2007</w:t>
            </w:r>
          </w:p>
          <w:p w:rsidR="00B454FB" w:rsidRPr="00D61C8A" w:rsidRDefault="00B454FB" w:rsidP="00B454FB">
            <w:pPr>
              <w:rPr>
                <w:rFonts w:ascii="Calibri" w:hAnsi="Calibri"/>
                <w:sz w:val="20"/>
                <w:szCs w:val="20"/>
              </w:rPr>
            </w:pP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INSEC (2007 Annual Report)</w:t>
            </w:r>
          </w:p>
          <w:p w:rsidR="00B454FB" w:rsidRPr="00D61C8A" w:rsidRDefault="00B454FB" w:rsidP="00B454FB">
            <w:pPr>
              <w:rPr>
                <w:rFonts w:ascii="Calibri" w:hAnsi="Calibri"/>
                <w:sz w:val="20"/>
                <w:szCs w:val="20"/>
              </w:rPr>
            </w:pPr>
            <w:r w:rsidRPr="00D61C8A">
              <w:rPr>
                <w:rFonts w:ascii="Calibri" w:hAnsi="Calibri"/>
                <w:sz w:val="20"/>
                <w:szCs w:val="20"/>
              </w:rPr>
              <w:t>NCBL (</w:t>
            </w:r>
            <w:hyperlink r:id="rId15"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42</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w:t>
            </w:r>
          </w:p>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104 (13/91)</w:t>
            </w:r>
          </w:p>
          <w:p w:rsidR="00B454FB" w:rsidRPr="00D61C8A" w:rsidRDefault="00B454FB" w:rsidP="00B454FB">
            <w:pPr>
              <w:rPr>
                <w:rFonts w:ascii="Calibri" w:hAnsi="Calibri"/>
                <w:sz w:val="20"/>
                <w:szCs w:val="20"/>
              </w:rPr>
            </w:pPr>
            <w:r w:rsidRPr="00D61C8A">
              <w:rPr>
                <w:rFonts w:ascii="Calibri" w:hAnsi="Calibri"/>
                <w:sz w:val="20"/>
                <w:szCs w:val="20"/>
              </w:rPr>
              <w:t>190 (21/169)</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29</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104</w:t>
            </w:r>
          </w:p>
          <w:p w:rsidR="00B454FB" w:rsidRPr="00D61C8A" w:rsidRDefault="00B454FB" w:rsidP="00B454FB">
            <w:pPr>
              <w:rPr>
                <w:rFonts w:ascii="Calibri" w:hAnsi="Calibri"/>
                <w:sz w:val="20"/>
                <w:szCs w:val="20"/>
              </w:rPr>
            </w:pPr>
            <w:r w:rsidRPr="00D61C8A">
              <w:rPr>
                <w:rFonts w:ascii="Calibri" w:hAnsi="Calibri"/>
                <w:sz w:val="20"/>
                <w:szCs w:val="20"/>
              </w:rPr>
              <w:t>170</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INSEC (2008 Annual Report)</w:t>
            </w:r>
          </w:p>
          <w:p w:rsidR="00B454FB" w:rsidRPr="00D61C8A" w:rsidRDefault="00B454FB" w:rsidP="00B454FB">
            <w:pPr>
              <w:rPr>
                <w:rFonts w:ascii="Calibri" w:hAnsi="Calibri"/>
                <w:sz w:val="20"/>
                <w:szCs w:val="20"/>
              </w:rPr>
            </w:pPr>
            <w:r w:rsidRPr="00D61C8A">
              <w:rPr>
                <w:rFonts w:ascii="Calibri" w:hAnsi="Calibri"/>
                <w:sz w:val="20"/>
                <w:szCs w:val="20"/>
              </w:rPr>
              <w:t>NCBL (</w:t>
            </w:r>
            <w:hyperlink r:id="rId16" w:history="1">
              <w:r w:rsidRPr="00D61C8A">
                <w:rPr>
                  <w:rStyle w:val="Hyperlink"/>
                  <w:rFonts w:ascii="Calibri" w:hAnsi="Calibri"/>
                  <w:sz w:val="20"/>
                  <w:szCs w:val="20"/>
                </w:rPr>
                <w:t>www.nepal.icbl.org</w:t>
              </w:r>
            </w:hyperlink>
            <w:r w:rsidRPr="00D61C8A">
              <w:rPr>
                <w:rFonts w:ascii="Calibri" w:hAnsi="Calibri"/>
                <w:sz w:val="20"/>
                <w:szCs w:val="20"/>
              </w:rPr>
              <w: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38</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w:t>
            </w:r>
          </w:p>
          <w:p w:rsidR="00B454FB" w:rsidRPr="00D61C8A" w:rsidRDefault="00B454FB" w:rsidP="00B454FB">
            <w:pPr>
              <w:rPr>
                <w:rFonts w:ascii="Calibri" w:hAnsi="Calibri"/>
                <w:sz w:val="20"/>
                <w:szCs w:val="20"/>
              </w:rPr>
            </w:pPr>
            <w:r w:rsidRPr="00D61C8A">
              <w:rPr>
                <w:rFonts w:ascii="Calibri" w:hAnsi="Calibri"/>
                <w:sz w:val="20"/>
                <w:szCs w:val="20"/>
              </w:rPr>
              <w:t>Both</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73 (4/69)</w:t>
            </w:r>
          </w:p>
          <w:p w:rsidR="00B454FB" w:rsidRPr="00D61C8A" w:rsidRDefault="00B454FB" w:rsidP="00B454FB">
            <w:pPr>
              <w:rPr>
                <w:rFonts w:ascii="Calibri" w:hAnsi="Calibri"/>
                <w:sz w:val="20"/>
                <w:szCs w:val="20"/>
              </w:rPr>
            </w:pPr>
            <w:r w:rsidRPr="00D61C8A">
              <w:rPr>
                <w:rFonts w:ascii="Calibri" w:hAnsi="Calibri"/>
                <w:sz w:val="20"/>
                <w:szCs w:val="20"/>
              </w:rPr>
              <w:t>247 (12/235)</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24</w:t>
            </w:r>
          </w:p>
          <w:p w:rsidR="00B454FB" w:rsidRPr="00D61C8A" w:rsidRDefault="00B454FB" w:rsidP="00B454FB">
            <w:pPr>
              <w:rPr>
                <w:rFonts w:ascii="Calibri" w:hAnsi="Calibri"/>
                <w:sz w:val="20"/>
                <w:szCs w:val="20"/>
              </w:rPr>
            </w:pPr>
            <w:r w:rsidRPr="00D61C8A">
              <w:rPr>
                <w:rFonts w:ascii="Calibri" w:hAnsi="Calibri"/>
                <w:sz w:val="20"/>
                <w:szCs w:val="20"/>
              </w:rPr>
              <w:t>--</w:t>
            </w: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73</w:t>
            </w:r>
          </w:p>
          <w:p w:rsidR="00B454FB" w:rsidRPr="00D61C8A" w:rsidRDefault="00B454FB" w:rsidP="00B454FB">
            <w:pPr>
              <w:rPr>
                <w:rFonts w:ascii="Calibri" w:hAnsi="Calibri"/>
                <w:sz w:val="20"/>
                <w:szCs w:val="20"/>
              </w:rPr>
            </w:pPr>
            <w:r w:rsidRPr="00D61C8A">
              <w:rPr>
                <w:rFonts w:ascii="Calibri" w:hAnsi="Calibri"/>
                <w:sz w:val="20"/>
                <w:szCs w:val="20"/>
              </w:rPr>
              <w:t>242</w:t>
            </w:r>
          </w:p>
        </w:tc>
      </w:tr>
      <w:tr w:rsidR="00B454FB" w:rsidRPr="00D61C8A">
        <w:tc>
          <w:tcPr>
            <w:tcW w:w="737"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2009</w:t>
            </w:r>
          </w:p>
        </w:tc>
        <w:tc>
          <w:tcPr>
            <w:tcW w:w="28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INSEC (2009 Annual Report)</w:t>
            </w:r>
          </w:p>
        </w:tc>
        <w:tc>
          <w:tcPr>
            <w:tcW w:w="1058"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24</w:t>
            </w:r>
          </w:p>
        </w:tc>
        <w:tc>
          <w:tcPr>
            <w:tcW w:w="126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Civilian</w:t>
            </w:r>
          </w:p>
        </w:tc>
        <w:tc>
          <w:tcPr>
            <w:tcW w:w="1755"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70 (16/54)</w:t>
            </w:r>
          </w:p>
        </w:tc>
        <w:tc>
          <w:tcPr>
            <w:tcW w:w="99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18</w:t>
            </w:r>
          </w:p>
        </w:tc>
        <w:tc>
          <w:tcPr>
            <w:tcW w:w="1350" w:type="dxa"/>
            <w:tcBorders>
              <w:top w:val="single" w:sz="4" w:space="0" w:color="000000"/>
              <w:left w:val="single" w:sz="4" w:space="0" w:color="000000"/>
              <w:bottom w:val="single" w:sz="4" w:space="0" w:color="000000"/>
              <w:right w:val="single" w:sz="4" w:space="0" w:color="000000"/>
            </w:tcBorders>
          </w:tcPr>
          <w:p w:rsidR="00B454FB" w:rsidRPr="00D61C8A" w:rsidRDefault="00B454FB" w:rsidP="00B454FB">
            <w:pPr>
              <w:rPr>
                <w:rFonts w:ascii="Calibri" w:hAnsi="Calibri"/>
                <w:sz w:val="20"/>
                <w:szCs w:val="20"/>
              </w:rPr>
            </w:pPr>
            <w:r w:rsidRPr="00D61C8A">
              <w:rPr>
                <w:rFonts w:ascii="Calibri" w:hAnsi="Calibri"/>
                <w:sz w:val="20"/>
                <w:szCs w:val="20"/>
              </w:rPr>
              <w:t>70</w:t>
            </w:r>
          </w:p>
        </w:tc>
      </w:tr>
    </w:tbl>
    <w:p w:rsidR="00B454FB" w:rsidRPr="00D61C8A" w:rsidRDefault="00B454FB" w:rsidP="00B454FB">
      <w:pPr>
        <w:rPr>
          <w:rFonts w:ascii="Calibri" w:hAnsi="Calibri"/>
          <w:sz w:val="20"/>
          <w:szCs w:val="20"/>
        </w:rPr>
      </w:pPr>
      <w:r w:rsidRPr="00D61C8A">
        <w:rPr>
          <w:rFonts w:ascii="Calibri" w:hAnsi="Calibri"/>
          <w:sz w:val="20"/>
          <w:szCs w:val="20"/>
        </w:rPr>
        <w:t>*A Landmine Monitor review of NCBL’s 2002 data confirmed only 177 of the 313 reported civilian casualties.</w:t>
      </w:r>
      <w:r w:rsidRPr="00D61C8A">
        <w:rPr>
          <w:rStyle w:val="EndnoteReference"/>
          <w:rFonts w:ascii="Calibri" w:hAnsi="Calibri"/>
          <w:sz w:val="20"/>
          <w:szCs w:val="20"/>
        </w:rPr>
        <w:endnoteReference w:id="84"/>
      </w:r>
    </w:p>
    <w:p w:rsidR="00B454FB" w:rsidRPr="00D61C8A" w:rsidRDefault="00B454FB" w:rsidP="00B454FB">
      <w:pPr>
        <w:rPr>
          <w:rFonts w:ascii="Calibri" w:hAnsi="Calibri"/>
          <w:sz w:val="20"/>
          <w:szCs w:val="20"/>
        </w:rPr>
      </w:pPr>
      <w:r w:rsidRPr="00D61C8A">
        <w:rPr>
          <w:rFonts w:ascii="Calibri" w:hAnsi="Calibri"/>
          <w:sz w:val="20"/>
          <w:szCs w:val="20"/>
        </w:rPr>
        <w:t>**2005 UNICEF data were collected via media surveillance.</w:t>
      </w:r>
    </w:p>
    <w:p w:rsidR="00B454FB" w:rsidRPr="00D61C8A" w:rsidRDefault="00B454FB" w:rsidP="00B454FB">
      <w:pPr>
        <w:rPr>
          <w:rFonts w:ascii="Calibri" w:hAnsi="Calibri"/>
          <w:sz w:val="20"/>
          <w:szCs w:val="20"/>
        </w:rPr>
      </w:pPr>
      <w:r w:rsidRPr="00D61C8A">
        <w:rPr>
          <w:rFonts w:ascii="Calibri" w:hAnsi="Calibri"/>
          <w:sz w:val="20"/>
          <w:szCs w:val="20"/>
        </w:rPr>
        <w:t xml:space="preserve">***2008 NCBL data </w:t>
      </w:r>
      <w:r>
        <w:rPr>
          <w:rFonts w:ascii="Calibri" w:hAnsi="Calibri"/>
          <w:sz w:val="20"/>
          <w:szCs w:val="20"/>
        </w:rPr>
        <w:t>were collected</w:t>
      </w:r>
      <w:r w:rsidRPr="00D61C8A">
        <w:rPr>
          <w:rFonts w:ascii="Calibri" w:hAnsi="Calibri"/>
          <w:sz w:val="20"/>
          <w:szCs w:val="20"/>
        </w:rPr>
        <w:t xml:space="preserve"> from January</w:t>
      </w:r>
      <w:r>
        <w:rPr>
          <w:rFonts w:ascii="Calibri" w:hAnsi="Calibri"/>
          <w:sz w:val="20"/>
          <w:szCs w:val="20"/>
        </w:rPr>
        <w:t xml:space="preserve"> through </w:t>
      </w:r>
      <w:r w:rsidRPr="00D61C8A">
        <w:rPr>
          <w:rFonts w:ascii="Calibri" w:hAnsi="Calibri"/>
          <w:sz w:val="20"/>
          <w:szCs w:val="20"/>
        </w:rPr>
        <w:t>June.</w:t>
      </w:r>
    </w:p>
    <w:p w:rsidR="00B454FB" w:rsidRDefault="00B454FB" w:rsidP="00B454FB">
      <w:pPr>
        <w:pStyle w:val="Heading3"/>
        <w:numPr>
          <w:ilvl w:val="0"/>
          <w:numId w:val="0"/>
        </w:numPr>
        <w:spacing w:before="0"/>
        <w:rPr>
          <w:rFonts w:ascii="Calibri" w:hAnsi="Calibri"/>
          <w:b w:val="0"/>
          <w:bCs w:val="0"/>
          <w:color w:val="auto"/>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III.D.3</w:t>
      </w:r>
      <w:r>
        <w:rPr>
          <w:rFonts w:ascii="Calibri" w:hAnsi="Calibri"/>
          <w:sz w:val="20"/>
          <w:szCs w:val="20"/>
        </w:rPr>
        <w:tab/>
      </w:r>
      <w:r>
        <w:rPr>
          <w:rFonts w:ascii="Calibri" w:hAnsi="Calibri"/>
          <w:sz w:val="20"/>
          <w:szCs w:val="20"/>
        </w:rPr>
        <w:tab/>
      </w:r>
      <w:r w:rsidRPr="00D61C8A">
        <w:rPr>
          <w:rFonts w:ascii="Calibri" w:hAnsi="Calibri"/>
          <w:sz w:val="20"/>
          <w:szCs w:val="20"/>
        </w:rPr>
        <w:t>ED injury trends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A review of data from INSEC’s VAE injury surveillance system reveals a number of injury trends:</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The 20 Terai districts were disproportionately affected, with 62</w:t>
      </w:r>
      <w:r w:rsidR="00BE312A">
        <w:rPr>
          <w:rFonts w:ascii="Calibri" w:hAnsi="Calibri"/>
          <w:sz w:val="20"/>
          <w:szCs w:val="20"/>
        </w:rPr>
        <w:t>%</w:t>
      </w:r>
      <w:r w:rsidRPr="00D61C8A">
        <w:rPr>
          <w:rFonts w:ascii="Calibri" w:hAnsi="Calibri"/>
          <w:sz w:val="20"/>
          <w:szCs w:val="20"/>
        </w:rPr>
        <w:t>, 82, and 61% of all casualties in 2007, 2008, and 2009, respectively</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Pr>
          <w:rFonts w:ascii="Calibri" w:hAnsi="Calibri"/>
          <w:sz w:val="20"/>
          <w:szCs w:val="20"/>
        </w:rPr>
        <w:t>“At home”</w:t>
      </w:r>
      <w:r w:rsidRPr="00D61C8A">
        <w:rPr>
          <w:rFonts w:ascii="Calibri" w:hAnsi="Calibri"/>
          <w:sz w:val="20"/>
          <w:szCs w:val="20"/>
        </w:rPr>
        <w:t xml:space="preserve"> w</w:t>
      </w:r>
      <w:r>
        <w:rPr>
          <w:rFonts w:ascii="Calibri" w:hAnsi="Calibri"/>
          <w:sz w:val="20"/>
          <w:szCs w:val="20"/>
        </w:rPr>
        <w:t>as</w:t>
      </w:r>
      <w:r w:rsidRPr="00D61C8A">
        <w:rPr>
          <w:rFonts w:ascii="Calibri" w:hAnsi="Calibri"/>
          <w:sz w:val="20"/>
          <w:szCs w:val="20"/>
        </w:rPr>
        <w:t xml:space="preserve"> the most common location of injury (34</w:t>
      </w:r>
      <w:r w:rsidR="00BE312A">
        <w:rPr>
          <w:rFonts w:ascii="Calibri" w:hAnsi="Calibri"/>
          <w:sz w:val="20"/>
          <w:szCs w:val="20"/>
        </w:rPr>
        <w:t>%</w:t>
      </w:r>
      <w:r w:rsidRPr="00D61C8A">
        <w:rPr>
          <w:rFonts w:ascii="Calibri" w:hAnsi="Calibri"/>
          <w:sz w:val="20"/>
          <w:szCs w:val="20"/>
        </w:rPr>
        <w:t>-44</w:t>
      </w:r>
      <w:r>
        <w:rPr>
          <w:rFonts w:ascii="Calibri" w:hAnsi="Calibri"/>
          <w:sz w:val="20"/>
          <w:szCs w:val="20"/>
        </w:rPr>
        <w:t xml:space="preserve"> </w:t>
      </w:r>
      <w:r w:rsidRPr="00D61C8A">
        <w:rPr>
          <w:rFonts w:ascii="Calibri" w:hAnsi="Calibri"/>
          <w:sz w:val="20"/>
          <w:szCs w:val="20"/>
        </w:rPr>
        <w:t xml:space="preserve">%) in 2006-2009; other common locations included </w:t>
      </w:r>
      <w:r>
        <w:rPr>
          <w:rFonts w:ascii="Calibri" w:hAnsi="Calibri"/>
          <w:sz w:val="20"/>
          <w:szCs w:val="20"/>
        </w:rPr>
        <w:t>“r</w:t>
      </w:r>
      <w:r w:rsidRPr="00D61C8A">
        <w:rPr>
          <w:rFonts w:ascii="Calibri" w:hAnsi="Calibri"/>
          <w:sz w:val="20"/>
          <w:szCs w:val="20"/>
        </w:rPr>
        <w:t>oad</w:t>
      </w:r>
      <w:r>
        <w:rPr>
          <w:rFonts w:ascii="Calibri" w:hAnsi="Calibri"/>
          <w:sz w:val="20"/>
          <w:szCs w:val="20"/>
        </w:rPr>
        <w:t>”</w:t>
      </w:r>
      <w:r w:rsidRPr="00D61C8A">
        <w:rPr>
          <w:rFonts w:ascii="Calibri" w:hAnsi="Calibri"/>
          <w:sz w:val="20"/>
          <w:szCs w:val="20"/>
        </w:rPr>
        <w:t xml:space="preserve">, </w:t>
      </w:r>
      <w:r>
        <w:rPr>
          <w:rFonts w:ascii="Calibri" w:hAnsi="Calibri"/>
          <w:sz w:val="20"/>
          <w:szCs w:val="20"/>
        </w:rPr>
        <w:t>“</w:t>
      </w:r>
      <w:r w:rsidRPr="00D61C8A">
        <w:rPr>
          <w:rFonts w:ascii="Calibri" w:hAnsi="Calibri"/>
          <w:sz w:val="20"/>
          <w:szCs w:val="20"/>
        </w:rPr>
        <w:t xml:space="preserve">agricultural </w:t>
      </w:r>
      <w:r>
        <w:rPr>
          <w:rFonts w:ascii="Calibri" w:hAnsi="Calibri"/>
          <w:sz w:val="20"/>
          <w:szCs w:val="20"/>
        </w:rPr>
        <w:t>land”</w:t>
      </w:r>
      <w:r w:rsidRPr="00D61C8A">
        <w:rPr>
          <w:rFonts w:ascii="Calibri" w:hAnsi="Calibri"/>
          <w:sz w:val="20"/>
          <w:szCs w:val="20"/>
        </w:rPr>
        <w:t xml:space="preserve">, and </w:t>
      </w:r>
      <w:r>
        <w:rPr>
          <w:rFonts w:ascii="Calibri" w:hAnsi="Calibri"/>
          <w:sz w:val="20"/>
          <w:szCs w:val="20"/>
        </w:rPr>
        <w:t>“</w:t>
      </w:r>
      <w:r w:rsidRPr="00D61C8A">
        <w:rPr>
          <w:rFonts w:ascii="Calibri" w:hAnsi="Calibri"/>
          <w:sz w:val="20"/>
          <w:szCs w:val="20"/>
        </w:rPr>
        <w:t>forest</w:t>
      </w:r>
      <w:r>
        <w:rPr>
          <w:rFonts w:ascii="Calibri" w:hAnsi="Calibri"/>
          <w:sz w:val="20"/>
          <w:szCs w:val="20"/>
        </w:rPr>
        <w:t>/</w:t>
      </w:r>
      <w:r w:rsidRPr="00D61C8A">
        <w:rPr>
          <w:rFonts w:ascii="Calibri" w:hAnsi="Calibri"/>
          <w:sz w:val="20"/>
          <w:szCs w:val="20"/>
        </w:rPr>
        <w:t>jungle</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IED accounted for 53</w:t>
      </w:r>
      <w:r w:rsidR="00BE312A">
        <w:rPr>
          <w:rFonts w:ascii="Calibri" w:hAnsi="Calibri"/>
          <w:sz w:val="20"/>
          <w:szCs w:val="20"/>
        </w:rPr>
        <w:t>%</w:t>
      </w:r>
      <w:r w:rsidRPr="00D61C8A">
        <w:rPr>
          <w:rFonts w:ascii="Calibri" w:hAnsi="Calibri"/>
          <w:sz w:val="20"/>
          <w:szCs w:val="20"/>
        </w:rPr>
        <w:t xml:space="preserve"> to 93 % of injuries between 2006 and 2009; among IED types, socket and sutali bombs caused the most injuries</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The most common activity at the time of the incident was handling or tampering with an ED; other common activities included standing or working nearby; intentionally striking or throwing an ED; collecting food, wood or fodder; and traveling</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Boys are most likely to be injured, accounting for 37</w:t>
      </w:r>
      <w:r w:rsidR="00BE312A">
        <w:rPr>
          <w:rFonts w:ascii="Calibri" w:hAnsi="Calibri"/>
          <w:sz w:val="20"/>
          <w:szCs w:val="20"/>
        </w:rPr>
        <w:t>%</w:t>
      </w:r>
      <w:r w:rsidRPr="00D61C8A">
        <w:rPr>
          <w:rFonts w:ascii="Calibri" w:hAnsi="Calibri"/>
          <w:sz w:val="20"/>
          <w:szCs w:val="20"/>
        </w:rPr>
        <w:t xml:space="preserve"> to 45% of injured individuals between 2006 and 2009; they are followed by men, girls and women</w:t>
      </w:r>
      <w:r>
        <w:rPr>
          <w:rFonts w:ascii="Calibri" w:hAnsi="Calibri"/>
          <w:sz w:val="20"/>
          <w:szCs w:val="20"/>
        </w:rPr>
        <w:t xml:space="preserve">, </w:t>
      </w:r>
      <w:r w:rsidRPr="00D61C8A">
        <w:rPr>
          <w:rFonts w:ascii="Calibri" w:hAnsi="Calibri"/>
          <w:sz w:val="20"/>
          <w:szCs w:val="20"/>
        </w:rPr>
        <w:t>although more women than girls were injured in 2009</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The age groups at highest risk of injury are 10 to 14, 5 to 9, and 15 to 19 years of age</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Case fatality rates were 23</w:t>
      </w:r>
      <w:r w:rsidR="00BE312A">
        <w:rPr>
          <w:rFonts w:ascii="Calibri" w:hAnsi="Calibri"/>
          <w:sz w:val="20"/>
          <w:szCs w:val="20"/>
        </w:rPr>
        <w:t>%</w:t>
      </w:r>
      <w:r w:rsidRPr="00D61C8A">
        <w:rPr>
          <w:rFonts w:ascii="Calibri" w:hAnsi="Calibri"/>
          <w:sz w:val="20"/>
          <w:szCs w:val="20"/>
        </w:rPr>
        <w:t>, 13</w:t>
      </w:r>
      <w:r w:rsidR="00BE312A">
        <w:rPr>
          <w:rFonts w:ascii="Calibri" w:hAnsi="Calibri"/>
          <w:sz w:val="20"/>
          <w:szCs w:val="20"/>
        </w:rPr>
        <w:t>%</w:t>
      </w:r>
      <w:r w:rsidRPr="00D61C8A">
        <w:rPr>
          <w:rFonts w:ascii="Calibri" w:hAnsi="Calibri"/>
          <w:sz w:val="20"/>
          <w:szCs w:val="20"/>
        </w:rPr>
        <w:t>, 6</w:t>
      </w:r>
      <w:r w:rsidR="00BE312A">
        <w:rPr>
          <w:rFonts w:ascii="Calibri" w:hAnsi="Calibri"/>
          <w:sz w:val="20"/>
          <w:szCs w:val="20"/>
        </w:rPr>
        <w:t>%</w:t>
      </w:r>
      <w:r w:rsidRPr="00D61C8A">
        <w:rPr>
          <w:rFonts w:ascii="Calibri" w:hAnsi="Calibri"/>
          <w:sz w:val="20"/>
          <w:szCs w:val="20"/>
        </w:rPr>
        <w:t xml:space="preserve"> and 23 % in 2006, 2007, 2008, and 2009, respectively</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According to INSEC’s classification of economic status, individuals injured in 2006, 2008 and 2009</w:t>
      </w:r>
      <w:r>
        <w:rPr>
          <w:rStyle w:val="FootnoteReference"/>
          <w:rFonts w:ascii="Calibri" w:hAnsi="Calibri"/>
          <w:sz w:val="20"/>
          <w:szCs w:val="20"/>
        </w:rPr>
        <w:footnoteReference w:id="3"/>
      </w:r>
      <w:r w:rsidRPr="00D61C8A">
        <w:rPr>
          <w:rFonts w:ascii="Calibri" w:hAnsi="Calibri"/>
          <w:sz w:val="20"/>
          <w:szCs w:val="20"/>
        </w:rPr>
        <w:t xml:space="preserve"> were most likely to be classified as belonging to the </w:t>
      </w:r>
      <w:r>
        <w:rPr>
          <w:rFonts w:ascii="Calibri" w:hAnsi="Calibri"/>
          <w:sz w:val="20"/>
          <w:szCs w:val="20"/>
        </w:rPr>
        <w:t>two lowest economic quartiles.</w:t>
      </w:r>
    </w:p>
    <w:p w:rsidR="00B454FB" w:rsidRPr="00D61C8A" w:rsidRDefault="00B454FB" w:rsidP="00B454FB">
      <w:pPr>
        <w:pStyle w:val="ColorfulList-Accent11"/>
        <w:numPr>
          <w:ilvl w:val="0"/>
          <w:numId w:val="2"/>
        </w:numPr>
        <w:rPr>
          <w:rFonts w:ascii="Calibri" w:hAnsi="Calibri"/>
          <w:sz w:val="20"/>
          <w:szCs w:val="20"/>
        </w:rPr>
      </w:pPr>
      <w:r>
        <w:rPr>
          <w:rFonts w:ascii="Calibri" w:hAnsi="Calibri"/>
          <w:sz w:val="20"/>
          <w:szCs w:val="20"/>
        </w:rPr>
        <w:t>The m</w:t>
      </w:r>
      <w:r w:rsidRPr="00D61C8A">
        <w:rPr>
          <w:rFonts w:ascii="Calibri" w:hAnsi="Calibri"/>
          <w:sz w:val="20"/>
          <w:szCs w:val="20"/>
        </w:rPr>
        <w:t xml:space="preserve">ost common occupations among injured individuals in 2006 through 2009 were </w:t>
      </w:r>
      <w:r>
        <w:rPr>
          <w:rFonts w:ascii="Calibri" w:hAnsi="Calibri"/>
          <w:sz w:val="20"/>
          <w:szCs w:val="20"/>
        </w:rPr>
        <w:t>“</w:t>
      </w:r>
      <w:r w:rsidRPr="00D61C8A">
        <w:rPr>
          <w:rFonts w:ascii="Calibri" w:hAnsi="Calibri"/>
          <w:sz w:val="20"/>
          <w:szCs w:val="20"/>
        </w:rPr>
        <w:t>student</w:t>
      </w:r>
      <w:r>
        <w:rPr>
          <w:rFonts w:ascii="Calibri" w:hAnsi="Calibri"/>
          <w:sz w:val="20"/>
          <w:szCs w:val="20"/>
        </w:rPr>
        <w:t>”</w:t>
      </w:r>
      <w:r w:rsidRPr="00D61C8A">
        <w:rPr>
          <w:rFonts w:ascii="Calibri" w:hAnsi="Calibri"/>
          <w:sz w:val="20"/>
          <w:szCs w:val="20"/>
        </w:rPr>
        <w:t xml:space="preserve">, </w:t>
      </w:r>
      <w:r>
        <w:rPr>
          <w:rFonts w:ascii="Calibri" w:hAnsi="Calibri"/>
          <w:sz w:val="20"/>
          <w:szCs w:val="20"/>
        </w:rPr>
        <w:t>“</w:t>
      </w:r>
      <w:r w:rsidRPr="00D61C8A">
        <w:rPr>
          <w:rFonts w:ascii="Calibri" w:hAnsi="Calibri"/>
          <w:sz w:val="20"/>
          <w:szCs w:val="20"/>
        </w:rPr>
        <w:t>farmer</w:t>
      </w:r>
      <w:r>
        <w:rPr>
          <w:rFonts w:ascii="Calibri" w:hAnsi="Calibri"/>
          <w:sz w:val="20"/>
          <w:szCs w:val="20"/>
        </w:rPr>
        <w:t>”</w:t>
      </w:r>
      <w:r w:rsidRPr="00D61C8A">
        <w:rPr>
          <w:rFonts w:ascii="Calibri" w:hAnsi="Calibri"/>
          <w:sz w:val="20"/>
          <w:szCs w:val="20"/>
        </w:rPr>
        <w:t xml:space="preserve"> and </w:t>
      </w:r>
      <w:r>
        <w:rPr>
          <w:rFonts w:ascii="Calibri" w:hAnsi="Calibri"/>
          <w:sz w:val="20"/>
          <w:szCs w:val="20"/>
        </w:rPr>
        <w:t>“</w:t>
      </w:r>
      <w:r w:rsidRPr="00D61C8A">
        <w:rPr>
          <w:rFonts w:ascii="Calibri" w:hAnsi="Calibri"/>
          <w:sz w:val="20"/>
          <w:szCs w:val="20"/>
        </w:rPr>
        <w:t>laborer</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Among individuals injured in 2008 and 2009, 8</w:t>
      </w:r>
      <w:r w:rsidR="00BE312A">
        <w:rPr>
          <w:rFonts w:ascii="Calibri" w:hAnsi="Calibri"/>
          <w:sz w:val="20"/>
          <w:szCs w:val="20"/>
        </w:rPr>
        <w:t>%</w:t>
      </w:r>
      <w:r w:rsidRPr="00D61C8A">
        <w:rPr>
          <w:rFonts w:ascii="Calibri" w:hAnsi="Calibri"/>
          <w:sz w:val="20"/>
          <w:szCs w:val="20"/>
        </w:rPr>
        <w:t xml:space="preserve"> and 6 %, respectively, knew that the area</w:t>
      </w:r>
      <w:r>
        <w:rPr>
          <w:rFonts w:ascii="Calibri" w:hAnsi="Calibri"/>
          <w:sz w:val="20"/>
          <w:szCs w:val="20"/>
        </w:rPr>
        <w:t>s</w:t>
      </w:r>
      <w:r w:rsidRPr="00D61C8A">
        <w:rPr>
          <w:rFonts w:ascii="Calibri" w:hAnsi="Calibri"/>
          <w:sz w:val="20"/>
          <w:szCs w:val="20"/>
        </w:rPr>
        <w:t xml:space="preserve"> where they were injured w</w:t>
      </w:r>
      <w:r>
        <w:rPr>
          <w:rFonts w:ascii="Calibri" w:hAnsi="Calibri"/>
          <w:sz w:val="20"/>
          <w:szCs w:val="20"/>
        </w:rPr>
        <w:t>ere</w:t>
      </w:r>
      <w:r w:rsidRPr="00D61C8A">
        <w:rPr>
          <w:rFonts w:ascii="Calibri" w:hAnsi="Calibri"/>
          <w:sz w:val="20"/>
          <w:szCs w:val="20"/>
        </w:rPr>
        <w:t xml:space="preserve"> dangerous</w:t>
      </w:r>
      <w:r>
        <w:rPr>
          <w:rFonts w:ascii="Calibri" w:hAnsi="Calibri"/>
          <w:sz w:val="20"/>
          <w:szCs w:val="20"/>
        </w:rPr>
        <w:t>.</w:t>
      </w:r>
      <w:r w:rsidRPr="00D61C8A">
        <w:rPr>
          <w:rFonts w:ascii="Calibri" w:hAnsi="Calibri"/>
          <w:sz w:val="20"/>
          <w:szCs w:val="20"/>
        </w:rPr>
        <w:t xml:space="preserve"> </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Among individuals injured in 2008 and 2009, 4 % of individuals knew that their activit</w:t>
      </w:r>
      <w:r>
        <w:rPr>
          <w:rFonts w:ascii="Calibri" w:hAnsi="Calibri"/>
          <w:sz w:val="20"/>
          <w:szCs w:val="20"/>
        </w:rPr>
        <w:t>ies</w:t>
      </w:r>
      <w:r w:rsidRPr="00D61C8A">
        <w:rPr>
          <w:rFonts w:ascii="Calibri" w:hAnsi="Calibri"/>
          <w:sz w:val="20"/>
          <w:szCs w:val="20"/>
        </w:rPr>
        <w:t xml:space="preserve"> at the time of injury w</w:t>
      </w:r>
      <w:r>
        <w:rPr>
          <w:rFonts w:ascii="Calibri" w:hAnsi="Calibri"/>
          <w:sz w:val="20"/>
          <w:szCs w:val="20"/>
        </w:rPr>
        <w:t>ere</w:t>
      </w:r>
      <w:r w:rsidRPr="00D61C8A">
        <w:rPr>
          <w:rFonts w:ascii="Calibri" w:hAnsi="Calibri"/>
          <w:sz w:val="20"/>
          <w:szCs w:val="20"/>
        </w:rPr>
        <w:t xml:space="preserve"> dangerous</w:t>
      </w:r>
      <w:r>
        <w:rPr>
          <w:rFonts w:ascii="Calibri" w:hAnsi="Calibri"/>
          <w:sz w:val="20"/>
          <w:szCs w:val="20"/>
        </w:rPr>
        <w:t>.</w:t>
      </w:r>
    </w:p>
    <w:p w:rsidR="00B454FB" w:rsidRPr="00D61C8A" w:rsidRDefault="00B454FB" w:rsidP="00B454FB">
      <w:pPr>
        <w:pStyle w:val="ColorfulList-Accent11"/>
        <w:numPr>
          <w:ilvl w:val="0"/>
          <w:numId w:val="2"/>
        </w:numPr>
        <w:rPr>
          <w:rFonts w:ascii="Calibri" w:hAnsi="Calibri"/>
          <w:sz w:val="20"/>
          <w:szCs w:val="20"/>
        </w:rPr>
      </w:pPr>
      <w:r w:rsidRPr="00D61C8A">
        <w:rPr>
          <w:rFonts w:ascii="Calibri" w:hAnsi="Calibri"/>
          <w:sz w:val="20"/>
          <w:szCs w:val="20"/>
        </w:rPr>
        <w:t xml:space="preserve">Among individuals injured between 2006 and 2009, none had confirmed receipt of </w:t>
      </w:r>
      <w:r>
        <w:rPr>
          <w:rFonts w:ascii="Calibri" w:hAnsi="Calibri"/>
          <w:sz w:val="20"/>
          <w:szCs w:val="20"/>
        </w:rPr>
        <w:t>mine risk education (</w:t>
      </w:r>
      <w:r w:rsidRPr="00D61C8A">
        <w:rPr>
          <w:rFonts w:ascii="Calibri" w:hAnsi="Calibri"/>
          <w:sz w:val="20"/>
          <w:szCs w:val="20"/>
        </w:rPr>
        <w:t>MRE</w:t>
      </w:r>
      <w:r>
        <w:rPr>
          <w:rFonts w:ascii="Calibri" w:hAnsi="Calibri"/>
          <w:sz w:val="20"/>
          <w:szCs w:val="20"/>
        </w:rPr>
        <w:t>)</w:t>
      </w:r>
      <w:r w:rsidRPr="00D61C8A">
        <w:rPr>
          <w:rFonts w:ascii="Calibri" w:hAnsi="Calibri"/>
          <w:sz w:val="20"/>
          <w:szCs w:val="20"/>
        </w:rPr>
        <w:t xml:space="preserve"> prior to the incident; it was known that 96</w:t>
      </w:r>
      <w:r>
        <w:rPr>
          <w:rFonts w:ascii="Calibri" w:hAnsi="Calibri"/>
          <w:sz w:val="20"/>
          <w:szCs w:val="20"/>
        </w:rPr>
        <w:t xml:space="preserve"> </w:t>
      </w:r>
      <w:r w:rsidRPr="00D61C8A">
        <w:rPr>
          <w:rFonts w:ascii="Calibri" w:hAnsi="Calibri"/>
          <w:sz w:val="20"/>
          <w:szCs w:val="20"/>
        </w:rPr>
        <w:t>% of those who were injured in 2008 and 89</w:t>
      </w:r>
      <w:r>
        <w:rPr>
          <w:rFonts w:ascii="Calibri" w:hAnsi="Calibri"/>
          <w:sz w:val="20"/>
          <w:szCs w:val="20"/>
        </w:rPr>
        <w:t xml:space="preserve"> </w:t>
      </w:r>
      <w:r w:rsidRPr="00D61C8A">
        <w:rPr>
          <w:rFonts w:ascii="Calibri" w:hAnsi="Calibri"/>
          <w:sz w:val="20"/>
          <w:szCs w:val="20"/>
        </w:rPr>
        <w:t>% of those injured in 2009 had received no form of MRE</w:t>
      </w:r>
      <w:r>
        <w:rPr>
          <w:rFonts w:ascii="Calibri" w:hAnsi="Calibri"/>
          <w:sz w:val="20"/>
          <w:szCs w:val="20"/>
        </w:rPr>
        <w:t>.</w:t>
      </w:r>
      <w:r w:rsidRPr="00D61C8A">
        <w:rPr>
          <w:rStyle w:val="EndnoteReference"/>
          <w:rFonts w:ascii="Calibri" w:hAnsi="Calibri"/>
          <w:sz w:val="20"/>
          <w:szCs w:val="20"/>
        </w:rPr>
        <w:endnoteReference w:id="85"/>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A summary of statistics collected via INSEC’s VAE injury surveillance system from 2006 through 2009 is available in Appendix A.1. </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br w:type="page"/>
      </w:r>
      <w:r>
        <w:rPr>
          <w:rFonts w:ascii="Calibri" w:hAnsi="Calibri"/>
          <w:sz w:val="20"/>
          <w:szCs w:val="20"/>
        </w:rPr>
        <w:lastRenderedPageBreak/>
        <w:t>III.D.4</w:t>
      </w:r>
      <w:r>
        <w:rPr>
          <w:rFonts w:ascii="Calibri" w:hAnsi="Calibri"/>
          <w:sz w:val="20"/>
          <w:szCs w:val="20"/>
        </w:rPr>
        <w:tab/>
      </w:r>
      <w:r>
        <w:rPr>
          <w:rFonts w:ascii="Calibri" w:hAnsi="Calibri"/>
          <w:sz w:val="20"/>
          <w:szCs w:val="20"/>
        </w:rPr>
        <w:tab/>
      </w:r>
      <w:r w:rsidRPr="00D61C8A">
        <w:rPr>
          <w:rFonts w:ascii="Calibri" w:hAnsi="Calibri"/>
          <w:sz w:val="20"/>
          <w:szCs w:val="20"/>
        </w:rPr>
        <w:t xml:space="preserve">Direct and indirect effects of </w:t>
      </w:r>
      <w:r>
        <w:rPr>
          <w:rFonts w:ascii="Calibri" w:hAnsi="Calibri"/>
          <w:sz w:val="20"/>
          <w:szCs w:val="20"/>
        </w:rPr>
        <w:t>ED</w:t>
      </w:r>
      <w:r w:rsidRPr="00D61C8A">
        <w:rPr>
          <w:rFonts w:ascii="Calibri" w:hAnsi="Calibri"/>
          <w:sz w:val="20"/>
          <w:szCs w:val="20"/>
        </w:rPr>
        <w:t xml:space="preserve"> injur</w:t>
      </w:r>
      <w:r>
        <w:rPr>
          <w:rFonts w:ascii="Calibri" w:hAnsi="Calibri"/>
          <w:sz w:val="20"/>
          <w:szCs w:val="20"/>
        </w:rPr>
        <w:t>ies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As in other conflict and post-conflict settings, ED contamination and injuries have profoundly affected individuals, families and communities throughout Nepal.  ED explosions may kill </w:t>
      </w:r>
      <w:r>
        <w:rPr>
          <w:rFonts w:ascii="Calibri" w:hAnsi="Calibri"/>
          <w:sz w:val="20"/>
          <w:szCs w:val="20"/>
        </w:rPr>
        <w:t>injured individual</w:t>
      </w:r>
      <w:r w:rsidRPr="00D61C8A">
        <w:rPr>
          <w:rFonts w:ascii="Calibri" w:hAnsi="Calibri"/>
          <w:sz w:val="20"/>
          <w:szCs w:val="20"/>
        </w:rPr>
        <w:t xml:space="preserve">s or result in long-term debilitating and disfiguring injuries.  Immediate care and long-term rehabilitation are resource-intensive; ED injuries strain health systems and community resources, especially in areas where medical systems are already struggling to operate.  Injured individuals, incident witnesses and family members of </w:t>
      </w:r>
      <w:r>
        <w:rPr>
          <w:rFonts w:ascii="Calibri" w:hAnsi="Calibri"/>
          <w:sz w:val="20"/>
          <w:szCs w:val="20"/>
        </w:rPr>
        <w:t>injured individuals</w:t>
      </w:r>
      <w:r w:rsidRPr="00D61C8A">
        <w:rPr>
          <w:rFonts w:ascii="Calibri" w:hAnsi="Calibri"/>
          <w:sz w:val="20"/>
          <w:szCs w:val="20"/>
        </w:rPr>
        <w:t xml:space="preserve"> often suffer from psychological consequences.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To understand the effects of ED contamination and injury, economic and social factors must also be considered.  In Nepal, ED contamination has disrupted transportation infrastructure</w:t>
      </w:r>
      <w:r w:rsidRPr="00D61C8A">
        <w:rPr>
          <w:rStyle w:val="EndnoteReference"/>
          <w:rFonts w:ascii="Calibri" w:hAnsi="Calibri"/>
          <w:sz w:val="20"/>
          <w:szCs w:val="20"/>
        </w:rPr>
        <w:endnoteReference w:id="86"/>
      </w:r>
      <w:r w:rsidRPr="00D61C8A">
        <w:rPr>
          <w:rFonts w:ascii="Calibri" w:hAnsi="Calibri"/>
          <w:sz w:val="20"/>
          <w:szCs w:val="20"/>
        </w:rPr>
        <w:t xml:space="preserve"> and damaged industry, trade and agriculture.</w:t>
      </w:r>
      <w:r w:rsidRPr="00D61C8A">
        <w:rPr>
          <w:rStyle w:val="EndnoteReference"/>
          <w:rFonts w:ascii="Calibri" w:hAnsi="Calibri"/>
          <w:sz w:val="20"/>
          <w:szCs w:val="20"/>
        </w:rPr>
        <w:endnoteReference w:id="87"/>
      </w:r>
      <w:r w:rsidRPr="00D61C8A">
        <w:rPr>
          <w:rFonts w:ascii="Calibri" w:hAnsi="Calibri"/>
          <w:sz w:val="20"/>
          <w:szCs w:val="20"/>
        </w:rPr>
        <w:t xml:space="preserve">  Farmers have lost livestock to ED injuries</w:t>
      </w:r>
      <w:r w:rsidRPr="00D61C8A">
        <w:rPr>
          <w:rStyle w:val="EndnoteReference"/>
          <w:rFonts w:ascii="Calibri" w:hAnsi="Calibri"/>
          <w:sz w:val="20"/>
          <w:szCs w:val="20"/>
        </w:rPr>
        <w:endnoteReference w:id="88"/>
      </w:r>
      <w:r w:rsidRPr="00D61C8A">
        <w:rPr>
          <w:rFonts w:ascii="Calibri" w:hAnsi="Calibri"/>
          <w:sz w:val="20"/>
          <w:szCs w:val="20"/>
        </w:rPr>
        <w:t xml:space="preserve"> and farmland to fencing and mining for military purposes.</w:t>
      </w:r>
      <w:r w:rsidRPr="00D61C8A">
        <w:rPr>
          <w:rStyle w:val="EndnoteReference"/>
          <w:rFonts w:ascii="Calibri" w:hAnsi="Calibri"/>
          <w:sz w:val="20"/>
          <w:szCs w:val="20"/>
        </w:rPr>
        <w:endnoteReference w:id="89"/>
      </w:r>
      <w:r w:rsidRPr="00D61C8A">
        <w:rPr>
          <w:rFonts w:ascii="Calibri" w:hAnsi="Calibri"/>
          <w:sz w:val="20"/>
          <w:szCs w:val="20"/>
        </w:rPr>
        <w:t xml:space="preserve">  Some people have been forced to abandon areas where they previously collected firewood, grass and leaves.</w:t>
      </w:r>
      <w:r w:rsidRPr="00D61C8A">
        <w:rPr>
          <w:rStyle w:val="EndnoteReference"/>
          <w:rFonts w:ascii="Calibri" w:hAnsi="Calibri"/>
          <w:sz w:val="20"/>
          <w:szCs w:val="20"/>
        </w:rPr>
        <w:endnoteReference w:id="90"/>
      </w:r>
      <w:r w:rsidRPr="00D61C8A">
        <w:rPr>
          <w:rFonts w:ascii="Calibri" w:hAnsi="Calibri"/>
          <w:sz w:val="20"/>
          <w:szCs w:val="20"/>
        </w:rPr>
        <w:t xml:space="preserve">  In 2009, Landmine Monitor predicted that additional clearance could facilitate </w:t>
      </w:r>
      <w:r>
        <w:rPr>
          <w:rFonts w:ascii="Calibri" w:hAnsi="Calibri"/>
          <w:sz w:val="20"/>
          <w:szCs w:val="20"/>
        </w:rPr>
        <w:t>electricity</w:t>
      </w:r>
      <w:r w:rsidRPr="00D61C8A">
        <w:rPr>
          <w:rFonts w:ascii="Calibri" w:hAnsi="Calibri"/>
          <w:sz w:val="20"/>
          <w:szCs w:val="20"/>
        </w:rPr>
        <w:t xml:space="preserve"> delivery to communities, permit </w:t>
      </w:r>
      <w:r>
        <w:rPr>
          <w:rFonts w:ascii="Calibri" w:hAnsi="Calibri"/>
          <w:sz w:val="20"/>
          <w:szCs w:val="20"/>
        </w:rPr>
        <w:t xml:space="preserve">additional construction of </w:t>
      </w:r>
      <w:r w:rsidRPr="00D61C8A">
        <w:rPr>
          <w:rFonts w:ascii="Calibri" w:hAnsi="Calibri"/>
          <w:sz w:val="20"/>
          <w:szCs w:val="20"/>
        </w:rPr>
        <w:t>cell phone infrastructure and increase the amount of available farmland.</w:t>
      </w:r>
      <w:r w:rsidRPr="00D61C8A">
        <w:rPr>
          <w:rStyle w:val="EndnoteReference"/>
          <w:rFonts w:ascii="Calibri" w:hAnsi="Calibri"/>
          <w:sz w:val="20"/>
          <w:szCs w:val="20"/>
        </w:rPr>
        <w:endnoteReference w:id="91"/>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According to Landmine Monitor, ED contamination has contributed to the increase in the number of </w:t>
      </w:r>
      <w:r>
        <w:rPr>
          <w:rFonts w:ascii="Calibri" w:hAnsi="Calibri"/>
          <w:sz w:val="20"/>
          <w:szCs w:val="20"/>
        </w:rPr>
        <w:t xml:space="preserve">internally displaced persons </w:t>
      </w:r>
      <w:r w:rsidRPr="00D61C8A">
        <w:rPr>
          <w:rFonts w:ascii="Calibri" w:hAnsi="Calibri"/>
          <w:sz w:val="20"/>
          <w:szCs w:val="20"/>
        </w:rPr>
        <w:t>within Nepal and the number of refugees leaving Nepal.</w:t>
      </w:r>
      <w:r w:rsidRPr="00D61C8A">
        <w:rPr>
          <w:rStyle w:val="EndnoteReference"/>
          <w:rFonts w:ascii="Calibri" w:hAnsi="Calibri"/>
          <w:sz w:val="20"/>
          <w:szCs w:val="20"/>
        </w:rPr>
        <w:endnoteReference w:id="92"/>
      </w:r>
    </w:p>
    <w:p w:rsidR="00B454FB" w:rsidRDefault="00B454FB" w:rsidP="00B454FB">
      <w:pPr>
        <w:pStyle w:val="Heading2"/>
        <w:numPr>
          <w:ilvl w:val="0"/>
          <w:numId w:val="0"/>
        </w:numPr>
        <w:spacing w:before="0"/>
        <w:rPr>
          <w:rFonts w:ascii="Calibri" w:hAnsi="Calibri"/>
          <w:b w:val="0"/>
          <w:bCs w:val="0"/>
          <w:color w:val="auto"/>
          <w:sz w:val="20"/>
          <w:szCs w:val="20"/>
        </w:rPr>
      </w:pPr>
    </w:p>
    <w:p w:rsidR="00B454FB" w:rsidRPr="00D61C8A" w:rsidRDefault="00B454FB" w:rsidP="00B454FB">
      <w:pPr>
        <w:pStyle w:val="Heading2"/>
        <w:numPr>
          <w:ilvl w:val="0"/>
          <w:numId w:val="0"/>
        </w:numPr>
        <w:spacing w:before="0"/>
        <w:rPr>
          <w:rFonts w:ascii="Calibri" w:hAnsi="Calibri"/>
        </w:rPr>
      </w:pPr>
      <w:r>
        <w:rPr>
          <w:rFonts w:ascii="Calibri" w:hAnsi="Calibri"/>
        </w:rPr>
        <w:t>III.E</w:t>
      </w:r>
      <w:r>
        <w:rPr>
          <w:rFonts w:ascii="Calibri" w:hAnsi="Calibri"/>
        </w:rPr>
        <w:tab/>
      </w:r>
      <w:r>
        <w:rPr>
          <w:rFonts w:ascii="Calibri" w:hAnsi="Calibri"/>
        </w:rPr>
        <w:tab/>
      </w:r>
      <w:r w:rsidRPr="00D61C8A">
        <w:rPr>
          <w:rFonts w:ascii="Calibri" w:hAnsi="Calibri"/>
        </w:rPr>
        <w:t>Evaluation of UNICEF M</w:t>
      </w:r>
      <w:r>
        <w:rPr>
          <w:rFonts w:ascii="Calibri" w:hAnsi="Calibri"/>
        </w:rPr>
        <w:t>A</w:t>
      </w:r>
      <w:r w:rsidRPr="00D61C8A">
        <w:rPr>
          <w:rFonts w:ascii="Calibri" w:hAnsi="Calibri"/>
        </w:rPr>
        <w:t xml:space="preserve"> activities</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III.E.1</w:t>
      </w:r>
      <w:r>
        <w:rPr>
          <w:rFonts w:ascii="Calibri" w:hAnsi="Calibri"/>
          <w:sz w:val="20"/>
          <w:szCs w:val="20"/>
        </w:rPr>
        <w:tab/>
      </w:r>
      <w:r>
        <w:rPr>
          <w:rFonts w:ascii="Calibri" w:hAnsi="Calibri"/>
          <w:sz w:val="20"/>
          <w:szCs w:val="20"/>
        </w:rPr>
        <w:tab/>
      </w:r>
      <w:r w:rsidRPr="00D61C8A">
        <w:rPr>
          <w:rFonts w:ascii="Calibri" w:hAnsi="Calibri"/>
          <w:sz w:val="20"/>
          <w:szCs w:val="20"/>
        </w:rPr>
        <w:t>Proposal for evaluation</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In November 2009</w:t>
      </w:r>
      <w:r w:rsidR="00BE312A">
        <w:rPr>
          <w:rFonts w:ascii="Calibri" w:hAnsi="Calibri"/>
          <w:sz w:val="20"/>
          <w:szCs w:val="20"/>
        </w:rPr>
        <w:t>,</w:t>
      </w:r>
      <w:r w:rsidRPr="00D61C8A">
        <w:rPr>
          <w:rFonts w:ascii="Calibri" w:hAnsi="Calibri"/>
          <w:sz w:val="20"/>
          <w:szCs w:val="20"/>
        </w:rPr>
        <w:t xml:space="preserve"> UNICEF Nepal initiated an external evaluation in order to learn how to improve its MA activities and to fulfill obligations outlined in the UNICEF 2009 Annual Work Plan and the Humanitarian Aid department of the European Commission (ECHO) proposal entitled “Support for Mine Action in Nepal”.</w:t>
      </w:r>
      <w:r w:rsidRPr="00D61C8A">
        <w:rPr>
          <w:rStyle w:val="EndnoteReference"/>
          <w:rFonts w:ascii="Calibri" w:hAnsi="Calibri"/>
          <w:sz w:val="20"/>
          <w:szCs w:val="20"/>
        </w:rPr>
        <w:endnoteReference w:id="93"/>
      </w:r>
      <w:r w:rsidRPr="00D61C8A">
        <w:rPr>
          <w:rFonts w:ascii="Calibri" w:hAnsi="Calibri"/>
          <w:sz w:val="20"/>
          <w:szCs w:val="20"/>
        </w:rPr>
        <w:t xml:space="preserve">  The evaluation has focused on two specific MA activities, </w:t>
      </w:r>
      <w:r>
        <w:rPr>
          <w:rFonts w:ascii="Calibri" w:hAnsi="Calibri"/>
          <w:sz w:val="20"/>
          <w:szCs w:val="20"/>
        </w:rPr>
        <w:t xml:space="preserve">VAE injury </w:t>
      </w:r>
      <w:r w:rsidRPr="00D61C8A">
        <w:rPr>
          <w:rFonts w:ascii="Calibri" w:hAnsi="Calibri"/>
          <w:sz w:val="20"/>
          <w:szCs w:val="20"/>
        </w:rPr>
        <w:t xml:space="preserve">surveillance and </w:t>
      </w:r>
      <w:r>
        <w:rPr>
          <w:rFonts w:ascii="Calibri" w:hAnsi="Calibri"/>
          <w:sz w:val="20"/>
          <w:szCs w:val="20"/>
        </w:rPr>
        <w:t>MRE</w:t>
      </w:r>
      <w:r w:rsidRPr="00D61C8A">
        <w:rPr>
          <w:rFonts w:ascii="Calibri" w:hAnsi="Calibri"/>
          <w:sz w:val="20"/>
          <w:szCs w:val="20"/>
        </w:rPr>
        <w:t>, because they utilize more than 80</w:t>
      </w:r>
      <w:r>
        <w:rPr>
          <w:rFonts w:ascii="Calibri" w:hAnsi="Calibri"/>
          <w:sz w:val="20"/>
          <w:szCs w:val="20"/>
        </w:rPr>
        <w:t xml:space="preserve"> </w:t>
      </w:r>
      <w:r w:rsidRPr="00D61C8A">
        <w:rPr>
          <w:rFonts w:ascii="Calibri" w:hAnsi="Calibri"/>
          <w:sz w:val="20"/>
          <w:szCs w:val="20"/>
        </w:rPr>
        <w:t>% of UNICEF MA funding.</w:t>
      </w:r>
      <w:r w:rsidRPr="00D61C8A">
        <w:rPr>
          <w:rStyle w:val="EndnoteReference"/>
          <w:rFonts w:ascii="Calibri" w:hAnsi="Calibri"/>
          <w:sz w:val="20"/>
          <w:szCs w:val="20"/>
        </w:rPr>
        <w:endnoteReference w:id="94"/>
      </w:r>
      <w:r w:rsidRPr="00D61C8A">
        <w:rPr>
          <w:rFonts w:ascii="Calibri" w:hAnsi="Calibri"/>
          <w:sz w:val="20"/>
          <w:szCs w:val="20"/>
        </w:rPr>
        <w:t xml:space="preserve">  </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III.E.2</w:t>
      </w:r>
      <w:r>
        <w:rPr>
          <w:rFonts w:ascii="Calibri" w:hAnsi="Calibri"/>
          <w:sz w:val="20"/>
          <w:szCs w:val="20"/>
        </w:rPr>
        <w:tab/>
      </w:r>
      <w:r>
        <w:rPr>
          <w:rFonts w:ascii="Calibri" w:hAnsi="Calibri"/>
          <w:sz w:val="20"/>
          <w:szCs w:val="20"/>
        </w:rPr>
        <w:tab/>
      </w:r>
      <w:r w:rsidRPr="00D61C8A">
        <w:rPr>
          <w:rFonts w:ascii="Calibri" w:hAnsi="Calibri"/>
          <w:sz w:val="20"/>
          <w:szCs w:val="20"/>
        </w:rPr>
        <w:t>Goal and objective of evaluation</w:t>
      </w:r>
    </w:p>
    <w:p w:rsidR="00B454FB" w:rsidRPr="00D61C8A" w:rsidRDefault="00B454FB" w:rsidP="00B454FB">
      <w:pPr>
        <w:rPr>
          <w:rFonts w:ascii="Calibri" w:hAnsi="Calibri"/>
        </w:rPr>
      </w:pPr>
    </w:p>
    <w:p w:rsidR="00B454FB" w:rsidRPr="00D61C8A" w:rsidRDefault="00B454FB" w:rsidP="00B454FB">
      <w:pPr>
        <w:rPr>
          <w:rFonts w:ascii="Calibri" w:eastAsia="Cambria" w:hAnsi="Calibri"/>
          <w:sz w:val="20"/>
          <w:szCs w:val="20"/>
        </w:rPr>
      </w:pPr>
      <w:r w:rsidRPr="00D61C8A">
        <w:rPr>
          <w:rFonts w:ascii="Calibri" w:hAnsi="Calibri"/>
          <w:sz w:val="20"/>
          <w:szCs w:val="20"/>
        </w:rPr>
        <w:t>The goal of the evaluation, according</w:t>
      </w:r>
      <w:r>
        <w:rPr>
          <w:rFonts w:ascii="Calibri" w:hAnsi="Calibri"/>
          <w:sz w:val="20"/>
          <w:szCs w:val="20"/>
        </w:rPr>
        <w:t xml:space="preserve"> to the Terms of Reference (TOR)</w:t>
      </w:r>
      <w:r w:rsidRPr="00D61C8A">
        <w:rPr>
          <w:rFonts w:ascii="Calibri" w:hAnsi="Calibri"/>
          <w:sz w:val="20"/>
          <w:szCs w:val="20"/>
        </w:rPr>
        <w:t>, was “to contribute to the review, planning and improvement of the prevention strategies which have been implemented thus far in Nepal for the purposes of minimizing the number of victim-activated explosions.”</w:t>
      </w:r>
      <w:r w:rsidRPr="00D61C8A">
        <w:rPr>
          <w:rStyle w:val="EndnoteReference"/>
          <w:rFonts w:ascii="Calibri" w:hAnsi="Calibri"/>
          <w:sz w:val="20"/>
          <w:szCs w:val="20"/>
        </w:rPr>
        <w:endnoteReference w:id="95"/>
      </w:r>
      <w:r w:rsidRPr="00D61C8A">
        <w:rPr>
          <w:rFonts w:ascii="Calibri" w:hAnsi="Calibri"/>
          <w:sz w:val="20"/>
          <w:szCs w:val="20"/>
        </w:rPr>
        <w:t xml:space="preserve">  The objective </w:t>
      </w:r>
      <w:r>
        <w:rPr>
          <w:rFonts w:ascii="Calibri" w:hAnsi="Calibri"/>
          <w:sz w:val="20"/>
          <w:szCs w:val="20"/>
        </w:rPr>
        <w:t>wa</w:t>
      </w:r>
      <w:r w:rsidRPr="00D61C8A">
        <w:rPr>
          <w:rFonts w:ascii="Calibri" w:hAnsi="Calibri"/>
          <w:sz w:val="20"/>
          <w:szCs w:val="20"/>
        </w:rPr>
        <w:t>s “to assess the relevance, effectiveness, efficiency, impact and sustainability of the support p</w:t>
      </w:r>
      <w:r>
        <w:rPr>
          <w:rFonts w:ascii="Calibri" w:hAnsi="Calibri"/>
          <w:sz w:val="20"/>
          <w:szCs w:val="20"/>
        </w:rPr>
        <w:t xml:space="preserve">rovided by UNICEF in addressing… </w:t>
      </w:r>
      <w:r w:rsidRPr="00D61C8A">
        <w:rPr>
          <w:rFonts w:ascii="Calibri" w:hAnsi="Calibri"/>
          <w:sz w:val="20"/>
          <w:szCs w:val="20"/>
        </w:rPr>
        <w:t>Mine Risk Education (MRE)</w:t>
      </w:r>
      <w:r w:rsidRPr="00D61C8A" w:rsidDel="003F7730">
        <w:rPr>
          <w:rFonts w:ascii="Calibri" w:hAnsi="Calibri"/>
          <w:sz w:val="20"/>
          <w:szCs w:val="20"/>
        </w:rPr>
        <w:t xml:space="preserve"> </w:t>
      </w:r>
      <w:r w:rsidRPr="00D61C8A">
        <w:rPr>
          <w:rFonts w:ascii="Calibri" w:hAnsi="Calibri"/>
          <w:sz w:val="20"/>
          <w:szCs w:val="20"/>
        </w:rPr>
        <w:t>and surveillance.”</w:t>
      </w:r>
      <w:r w:rsidRPr="00D61C8A">
        <w:rPr>
          <w:rStyle w:val="EndnoteReference"/>
          <w:rFonts w:ascii="Calibri" w:hAnsi="Calibri"/>
          <w:sz w:val="20"/>
          <w:szCs w:val="20"/>
        </w:rPr>
        <w:endnoteReference w:id="96"/>
      </w:r>
    </w:p>
    <w:p w:rsidR="00B454FB" w:rsidRPr="00D61C8A" w:rsidRDefault="00B454FB" w:rsidP="00B454FB">
      <w:pPr>
        <w:rPr>
          <w:rFonts w:ascii="Calibri" w:eastAsia="Cambria" w:hAnsi="Calibri"/>
        </w:rPr>
      </w:pPr>
    </w:p>
    <w:p w:rsidR="00B454FB" w:rsidRPr="00D61C8A" w:rsidRDefault="00B454FB" w:rsidP="00B454FB">
      <w:pPr>
        <w:pStyle w:val="Heading1"/>
        <w:numPr>
          <w:ilvl w:val="0"/>
          <w:numId w:val="0"/>
        </w:numPr>
        <w:spacing w:before="0"/>
        <w:rPr>
          <w:rFonts w:ascii="Calibri" w:hAnsi="Calibri"/>
        </w:rPr>
      </w:pPr>
      <w:r>
        <w:rPr>
          <w:rFonts w:ascii="Calibri" w:hAnsi="Calibri"/>
        </w:rPr>
        <w:t>IV</w:t>
      </w:r>
      <w:r>
        <w:rPr>
          <w:rFonts w:ascii="Calibri" w:hAnsi="Calibri"/>
        </w:rPr>
        <w:tab/>
      </w:r>
      <w:r>
        <w:rPr>
          <w:rFonts w:ascii="Calibri" w:hAnsi="Calibri"/>
        </w:rPr>
        <w:tab/>
      </w:r>
      <w:r w:rsidRPr="00D61C8A">
        <w:rPr>
          <w:rFonts w:ascii="Calibri" w:hAnsi="Calibri"/>
        </w:rPr>
        <w:t>METHODS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The evaluation was conducted by members of the International Emergency a</w:t>
      </w:r>
      <w:r>
        <w:rPr>
          <w:rFonts w:ascii="Calibri" w:hAnsi="Calibri"/>
          <w:sz w:val="20"/>
          <w:szCs w:val="20"/>
        </w:rPr>
        <w:t xml:space="preserve">nd Refugee Health Branch </w:t>
      </w:r>
      <w:r w:rsidRPr="00D61C8A">
        <w:rPr>
          <w:rFonts w:ascii="Calibri" w:hAnsi="Calibri"/>
          <w:sz w:val="20"/>
          <w:szCs w:val="20"/>
        </w:rPr>
        <w:t xml:space="preserve">at the United States Centers for Disease Control and Prevention (CDC) in Atlanta, Georgia.  It was carried out in consultation with MA experts at UNICEF Headquarters in New York </w:t>
      </w:r>
      <w:r>
        <w:rPr>
          <w:rFonts w:ascii="Calibri" w:hAnsi="Calibri"/>
          <w:sz w:val="20"/>
          <w:szCs w:val="20"/>
        </w:rPr>
        <w:t xml:space="preserve">City </w:t>
      </w:r>
      <w:r w:rsidRPr="00D61C8A">
        <w:rPr>
          <w:rFonts w:ascii="Calibri" w:hAnsi="Calibri"/>
          <w:sz w:val="20"/>
          <w:szCs w:val="20"/>
        </w:rPr>
        <w:t>and the United Nations Development Programme (UNDP), with technical and logistical support from the Child Protection Section at UNICEF Nepal.</w:t>
      </w:r>
    </w:p>
    <w:p w:rsidR="00B454FB" w:rsidRDefault="00B454FB" w:rsidP="00B454FB">
      <w:pPr>
        <w:pStyle w:val="Heading2"/>
        <w:numPr>
          <w:ilvl w:val="0"/>
          <w:numId w:val="0"/>
        </w:numPr>
        <w:spacing w:before="0"/>
        <w:rPr>
          <w:rFonts w:ascii="Calibri" w:hAnsi="Calibri"/>
          <w:b w:val="0"/>
          <w:bCs w:val="0"/>
          <w:color w:val="auto"/>
          <w:sz w:val="24"/>
          <w:szCs w:val="24"/>
        </w:rPr>
      </w:pPr>
    </w:p>
    <w:p w:rsidR="00B454FB" w:rsidRPr="00D61C8A" w:rsidRDefault="00B454FB" w:rsidP="00B454FB">
      <w:pPr>
        <w:pStyle w:val="Heading2"/>
        <w:numPr>
          <w:ilvl w:val="0"/>
          <w:numId w:val="0"/>
        </w:numPr>
        <w:spacing w:before="0"/>
        <w:rPr>
          <w:rFonts w:ascii="Calibri" w:hAnsi="Calibri"/>
        </w:rPr>
      </w:pPr>
      <w:r>
        <w:rPr>
          <w:rFonts w:ascii="Calibri" w:hAnsi="Calibri"/>
        </w:rPr>
        <w:t>IV.A</w:t>
      </w:r>
      <w:r>
        <w:rPr>
          <w:rFonts w:ascii="Calibri" w:hAnsi="Calibri"/>
        </w:rPr>
        <w:tab/>
      </w:r>
      <w:r>
        <w:rPr>
          <w:rFonts w:ascii="Calibri" w:hAnsi="Calibri"/>
        </w:rPr>
        <w:tab/>
      </w:r>
      <w:r w:rsidRPr="00D61C8A">
        <w:rPr>
          <w:rFonts w:ascii="Calibri" w:hAnsi="Calibri"/>
        </w:rPr>
        <w:t>General evaluation methods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This section explains methods used to evaluate both surveillance and MRE.  Methods specific to the evaluation of each of these two t</w:t>
      </w:r>
      <w:r>
        <w:rPr>
          <w:rFonts w:ascii="Calibri" w:hAnsi="Calibri"/>
          <w:sz w:val="20"/>
          <w:szCs w:val="20"/>
        </w:rPr>
        <w:t xml:space="preserve">opics are discussed in Section </w:t>
      </w:r>
      <w:r w:rsidRPr="00D61C8A">
        <w:rPr>
          <w:rFonts w:ascii="Calibri" w:hAnsi="Calibri"/>
          <w:sz w:val="20"/>
          <w:szCs w:val="20"/>
        </w:rPr>
        <w:t>I</w:t>
      </w:r>
      <w:r>
        <w:rPr>
          <w:rFonts w:ascii="Calibri" w:hAnsi="Calibri"/>
          <w:sz w:val="20"/>
          <w:szCs w:val="20"/>
        </w:rPr>
        <w:t>V</w:t>
      </w:r>
      <w:r w:rsidRPr="00D61C8A">
        <w:rPr>
          <w:rFonts w:ascii="Calibri" w:hAnsi="Calibri"/>
          <w:sz w:val="20"/>
          <w:szCs w:val="20"/>
        </w:rPr>
        <w:t>.B.</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IV.A.1</w:t>
      </w:r>
      <w:r>
        <w:rPr>
          <w:rFonts w:ascii="Calibri" w:hAnsi="Calibri"/>
          <w:sz w:val="20"/>
          <w:szCs w:val="20"/>
        </w:rPr>
        <w:tab/>
      </w:r>
      <w:r>
        <w:rPr>
          <w:rFonts w:ascii="Calibri" w:hAnsi="Calibri"/>
          <w:sz w:val="20"/>
          <w:szCs w:val="20"/>
        </w:rPr>
        <w:tab/>
      </w:r>
      <w:r w:rsidRPr="00D61C8A">
        <w:rPr>
          <w:rFonts w:ascii="Calibri" w:hAnsi="Calibri"/>
          <w:sz w:val="20"/>
          <w:szCs w:val="20"/>
        </w:rPr>
        <w:t>Prior to field visit</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Prior to the field visit, the evaluation team </w:t>
      </w:r>
      <w:r>
        <w:rPr>
          <w:rFonts w:ascii="Calibri" w:hAnsi="Calibri"/>
          <w:sz w:val="20"/>
          <w:szCs w:val="20"/>
        </w:rPr>
        <w:t>completed</w:t>
      </w:r>
      <w:r w:rsidRPr="00D61C8A">
        <w:rPr>
          <w:rFonts w:ascii="Calibri" w:hAnsi="Calibri"/>
          <w:sz w:val="20"/>
          <w:szCs w:val="20"/>
        </w:rPr>
        <w:t xml:space="preserve"> the following </w:t>
      </w:r>
      <w:r>
        <w:rPr>
          <w:rFonts w:ascii="Calibri" w:hAnsi="Calibri"/>
          <w:sz w:val="20"/>
          <w:szCs w:val="20"/>
        </w:rPr>
        <w:t>tasks</w:t>
      </w:r>
      <w:r w:rsidRPr="00D61C8A">
        <w:rPr>
          <w:rFonts w:ascii="Calibri" w:hAnsi="Calibri"/>
          <w:sz w:val="20"/>
          <w:szCs w:val="20"/>
        </w:rPr>
        <w:t>:</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sz w:val="20"/>
          <w:szCs w:val="20"/>
        </w:rPr>
        <w:t xml:space="preserve">Conducted a review of literature related to </w:t>
      </w:r>
      <w:r>
        <w:rPr>
          <w:rFonts w:ascii="Calibri" w:hAnsi="Calibri"/>
          <w:sz w:val="20"/>
          <w:szCs w:val="20"/>
        </w:rPr>
        <w:t xml:space="preserve">evaluation of injury surveillance systems and MA activities and </w:t>
      </w:r>
      <w:r w:rsidRPr="00D61C8A">
        <w:rPr>
          <w:rFonts w:ascii="Calibri" w:hAnsi="Calibri"/>
          <w:sz w:val="20"/>
          <w:szCs w:val="20"/>
        </w:rPr>
        <w:t xml:space="preserve">the </w:t>
      </w:r>
      <w:r>
        <w:rPr>
          <w:rFonts w:ascii="Calibri" w:hAnsi="Calibri"/>
          <w:sz w:val="20"/>
          <w:szCs w:val="20"/>
        </w:rPr>
        <w:t>civil</w:t>
      </w:r>
      <w:r w:rsidRPr="00D61C8A">
        <w:rPr>
          <w:rFonts w:ascii="Calibri" w:hAnsi="Calibri"/>
          <w:sz w:val="20"/>
          <w:szCs w:val="20"/>
        </w:rPr>
        <w:t xml:space="preserve"> co</w:t>
      </w:r>
      <w:r>
        <w:rPr>
          <w:rFonts w:ascii="Calibri" w:hAnsi="Calibri"/>
          <w:sz w:val="20"/>
          <w:szCs w:val="20"/>
        </w:rPr>
        <w:t>nflict, ED and MA in Nepal</w:t>
      </w:r>
      <w:r w:rsidRPr="00D61C8A">
        <w:rPr>
          <w:rFonts w:ascii="Calibri" w:hAnsi="Calibri"/>
          <w:sz w:val="20"/>
          <w:szCs w:val="20"/>
        </w:rPr>
        <w:t>. This review included the following documents and data:</w:t>
      </w:r>
    </w:p>
    <w:p w:rsidR="00B454FB"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 xml:space="preserve">Landmine Monitor reports </w:t>
      </w:r>
      <w:r>
        <w:rPr>
          <w:rFonts w:ascii="Calibri" w:hAnsi="Calibri"/>
          <w:sz w:val="20"/>
          <w:szCs w:val="20"/>
        </w:rPr>
        <w:t xml:space="preserve">published between </w:t>
      </w:r>
      <w:r w:rsidRPr="00D61C8A">
        <w:rPr>
          <w:rFonts w:ascii="Calibri" w:hAnsi="Calibri"/>
          <w:sz w:val="20"/>
          <w:szCs w:val="20"/>
        </w:rPr>
        <w:t>1999</w:t>
      </w:r>
      <w:r>
        <w:rPr>
          <w:rFonts w:ascii="Calibri" w:hAnsi="Calibri"/>
          <w:sz w:val="20"/>
          <w:szCs w:val="20"/>
        </w:rPr>
        <w:t xml:space="preserve"> and </w:t>
      </w:r>
      <w:r w:rsidRPr="00D61C8A">
        <w:rPr>
          <w:rFonts w:ascii="Calibri" w:hAnsi="Calibri"/>
          <w:sz w:val="20"/>
          <w:szCs w:val="20"/>
        </w:rPr>
        <w:t>2008</w:t>
      </w:r>
    </w:p>
    <w:p w:rsidR="00B454FB" w:rsidRPr="005F0918" w:rsidRDefault="00B454FB" w:rsidP="00B454FB">
      <w:pPr>
        <w:pStyle w:val="ColorfulList-Accent11"/>
        <w:numPr>
          <w:ilvl w:val="1"/>
          <w:numId w:val="7"/>
        </w:numPr>
        <w:spacing w:line="276" w:lineRule="auto"/>
        <w:rPr>
          <w:rFonts w:ascii="Calibri" w:hAnsi="Calibri"/>
          <w:sz w:val="20"/>
          <w:szCs w:val="20"/>
        </w:rPr>
      </w:pPr>
      <w:r w:rsidRPr="005F0918">
        <w:rPr>
          <w:rFonts w:ascii="Calibri" w:hAnsi="Calibri"/>
          <w:sz w:val="20"/>
          <w:szCs w:val="20"/>
        </w:rPr>
        <w:lastRenderedPageBreak/>
        <w:t>INSEC injury reports (all monthly, quarterly and annual reports published since June 2006 and available on INSEC’s website)</w:t>
      </w:r>
    </w:p>
    <w:p w:rsidR="00B454FB" w:rsidRPr="00D61C8A" w:rsidRDefault="00B454FB" w:rsidP="00B454FB">
      <w:pPr>
        <w:pStyle w:val="ColorfulList-Accent11"/>
        <w:numPr>
          <w:ilvl w:val="1"/>
          <w:numId w:val="7"/>
        </w:numPr>
        <w:spacing w:line="276" w:lineRule="auto"/>
        <w:rPr>
          <w:rFonts w:ascii="Calibri" w:hAnsi="Calibri"/>
          <w:sz w:val="20"/>
          <w:szCs w:val="20"/>
        </w:rPr>
      </w:pPr>
      <w:r>
        <w:rPr>
          <w:rFonts w:ascii="Calibri" w:hAnsi="Calibri"/>
          <w:sz w:val="20"/>
          <w:szCs w:val="20"/>
        </w:rPr>
        <w:t>NCBL explosion injury data</w:t>
      </w:r>
    </w:p>
    <w:p w:rsidR="00B454FB" w:rsidRPr="00D61C8A"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 xml:space="preserve">Results of a household survey of knowledge, attitudes and practices (KAP) related to IED, landmines and other explosive remnants of war (ERW) conducted in 2007 in </w:t>
      </w:r>
      <w:r>
        <w:rPr>
          <w:rFonts w:ascii="Calibri" w:hAnsi="Calibri"/>
          <w:sz w:val="20"/>
          <w:szCs w:val="20"/>
        </w:rPr>
        <w:t>six highly affected districts in</w:t>
      </w:r>
      <w:r w:rsidRPr="00D61C8A">
        <w:rPr>
          <w:rFonts w:ascii="Calibri" w:hAnsi="Calibri"/>
          <w:sz w:val="20"/>
          <w:szCs w:val="20"/>
        </w:rPr>
        <w:t xml:space="preserve"> Nepal</w:t>
      </w:r>
    </w:p>
    <w:p w:rsidR="00B454FB" w:rsidRPr="00D61C8A"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 xml:space="preserve">CDC’s </w:t>
      </w:r>
      <w:r w:rsidRPr="005F0918">
        <w:rPr>
          <w:rFonts w:ascii="Calibri" w:hAnsi="Calibri"/>
          <w:sz w:val="20"/>
          <w:szCs w:val="20"/>
        </w:rPr>
        <w:t>Updated Guidelines for Evaluating Public Health Surveillance Systems</w:t>
      </w:r>
      <w:r w:rsidRPr="00D61C8A">
        <w:rPr>
          <w:rFonts w:ascii="Calibri" w:hAnsi="Calibri"/>
          <w:sz w:val="20"/>
          <w:szCs w:val="20"/>
        </w:rPr>
        <w:t>, published in 2001</w:t>
      </w:r>
    </w:p>
    <w:p w:rsidR="00B454FB" w:rsidRPr="00D61C8A"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International Mine Action Standards (IMAS) MRE Best Practice Guidebooks 1-12, published in 2005</w:t>
      </w:r>
    </w:p>
    <w:p w:rsidR="00B454FB" w:rsidRPr="00D61C8A"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Surveillance and MRE evaluation examples</w:t>
      </w:r>
    </w:p>
    <w:p w:rsidR="00B454FB" w:rsidRPr="00D61C8A" w:rsidRDefault="00B454FB" w:rsidP="00B454FB">
      <w:pPr>
        <w:pStyle w:val="ColorfulList-Accent11"/>
        <w:numPr>
          <w:ilvl w:val="1"/>
          <w:numId w:val="7"/>
        </w:numPr>
        <w:spacing w:line="276" w:lineRule="auto"/>
        <w:rPr>
          <w:rFonts w:ascii="Calibri" w:hAnsi="Calibri"/>
          <w:sz w:val="20"/>
          <w:szCs w:val="20"/>
        </w:rPr>
      </w:pPr>
      <w:r w:rsidRPr="00D61C8A">
        <w:rPr>
          <w:rFonts w:ascii="Calibri" w:hAnsi="Calibri"/>
          <w:sz w:val="20"/>
          <w:szCs w:val="20"/>
        </w:rPr>
        <w:t xml:space="preserve">Documents and websites </w:t>
      </w:r>
      <w:r>
        <w:rPr>
          <w:rFonts w:ascii="Calibri" w:hAnsi="Calibri"/>
          <w:sz w:val="20"/>
          <w:szCs w:val="20"/>
        </w:rPr>
        <w:t>related to</w:t>
      </w:r>
      <w:r w:rsidRPr="00D61C8A">
        <w:rPr>
          <w:rFonts w:ascii="Calibri" w:hAnsi="Calibri"/>
          <w:sz w:val="20"/>
          <w:szCs w:val="20"/>
        </w:rPr>
        <w:t xml:space="preserve"> MA stakeholders</w:t>
      </w:r>
      <w:r>
        <w:rPr>
          <w:rFonts w:ascii="Calibri" w:hAnsi="Calibri"/>
          <w:sz w:val="20"/>
          <w:szCs w:val="20"/>
        </w:rPr>
        <w:t xml:space="preserve"> and activities</w:t>
      </w:r>
      <w:r w:rsidRPr="00D61C8A">
        <w:rPr>
          <w:rFonts w:ascii="Calibri" w:hAnsi="Calibri"/>
          <w:sz w:val="20"/>
          <w:szCs w:val="20"/>
        </w:rPr>
        <w:t xml:space="preserve"> in Nepal</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sz w:val="20"/>
          <w:szCs w:val="20"/>
        </w:rPr>
        <w:t>Discussed the TOR with MA personnel at UNICEF Nepal</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sz w:val="20"/>
          <w:szCs w:val="20"/>
        </w:rPr>
        <w:t>Reviewed the United Nations Evaluation Group’s Norms</w:t>
      </w:r>
      <w:r w:rsidRPr="005F0918">
        <w:endnoteReference w:id="97"/>
      </w:r>
      <w:r w:rsidRPr="00D61C8A">
        <w:rPr>
          <w:rFonts w:ascii="Calibri" w:hAnsi="Calibri"/>
          <w:sz w:val="20"/>
          <w:szCs w:val="20"/>
        </w:rPr>
        <w:t xml:space="preserve"> and Standards</w:t>
      </w:r>
      <w:r w:rsidRPr="005F0918">
        <w:endnoteReference w:id="98"/>
      </w:r>
      <w:r w:rsidRPr="00D61C8A">
        <w:rPr>
          <w:rFonts w:ascii="Calibri" w:hAnsi="Calibri"/>
          <w:sz w:val="20"/>
          <w:szCs w:val="20"/>
        </w:rPr>
        <w:t xml:space="preserve"> for Evaluation in the UN System, which stipulate what evaluations should examine</w:t>
      </w:r>
      <w:r>
        <w:rPr>
          <w:rFonts w:ascii="Calibri" w:hAnsi="Calibri"/>
          <w:sz w:val="20"/>
          <w:szCs w:val="20"/>
        </w:rPr>
        <w:t>,</w:t>
      </w:r>
      <w:r w:rsidRPr="00D61C8A">
        <w:rPr>
          <w:rFonts w:ascii="Calibri" w:hAnsi="Calibri"/>
          <w:sz w:val="20"/>
          <w:szCs w:val="20"/>
        </w:rPr>
        <w:t xml:space="preserve"> how evaluations should be conducted</w:t>
      </w:r>
      <w:r>
        <w:rPr>
          <w:rFonts w:ascii="Calibri" w:hAnsi="Calibri"/>
          <w:sz w:val="20"/>
          <w:szCs w:val="20"/>
        </w:rPr>
        <w:t xml:space="preserve"> (</w:t>
      </w:r>
      <w:r w:rsidRPr="00D61C8A">
        <w:rPr>
          <w:rFonts w:ascii="Calibri" w:hAnsi="Calibri"/>
          <w:sz w:val="20"/>
          <w:szCs w:val="20"/>
        </w:rPr>
        <w:t>with special emphasis on results</w:t>
      </w:r>
      <w:r>
        <w:rPr>
          <w:rFonts w:ascii="Calibri" w:hAnsi="Calibri"/>
          <w:sz w:val="20"/>
          <w:szCs w:val="20"/>
        </w:rPr>
        <w:t>-</w:t>
      </w:r>
      <w:r w:rsidRPr="00D61C8A">
        <w:rPr>
          <w:rFonts w:ascii="Calibri" w:hAnsi="Calibri"/>
          <w:sz w:val="20"/>
          <w:szCs w:val="20"/>
        </w:rPr>
        <w:t>based management principles and the human rights approach</w:t>
      </w:r>
      <w:r>
        <w:rPr>
          <w:rFonts w:ascii="Calibri" w:hAnsi="Calibri"/>
          <w:sz w:val="20"/>
          <w:szCs w:val="20"/>
        </w:rPr>
        <w:t>)</w:t>
      </w:r>
      <w:r w:rsidRPr="00D61C8A">
        <w:rPr>
          <w:rFonts w:ascii="Calibri" w:hAnsi="Calibri"/>
          <w:sz w:val="20"/>
          <w:szCs w:val="20"/>
        </w:rPr>
        <w:t>; and how findings should be disseminated</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sz w:val="20"/>
          <w:szCs w:val="20"/>
        </w:rPr>
        <w:t xml:space="preserve">Consulted with MA specialists and medical epidemiologists at CDC, UNDP and UNICEF </w:t>
      </w:r>
      <w:r>
        <w:rPr>
          <w:rFonts w:ascii="Calibri" w:hAnsi="Calibri"/>
          <w:sz w:val="20"/>
          <w:szCs w:val="20"/>
        </w:rPr>
        <w:t>Headquarters</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IV.A.2</w:t>
      </w:r>
      <w:r>
        <w:rPr>
          <w:rFonts w:ascii="Calibri" w:hAnsi="Calibri"/>
          <w:sz w:val="20"/>
          <w:szCs w:val="20"/>
        </w:rPr>
        <w:tab/>
      </w:r>
      <w:r>
        <w:rPr>
          <w:rFonts w:ascii="Calibri" w:hAnsi="Calibri"/>
          <w:sz w:val="20"/>
          <w:szCs w:val="20"/>
        </w:rPr>
        <w:tab/>
      </w:r>
      <w:r w:rsidRPr="00D61C8A">
        <w:rPr>
          <w:rFonts w:ascii="Calibri" w:hAnsi="Calibri"/>
          <w:sz w:val="20"/>
          <w:szCs w:val="20"/>
        </w:rPr>
        <w:t>During field visit</w:t>
      </w:r>
    </w:p>
    <w:p w:rsidR="00B454FB" w:rsidRPr="00D61C8A" w:rsidRDefault="00B454FB" w:rsidP="00B454FB">
      <w:pPr>
        <w:rPr>
          <w:rFonts w:ascii="Calibri" w:hAnsi="Calibri"/>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 xml:space="preserve">Between 9 and 26 November 2009, the evaluation team conducted individual meetings with key informants </w:t>
      </w:r>
      <w:r>
        <w:rPr>
          <w:rFonts w:ascii="Calibri" w:hAnsi="Calibri"/>
          <w:sz w:val="20"/>
          <w:szCs w:val="20"/>
        </w:rPr>
        <w:t>associated with</w:t>
      </w:r>
      <w:r w:rsidRPr="00D61C8A">
        <w:rPr>
          <w:rFonts w:ascii="Calibri" w:hAnsi="Calibri"/>
          <w:sz w:val="20"/>
          <w:szCs w:val="20"/>
        </w:rPr>
        <w:t xml:space="preserve"> organizations conduct</w:t>
      </w:r>
      <w:r>
        <w:rPr>
          <w:rFonts w:ascii="Calibri" w:hAnsi="Calibri"/>
          <w:sz w:val="20"/>
          <w:szCs w:val="20"/>
        </w:rPr>
        <w:t>ing</w:t>
      </w:r>
      <w:r w:rsidRPr="00D61C8A">
        <w:rPr>
          <w:rFonts w:ascii="Calibri" w:hAnsi="Calibri"/>
          <w:sz w:val="20"/>
          <w:szCs w:val="20"/>
        </w:rPr>
        <w:t xml:space="preserve"> MA activities in Nepal.</w:t>
      </w:r>
      <w:r>
        <w:rPr>
          <w:rFonts w:ascii="Calibri" w:hAnsi="Calibri"/>
          <w:sz w:val="20"/>
          <w:szCs w:val="20"/>
        </w:rPr>
        <w:t xml:space="preserve">  </w:t>
      </w:r>
      <w:r w:rsidRPr="00D61C8A">
        <w:rPr>
          <w:rFonts w:ascii="Calibri" w:hAnsi="Calibri"/>
          <w:sz w:val="20"/>
          <w:szCs w:val="20"/>
        </w:rPr>
        <w:t>Meetings were conducted with representatives of the following organizations in Kathmandu (</w:t>
      </w:r>
      <w:r w:rsidRPr="00D61C8A">
        <w:rPr>
          <w:rFonts w:ascii="Calibri" w:hAnsi="Calibri"/>
          <w:i/>
          <w:sz w:val="20"/>
          <w:szCs w:val="20"/>
        </w:rPr>
        <w:t>organizations are in bold type, personnel positions are in parentheses</w:t>
      </w:r>
      <w:r w:rsidRPr="00D61C8A">
        <w:rPr>
          <w:rFonts w:ascii="Calibri" w:hAnsi="Calibri"/>
          <w:sz w:val="20"/>
          <w:szCs w:val="20"/>
        </w:rPr>
        <w:t>):</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Ban Landmines Campaign Nepal</w:t>
      </w:r>
      <w:r w:rsidRPr="00D61C8A">
        <w:rPr>
          <w:rFonts w:ascii="Calibri" w:hAnsi="Calibri"/>
          <w:sz w:val="20"/>
          <w:szCs w:val="20"/>
        </w:rPr>
        <w:t xml:space="preserve"> (Coordinator, Administrative and Technical Officer)</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Center for Research on Environment Health and Population Activities</w:t>
      </w:r>
      <w:r w:rsidRPr="00D61C8A">
        <w:rPr>
          <w:rFonts w:ascii="Calibri" w:hAnsi="Calibri"/>
          <w:sz w:val="20"/>
          <w:szCs w:val="20"/>
        </w:rPr>
        <w:t xml:space="preserve"> (Program Manager, Senior Research Officer)</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Department of Education</w:t>
      </w:r>
      <w:r w:rsidRPr="00D61C8A">
        <w:rPr>
          <w:rFonts w:ascii="Calibri" w:hAnsi="Calibri"/>
          <w:sz w:val="20"/>
          <w:szCs w:val="20"/>
        </w:rPr>
        <w:t xml:space="preserve"> (Planning Officer for Budget Section and Focal Point for Mine Risk Education, Head of Monitoring Section, Section Officer for Planning and Focal Point for UNICEF Education Activities)</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Handicap International</w:t>
      </w:r>
      <w:r w:rsidRPr="00D61C8A">
        <w:rPr>
          <w:rFonts w:ascii="Calibri" w:hAnsi="Calibri"/>
          <w:sz w:val="20"/>
          <w:szCs w:val="20"/>
        </w:rPr>
        <w:t xml:space="preserve"> (Deputy Country Director, Surgery Project Manager, Disability Coordinator)</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Informal Sector Service Centre, National Office</w:t>
      </w:r>
      <w:r w:rsidRPr="00D61C8A">
        <w:rPr>
          <w:rFonts w:ascii="Calibri" w:hAnsi="Calibri"/>
          <w:sz w:val="20"/>
          <w:szCs w:val="20"/>
        </w:rPr>
        <w:t xml:space="preserve"> (Executive Director, Head of Human Rights Education Department and Focal Point for Mine Action, Head of Documentation Office)</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Informal Sector Service Centre,</w:t>
      </w:r>
      <w:r w:rsidRPr="00D61C8A">
        <w:rPr>
          <w:rFonts w:ascii="Calibri" w:hAnsi="Calibri"/>
          <w:sz w:val="20"/>
          <w:szCs w:val="20"/>
        </w:rPr>
        <w:t xml:space="preserve"> Kathmandu </w:t>
      </w:r>
      <w:r>
        <w:rPr>
          <w:rFonts w:ascii="Calibri" w:hAnsi="Calibri"/>
          <w:sz w:val="20"/>
          <w:szCs w:val="20"/>
        </w:rPr>
        <w:t>(District Representative)</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International Committee of the Red Cross</w:t>
      </w:r>
      <w:r w:rsidRPr="00D61C8A">
        <w:rPr>
          <w:rFonts w:ascii="Calibri" w:hAnsi="Calibri"/>
          <w:sz w:val="20"/>
          <w:szCs w:val="20"/>
        </w:rPr>
        <w:t xml:space="preserve"> (National Field Officer, Cooperation Delegate)</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Nepal National Dalit Society Welfare Organization</w:t>
      </w:r>
      <w:r w:rsidRPr="00D61C8A">
        <w:rPr>
          <w:rFonts w:ascii="Calibri" w:hAnsi="Calibri"/>
          <w:sz w:val="20"/>
          <w:szCs w:val="20"/>
        </w:rPr>
        <w:t xml:space="preserve"> (National President, Executive Director, Project Coordinator)</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Nepalese Army</w:t>
      </w:r>
      <w:r w:rsidRPr="00D61C8A">
        <w:rPr>
          <w:rFonts w:ascii="Calibri" w:hAnsi="Calibri"/>
          <w:sz w:val="20"/>
          <w:szCs w:val="20"/>
        </w:rPr>
        <w:t xml:space="preserve"> (Commanding Officer, Colonel Deputy Director of Engineers, Major Operations Officers)</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Nepal Red Cross Society, National Office</w:t>
      </w:r>
      <w:r w:rsidRPr="00D61C8A">
        <w:rPr>
          <w:rFonts w:ascii="Calibri" w:hAnsi="Calibri"/>
          <w:sz w:val="20"/>
          <w:szCs w:val="20"/>
        </w:rPr>
        <w:t xml:space="preserve"> (Mine Action Focal Person and Chief of Youth Organization and Program</w:t>
      </w:r>
      <w:r>
        <w:rPr>
          <w:rFonts w:ascii="Calibri" w:hAnsi="Calibri"/>
          <w:sz w:val="20"/>
          <w:szCs w:val="20"/>
        </w:rPr>
        <w:t>s</w:t>
      </w:r>
      <w:r w:rsidRPr="00D61C8A">
        <w:rPr>
          <w:rFonts w:ascii="Calibri" w:hAnsi="Calibri"/>
          <w:sz w:val="20"/>
          <w:szCs w:val="20"/>
        </w:rPr>
        <w:t>)</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United Nations Children’s Fund Nepal</w:t>
      </w:r>
      <w:r w:rsidRPr="00D61C8A">
        <w:rPr>
          <w:rFonts w:ascii="Calibri" w:hAnsi="Calibri"/>
          <w:sz w:val="20"/>
          <w:szCs w:val="20"/>
        </w:rPr>
        <w:t xml:space="preserve"> (Country Representative, Chief of Child Protection, Mine Action Project Officer, Mine Action Monitoring Officer)</w:t>
      </w:r>
    </w:p>
    <w:p w:rsidR="00B454FB" w:rsidRPr="00D61C8A" w:rsidRDefault="00B454FB" w:rsidP="00B454FB">
      <w:pPr>
        <w:pStyle w:val="ColorfulList-Accent11"/>
        <w:numPr>
          <w:ilvl w:val="0"/>
          <w:numId w:val="4"/>
        </w:numPr>
        <w:rPr>
          <w:rFonts w:ascii="Calibri" w:hAnsi="Calibri"/>
          <w:sz w:val="20"/>
          <w:szCs w:val="20"/>
        </w:rPr>
      </w:pPr>
      <w:r w:rsidRPr="00D61C8A">
        <w:rPr>
          <w:rFonts w:ascii="Calibri" w:hAnsi="Calibri"/>
          <w:b/>
          <w:sz w:val="20"/>
          <w:szCs w:val="20"/>
        </w:rPr>
        <w:t>United Nations Mine Action Team</w:t>
      </w:r>
      <w:r w:rsidRPr="00D61C8A">
        <w:rPr>
          <w:rFonts w:ascii="Calibri" w:hAnsi="Calibri"/>
          <w:sz w:val="20"/>
          <w:szCs w:val="20"/>
        </w:rPr>
        <w:t xml:space="preserve"> (Programme Manager, Programme Officer, Quality Assurance Officer)</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 addition to these individually arranged interviews, the evaluation team attended meetings of the NMAA and the Mine Action Joint Working Group (MAJWG), which were attended by representati</w:t>
      </w:r>
      <w:r>
        <w:rPr>
          <w:rFonts w:ascii="Calibri" w:hAnsi="Calibri"/>
          <w:sz w:val="20"/>
          <w:szCs w:val="20"/>
        </w:rPr>
        <w:t xml:space="preserve">ves of the following </w:t>
      </w:r>
      <w:r w:rsidRPr="00D61C8A">
        <w:rPr>
          <w:rFonts w:ascii="Calibri" w:hAnsi="Calibri"/>
          <w:sz w:val="20"/>
          <w:szCs w:val="20"/>
        </w:rPr>
        <w:t>organizations (in addition to some of those mentioned above):</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Armed Police Force of Nepal</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Institute of Human Rights Communication Nepal</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Ministry of Education</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Ministry of Peace and Reconstruction</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Nepal Police</w:t>
      </w:r>
    </w:p>
    <w:p w:rsidR="00B454FB" w:rsidRPr="00D61C8A" w:rsidRDefault="00B454FB" w:rsidP="00B454FB">
      <w:pPr>
        <w:pStyle w:val="ColorfulList-Accent11"/>
        <w:numPr>
          <w:ilvl w:val="0"/>
          <w:numId w:val="5"/>
        </w:numPr>
        <w:rPr>
          <w:rFonts w:ascii="Calibri" w:hAnsi="Calibri"/>
          <w:b/>
          <w:sz w:val="20"/>
          <w:szCs w:val="20"/>
        </w:rPr>
      </w:pPr>
      <w:r w:rsidRPr="00D61C8A">
        <w:rPr>
          <w:rFonts w:ascii="Calibri" w:hAnsi="Calibri"/>
          <w:b/>
          <w:sz w:val="20"/>
          <w:szCs w:val="20"/>
        </w:rPr>
        <w:t>Unified Communist Party of Nepal</w:t>
      </w:r>
      <w:r>
        <w:rPr>
          <w:rFonts w:ascii="Calibri" w:hAnsi="Calibri"/>
          <w:b/>
          <w:sz w:val="20"/>
          <w:szCs w:val="20"/>
        </w:rPr>
        <w:t>/</w:t>
      </w:r>
      <w:r w:rsidRPr="00D61C8A">
        <w:rPr>
          <w:rFonts w:ascii="Calibri" w:hAnsi="Calibri"/>
          <w:b/>
          <w:sz w:val="20"/>
          <w:szCs w:val="20"/>
        </w:rPr>
        <w:t>Maoist</w:t>
      </w:r>
    </w:p>
    <w:p w:rsidR="00B454FB" w:rsidRPr="00D61C8A" w:rsidRDefault="00B454FB" w:rsidP="00B454FB">
      <w:pPr>
        <w:spacing w:line="276" w:lineRule="auto"/>
        <w:rPr>
          <w:rFonts w:ascii="Calibri" w:hAnsi="Calibri"/>
          <w:b/>
          <w:sz w:val="20"/>
          <w:szCs w:val="20"/>
          <w:highlight w:val="yellow"/>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The evaluation team also met with representatives of the following organizations during a visit to Kailali District:</w:t>
      </w:r>
    </w:p>
    <w:p w:rsidR="00B454FB" w:rsidRPr="00D61C8A" w:rsidRDefault="00B454FB" w:rsidP="00B454FB">
      <w:pPr>
        <w:pStyle w:val="ColorfulList-Accent11"/>
        <w:numPr>
          <w:ilvl w:val="0"/>
          <w:numId w:val="6"/>
        </w:numPr>
        <w:spacing w:line="276" w:lineRule="auto"/>
        <w:rPr>
          <w:rFonts w:ascii="Calibri" w:hAnsi="Calibri"/>
          <w:b/>
          <w:sz w:val="20"/>
          <w:szCs w:val="20"/>
        </w:rPr>
      </w:pPr>
      <w:r>
        <w:rPr>
          <w:rFonts w:ascii="Calibri" w:hAnsi="Calibri"/>
          <w:b/>
          <w:sz w:val="20"/>
          <w:szCs w:val="20"/>
        </w:rPr>
        <w:t>Nepal</w:t>
      </w:r>
      <w:r w:rsidRPr="00D61C8A">
        <w:rPr>
          <w:rFonts w:ascii="Calibri" w:hAnsi="Calibri"/>
          <w:b/>
          <w:sz w:val="20"/>
          <w:szCs w:val="20"/>
        </w:rPr>
        <w:t xml:space="preserve"> Red Cross Society, Kailali District</w:t>
      </w:r>
      <w:r w:rsidRPr="00D61C8A">
        <w:rPr>
          <w:rFonts w:ascii="Calibri" w:hAnsi="Calibri"/>
          <w:sz w:val="20"/>
          <w:szCs w:val="20"/>
        </w:rPr>
        <w:t xml:space="preserve"> (District Mine Risk Education Focal Person)</w:t>
      </w:r>
    </w:p>
    <w:p w:rsidR="00B454FB" w:rsidRPr="00D61C8A" w:rsidRDefault="00B454FB" w:rsidP="00B454FB">
      <w:pPr>
        <w:pStyle w:val="ColorfulList-Accent11"/>
        <w:numPr>
          <w:ilvl w:val="0"/>
          <w:numId w:val="6"/>
        </w:numPr>
        <w:rPr>
          <w:rFonts w:ascii="Calibri" w:hAnsi="Calibri"/>
          <w:sz w:val="20"/>
          <w:szCs w:val="20"/>
        </w:rPr>
      </w:pPr>
      <w:r w:rsidRPr="00D61C8A">
        <w:rPr>
          <w:rFonts w:ascii="Calibri" w:hAnsi="Calibri"/>
          <w:b/>
          <w:sz w:val="20"/>
          <w:szCs w:val="20"/>
        </w:rPr>
        <w:t>District Education Office, Kailali</w:t>
      </w:r>
      <w:r w:rsidRPr="00D61C8A">
        <w:rPr>
          <w:rFonts w:ascii="Calibri" w:hAnsi="Calibri"/>
          <w:sz w:val="20"/>
          <w:szCs w:val="20"/>
        </w:rPr>
        <w:t xml:space="preserve"> (Planning Section Officer)</w:t>
      </w:r>
    </w:p>
    <w:p w:rsidR="00B454FB" w:rsidRPr="00D61C8A" w:rsidRDefault="00B454FB" w:rsidP="00B454FB">
      <w:pPr>
        <w:pStyle w:val="ColorfulList-Accent11"/>
        <w:numPr>
          <w:ilvl w:val="0"/>
          <w:numId w:val="6"/>
        </w:numPr>
        <w:rPr>
          <w:rFonts w:ascii="Calibri" w:hAnsi="Calibri"/>
          <w:sz w:val="20"/>
          <w:szCs w:val="20"/>
        </w:rPr>
      </w:pPr>
      <w:r w:rsidRPr="00D61C8A">
        <w:rPr>
          <w:rFonts w:ascii="Calibri" w:hAnsi="Calibri"/>
          <w:b/>
          <w:sz w:val="20"/>
          <w:szCs w:val="20"/>
        </w:rPr>
        <w:t xml:space="preserve">Informal Sector Service Centre, </w:t>
      </w:r>
      <w:r>
        <w:rPr>
          <w:rFonts w:ascii="Calibri" w:hAnsi="Calibri"/>
          <w:b/>
          <w:sz w:val="20"/>
          <w:szCs w:val="20"/>
        </w:rPr>
        <w:t>Far Western Regional</w:t>
      </w:r>
      <w:r w:rsidRPr="00D61C8A">
        <w:rPr>
          <w:rFonts w:ascii="Calibri" w:hAnsi="Calibri"/>
          <w:b/>
          <w:sz w:val="20"/>
          <w:szCs w:val="20"/>
        </w:rPr>
        <w:t xml:space="preserve"> Office</w:t>
      </w:r>
      <w:r w:rsidRPr="00D61C8A">
        <w:rPr>
          <w:rFonts w:ascii="Calibri" w:hAnsi="Calibri"/>
          <w:sz w:val="20"/>
          <w:szCs w:val="20"/>
        </w:rPr>
        <w:t xml:space="preserve"> (Regional Coordinator, Documentation Officer)</w:t>
      </w:r>
    </w:p>
    <w:p w:rsidR="00B454FB" w:rsidRPr="00D61C8A" w:rsidRDefault="00B454FB" w:rsidP="00B454FB">
      <w:pPr>
        <w:pStyle w:val="ColorfulList-Accent11"/>
        <w:numPr>
          <w:ilvl w:val="0"/>
          <w:numId w:val="6"/>
        </w:numPr>
        <w:rPr>
          <w:rFonts w:ascii="Calibri" w:hAnsi="Calibri"/>
          <w:sz w:val="20"/>
          <w:szCs w:val="20"/>
        </w:rPr>
      </w:pPr>
      <w:r w:rsidRPr="00D61C8A">
        <w:rPr>
          <w:rFonts w:ascii="Calibri" w:hAnsi="Calibri"/>
          <w:b/>
          <w:sz w:val="20"/>
          <w:szCs w:val="20"/>
        </w:rPr>
        <w:t>Kalika Secondary School, Baliya VDC, Kailali District</w:t>
      </w:r>
      <w:r w:rsidRPr="00D61C8A">
        <w:rPr>
          <w:rFonts w:ascii="Calibri" w:hAnsi="Calibri"/>
          <w:sz w:val="20"/>
          <w:szCs w:val="20"/>
        </w:rPr>
        <w:t xml:space="preserve"> (School Principal, UNICEF Mine Risk Education District Resource Person, four teachers)</w:t>
      </w:r>
    </w:p>
    <w:p w:rsidR="00B454FB" w:rsidRPr="00D61C8A" w:rsidRDefault="00B454FB" w:rsidP="00B454FB">
      <w:pPr>
        <w:spacing w:line="276" w:lineRule="auto"/>
        <w:rPr>
          <w:rFonts w:ascii="Calibri" w:hAnsi="Calibri"/>
          <w:b/>
          <w:sz w:val="20"/>
          <w:szCs w:val="20"/>
          <w:highlight w:val="yellow"/>
        </w:rPr>
      </w:pPr>
    </w:p>
    <w:p w:rsidR="00B454FB" w:rsidRDefault="00B454FB" w:rsidP="00B454FB">
      <w:pPr>
        <w:spacing w:line="276" w:lineRule="auto"/>
        <w:rPr>
          <w:rFonts w:ascii="Calibri" w:hAnsi="Calibri"/>
          <w:sz w:val="20"/>
          <w:szCs w:val="20"/>
        </w:rPr>
      </w:pPr>
      <w:r w:rsidRPr="00D61C8A">
        <w:rPr>
          <w:rFonts w:ascii="Calibri" w:hAnsi="Calibri"/>
          <w:sz w:val="20"/>
          <w:szCs w:val="20"/>
        </w:rPr>
        <w:t>During the field visit, evaluation team members took notes and collected documents for review.  Follow-up interv</w:t>
      </w:r>
      <w:r>
        <w:rPr>
          <w:rFonts w:ascii="Calibri" w:hAnsi="Calibri"/>
          <w:sz w:val="20"/>
          <w:szCs w:val="20"/>
        </w:rPr>
        <w:t xml:space="preserve">iews were </w:t>
      </w:r>
      <w:r w:rsidRPr="00D61C8A">
        <w:rPr>
          <w:rFonts w:ascii="Calibri" w:hAnsi="Calibri"/>
          <w:sz w:val="20"/>
          <w:szCs w:val="20"/>
        </w:rPr>
        <w:t xml:space="preserve">conducted as needed by </w:t>
      </w:r>
      <w:r>
        <w:rPr>
          <w:rFonts w:ascii="Calibri" w:hAnsi="Calibri"/>
          <w:sz w:val="20"/>
          <w:szCs w:val="20"/>
        </w:rPr>
        <w:t>tele</w:t>
      </w:r>
      <w:r w:rsidRPr="00D61C8A">
        <w:rPr>
          <w:rFonts w:ascii="Calibri" w:hAnsi="Calibri"/>
          <w:sz w:val="20"/>
          <w:szCs w:val="20"/>
        </w:rPr>
        <w:t>phone and e-mail.  Preliminary findings and recommendations were presented at a meeting held in Kathmandu on 26 November 2009 and attended by representatives of the organizations mentioned above.</w:t>
      </w:r>
    </w:p>
    <w:p w:rsidR="00B454FB" w:rsidRPr="00D61C8A" w:rsidRDefault="00B454FB" w:rsidP="00B454FB">
      <w:pPr>
        <w:spacing w:line="276" w:lineRule="auto"/>
        <w:rPr>
          <w:rFonts w:ascii="Calibri"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IV.A.3</w:t>
      </w:r>
      <w:r>
        <w:rPr>
          <w:rFonts w:ascii="Calibri" w:hAnsi="Calibri"/>
          <w:sz w:val="20"/>
          <w:szCs w:val="20"/>
        </w:rPr>
        <w:tab/>
      </w:r>
      <w:r>
        <w:rPr>
          <w:rFonts w:ascii="Calibri" w:hAnsi="Calibri"/>
          <w:sz w:val="20"/>
          <w:szCs w:val="20"/>
        </w:rPr>
        <w:tab/>
      </w:r>
      <w:r w:rsidRPr="00D61C8A">
        <w:rPr>
          <w:rFonts w:ascii="Calibri" w:hAnsi="Calibri"/>
          <w:sz w:val="20"/>
          <w:szCs w:val="20"/>
        </w:rPr>
        <w:t>Following field visit</w:t>
      </w:r>
    </w:p>
    <w:p w:rsidR="00B454FB" w:rsidRPr="00D61C8A" w:rsidRDefault="00B454FB" w:rsidP="00B454FB">
      <w:pPr>
        <w:rPr>
          <w:rFonts w:ascii="Calibri" w:hAnsi="Calibri"/>
        </w:rPr>
      </w:pPr>
    </w:p>
    <w:p w:rsidR="00B454FB" w:rsidRPr="00D61C8A" w:rsidRDefault="00B454FB" w:rsidP="00B454FB">
      <w:pPr>
        <w:spacing w:line="276" w:lineRule="auto"/>
        <w:rPr>
          <w:rFonts w:ascii="Calibri" w:hAnsi="Calibri"/>
          <w:sz w:val="20"/>
          <w:szCs w:val="20"/>
        </w:rPr>
      </w:pPr>
      <w:r w:rsidRPr="00D61C8A">
        <w:rPr>
          <w:rFonts w:ascii="Calibri" w:hAnsi="Calibri"/>
          <w:sz w:val="20"/>
          <w:szCs w:val="20"/>
        </w:rPr>
        <w:t>Following the fie</w:t>
      </w:r>
      <w:r>
        <w:rPr>
          <w:rFonts w:ascii="Calibri" w:hAnsi="Calibri"/>
          <w:sz w:val="20"/>
          <w:szCs w:val="20"/>
        </w:rPr>
        <w:t>ld visit, the evaluation team reviewed additional documents including the following:</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 xml:space="preserve">INSEC 2009 annual report and </w:t>
      </w:r>
      <w:r>
        <w:rPr>
          <w:rFonts w:ascii="Calibri" w:hAnsi="Calibri"/>
          <w:sz w:val="20"/>
          <w:szCs w:val="20"/>
        </w:rPr>
        <w:t>VAE</w:t>
      </w:r>
      <w:r w:rsidRPr="00D61C8A">
        <w:rPr>
          <w:rFonts w:ascii="Calibri" w:hAnsi="Calibri"/>
          <w:sz w:val="20"/>
          <w:szCs w:val="20"/>
        </w:rPr>
        <w:t xml:space="preserve"> database </w:t>
      </w:r>
    </w:p>
    <w:p w:rsidR="00B454FB" w:rsidRPr="00D61C8A" w:rsidRDefault="00B454FB" w:rsidP="00B454FB">
      <w:pPr>
        <w:pStyle w:val="ColorfulList-Accent11"/>
        <w:numPr>
          <w:ilvl w:val="0"/>
          <w:numId w:val="7"/>
        </w:numPr>
        <w:rPr>
          <w:rFonts w:ascii="Calibri" w:hAnsi="Calibri"/>
          <w:sz w:val="20"/>
          <w:szCs w:val="20"/>
        </w:rPr>
      </w:pPr>
      <w:r w:rsidRPr="00D61C8A">
        <w:rPr>
          <w:rFonts w:ascii="Calibri" w:hAnsi="Calibri"/>
          <w:sz w:val="20"/>
          <w:szCs w:val="20"/>
        </w:rPr>
        <w:t>Results of a follow-up household KAP survey related to IED, landmines and other ERW conducted in 2009</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Landmine Monitor 2009 report</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 xml:space="preserve">INSEC’s report </w:t>
      </w:r>
      <w:r w:rsidRPr="00D61C8A">
        <w:rPr>
          <w:rFonts w:ascii="Calibri" w:hAnsi="Calibri"/>
          <w:i/>
          <w:sz w:val="20"/>
          <w:szCs w:val="20"/>
        </w:rPr>
        <w:t>ERW – Threats and Challenges</w:t>
      </w:r>
      <w:r w:rsidRPr="00D61C8A">
        <w:rPr>
          <w:rFonts w:ascii="Calibri" w:hAnsi="Calibri"/>
          <w:sz w:val="20"/>
          <w:szCs w:val="20"/>
        </w:rPr>
        <w:t xml:space="preserve">, based on data from 2008 and published in the </w:t>
      </w:r>
      <w:r w:rsidRPr="00D61C8A">
        <w:rPr>
          <w:rFonts w:ascii="Calibri" w:hAnsi="Calibri"/>
          <w:i/>
          <w:sz w:val="20"/>
          <w:szCs w:val="20"/>
        </w:rPr>
        <w:t>2009 INSEC Human Rights Yearbook</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UNICEF annual work plans and funding documents</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MRE materials and work plans</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Monitoring forms and databases</w:t>
      </w:r>
    </w:p>
    <w:p w:rsidR="00B454FB" w:rsidRPr="00D61C8A" w:rsidRDefault="00B454FB" w:rsidP="00B454FB">
      <w:pPr>
        <w:pStyle w:val="ColorfulList-Accent11"/>
        <w:numPr>
          <w:ilvl w:val="0"/>
          <w:numId w:val="7"/>
        </w:numPr>
        <w:spacing w:line="276" w:lineRule="auto"/>
        <w:rPr>
          <w:rFonts w:ascii="Calibri" w:hAnsi="Calibri"/>
          <w:sz w:val="20"/>
          <w:szCs w:val="20"/>
        </w:rPr>
      </w:pPr>
      <w:r w:rsidRPr="00D61C8A">
        <w:rPr>
          <w:rFonts w:ascii="Calibri" w:hAnsi="Calibri"/>
          <w:sz w:val="20"/>
          <w:szCs w:val="20"/>
        </w:rPr>
        <w:t>PowerPoint presentations collected during field visit</w:t>
      </w:r>
    </w:p>
    <w:p w:rsidR="00B454FB" w:rsidRPr="00D61C8A" w:rsidRDefault="00B454FB" w:rsidP="00B454FB">
      <w:pPr>
        <w:spacing w:line="276" w:lineRule="auto"/>
        <w:rPr>
          <w:rFonts w:ascii="Calibri" w:hAnsi="Calibri"/>
          <w:sz w:val="20"/>
          <w:szCs w:val="20"/>
        </w:rPr>
      </w:pPr>
    </w:p>
    <w:p w:rsidR="00B454FB" w:rsidRPr="00D61C8A" w:rsidRDefault="00B454FB" w:rsidP="00B454FB">
      <w:pPr>
        <w:pStyle w:val="Heading2"/>
        <w:numPr>
          <w:ilvl w:val="0"/>
          <w:numId w:val="0"/>
        </w:numPr>
        <w:spacing w:before="0"/>
        <w:rPr>
          <w:rFonts w:ascii="Calibri" w:hAnsi="Calibri"/>
        </w:rPr>
      </w:pPr>
      <w:r>
        <w:rPr>
          <w:rFonts w:ascii="Calibri" w:hAnsi="Calibri"/>
        </w:rPr>
        <w:t>IV.B</w:t>
      </w:r>
      <w:r>
        <w:rPr>
          <w:rFonts w:ascii="Calibri" w:hAnsi="Calibri"/>
        </w:rPr>
        <w:tab/>
      </w:r>
      <w:r>
        <w:rPr>
          <w:rFonts w:ascii="Calibri" w:hAnsi="Calibri"/>
        </w:rPr>
        <w:tab/>
      </w:r>
      <w:r w:rsidRPr="00D61C8A">
        <w:rPr>
          <w:rFonts w:ascii="Calibri" w:hAnsi="Calibri"/>
        </w:rPr>
        <w:t xml:space="preserve">Specific evaluation methods for </w:t>
      </w:r>
      <w:r>
        <w:rPr>
          <w:rFonts w:ascii="Calibri" w:hAnsi="Calibri"/>
        </w:rPr>
        <w:t xml:space="preserve">injury </w:t>
      </w:r>
      <w:r w:rsidRPr="00D61C8A">
        <w:rPr>
          <w:rFonts w:ascii="Calibri" w:hAnsi="Calibri"/>
        </w:rPr>
        <w:t xml:space="preserve">surveillance and </w:t>
      </w:r>
      <w:r>
        <w:rPr>
          <w:rFonts w:ascii="Calibri" w:hAnsi="Calibri"/>
        </w:rPr>
        <w:t>MRE</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Pr>
          <w:rFonts w:ascii="Calibri" w:hAnsi="Calibri"/>
          <w:sz w:val="20"/>
          <w:szCs w:val="20"/>
        </w:rPr>
        <w:t>Injury s</w:t>
      </w:r>
      <w:r w:rsidRPr="00D61C8A">
        <w:rPr>
          <w:rFonts w:ascii="Calibri" w:hAnsi="Calibri"/>
          <w:sz w:val="20"/>
          <w:szCs w:val="20"/>
        </w:rPr>
        <w:t xml:space="preserve">urveillance activities were evaluated according to </w:t>
      </w:r>
      <w:r w:rsidRPr="00D61C8A">
        <w:rPr>
          <w:rFonts w:ascii="Calibri" w:hAnsi="Calibri"/>
          <w:i/>
          <w:sz w:val="20"/>
          <w:szCs w:val="20"/>
        </w:rPr>
        <w:t>Updated Guidelines for Evaluating Public Health Surveillance Systems</w:t>
      </w:r>
      <w:r w:rsidRPr="00D61C8A">
        <w:rPr>
          <w:rFonts w:ascii="Calibri" w:hAnsi="Calibri"/>
          <w:sz w:val="20"/>
          <w:szCs w:val="20"/>
        </w:rPr>
        <w:t>, developed by CDC’s Guidelines Working Group and published in 2001.  These guidelines were created to increase the efficiency and effectiveness of public health surveillance systems, in an effort to promote the best use of public health resources.</w:t>
      </w:r>
      <w:r w:rsidRPr="00D61C8A">
        <w:rPr>
          <w:rStyle w:val="EndnoteReference"/>
          <w:rFonts w:ascii="Calibri" w:hAnsi="Calibri"/>
          <w:sz w:val="20"/>
          <w:szCs w:val="20"/>
        </w:rPr>
        <w:endnoteReference w:id="99"/>
      </w:r>
      <w:r w:rsidRPr="00D61C8A">
        <w:rPr>
          <w:rFonts w:ascii="Calibri" w:hAnsi="Calibri"/>
          <w:sz w:val="20"/>
          <w:szCs w:val="20"/>
        </w:rPr>
        <w:t xml:space="preserve">  According to these guidelines, an evaluation team completes six tasks:</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Engage the stakeholders in the evaluation</w:t>
      </w:r>
      <w:r>
        <w:rPr>
          <w:rFonts w:ascii="Calibri" w:hAnsi="Calibri"/>
          <w:sz w:val="20"/>
          <w:szCs w:val="20"/>
        </w:rPr>
        <w:t>;</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Describe the surveillance system to be evaluated (in Section V.A below)</w:t>
      </w:r>
      <w:r>
        <w:rPr>
          <w:rFonts w:ascii="Calibri" w:hAnsi="Calibri"/>
          <w:sz w:val="20"/>
          <w:szCs w:val="20"/>
        </w:rPr>
        <w:t>;</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Focus the evaluation design</w:t>
      </w:r>
      <w:r>
        <w:rPr>
          <w:rFonts w:ascii="Calibri" w:hAnsi="Calibri"/>
          <w:sz w:val="20"/>
          <w:szCs w:val="20"/>
        </w:rPr>
        <w:t>;</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Gather credible evidence regarding the performance of the surveillance system (in Section V.B below)</w:t>
      </w:r>
      <w:r>
        <w:rPr>
          <w:rFonts w:ascii="Calibri" w:hAnsi="Calibri"/>
          <w:sz w:val="20"/>
          <w:szCs w:val="20"/>
        </w:rPr>
        <w:t>;</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Justify and state conclusions, and make recommendations (in Sections V.B and V.C below)</w:t>
      </w:r>
      <w:r>
        <w:rPr>
          <w:rFonts w:ascii="Calibri" w:hAnsi="Calibri"/>
          <w:sz w:val="20"/>
          <w:szCs w:val="20"/>
        </w:rPr>
        <w:t>; and</w:t>
      </w:r>
    </w:p>
    <w:p w:rsidR="00B454FB" w:rsidRPr="00D61C8A" w:rsidRDefault="00B454FB" w:rsidP="00B454FB">
      <w:pPr>
        <w:pStyle w:val="ColorfulList-Accent11"/>
        <w:numPr>
          <w:ilvl w:val="0"/>
          <w:numId w:val="78"/>
        </w:numPr>
        <w:rPr>
          <w:rFonts w:ascii="Calibri" w:hAnsi="Calibri"/>
          <w:sz w:val="20"/>
          <w:szCs w:val="20"/>
        </w:rPr>
      </w:pPr>
      <w:r w:rsidRPr="00D61C8A">
        <w:rPr>
          <w:rFonts w:ascii="Calibri" w:hAnsi="Calibri"/>
          <w:sz w:val="20"/>
          <w:szCs w:val="20"/>
        </w:rPr>
        <w:t>Ensure use of evaluation findings and share lessons learned</w:t>
      </w:r>
      <w:r>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MRE methods were evaluated according to the IMAS </w:t>
      </w:r>
      <w:r w:rsidRPr="00D61C8A">
        <w:rPr>
          <w:rFonts w:ascii="Calibri" w:hAnsi="Calibri"/>
          <w:i/>
          <w:sz w:val="20"/>
          <w:szCs w:val="20"/>
        </w:rPr>
        <w:t>Mine Risk Education Best Practice Guidebook 8</w:t>
      </w:r>
      <w:r w:rsidRPr="00D61C8A">
        <w:rPr>
          <w:rFonts w:ascii="Calibri" w:hAnsi="Calibri"/>
          <w:sz w:val="20"/>
          <w:szCs w:val="20"/>
        </w:rPr>
        <w:t xml:space="preserve"> on evaluation.  The</w:t>
      </w:r>
      <w:r>
        <w:rPr>
          <w:rFonts w:ascii="Calibri" w:hAnsi="Calibri"/>
          <w:sz w:val="20"/>
          <w:szCs w:val="20"/>
        </w:rPr>
        <w:t xml:space="preserve"> IMAS </w:t>
      </w:r>
      <w:r w:rsidRPr="00D61C8A">
        <w:rPr>
          <w:rFonts w:ascii="Calibri" w:hAnsi="Calibri"/>
          <w:sz w:val="20"/>
          <w:szCs w:val="20"/>
        </w:rPr>
        <w:t xml:space="preserve">guidebooks were developed by UNICEF and the Geneva International Centre for Humanitarian Demining in 2005 to provide practical advice regarding the implementation of MRE standards.  According to </w:t>
      </w:r>
      <w:r w:rsidRPr="00D61C8A">
        <w:rPr>
          <w:rFonts w:ascii="Calibri" w:hAnsi="Calibri"/>
          <w:i/>
          <w:sz w:val="20"/>
          <w:szCs w:val="20"/>
        </w:rPr>
        <w:t>Guidebook 8</w:t>
      </w:r>
      <w:r w:rsidRPr="00D61C8A">
        <w:rPr>
          <w:rFonts w:ascii="Calibri" w:hAnsi="Calibri"/>
          <w:sz w:val="20"/>
          <w:szCs w:val="20"/>
        </w:rPr>
        <w:t>, each MRE evaluation consists of four steps: planning, managing, implementation, and using.  The evaluation team is responsible for the implementation stage, which is further divided into four tasks:</w:t>
      </w:r>
    </w:p>
    <w:p w:rsidR="00B454FB" w:rsidRPr="00D61C8A" w:rsidRDefault="00B454FB" w:rsidP="00B454FB">
      <w:pPr>
        <w:pStyle w:val="ColorfulList-Accent11"/>
        <w:numPr>
          <w:ilvl w:val="0"/>
          <w:numId w:val="79"/>
        </w:numPr>
        <w:rPr>
          <w:rFonts w:ascii="Calibri" w:hAnsi="Calibri"/>
          <w:sz w:val="20"/>
          <w:szCs w:val="20"/>
        </w:rPr>
      </w:pPr>
      <w:r w:rsidRPr="00D61C8A">
        <w:rPr>
          <w:rFonts w:ascii="Calibri" w:hAnsi="Calibri"/>
          <w:sz w:val="20"/>
          <w:szCs w:val="20"/>
        </w:rPr>
        <w:t>Collecting and analyzing data (in Section VI.B. below)</w:t>
      </w:r>
      <w:r>
        <w:rPr>
          <w:rFonts w:ascii="Calibri" w:hAnsi="Calibri"/>
          <w:sz w:val="20"/>
          <w:szCs w:val="20"/>
        </w:rPr>
        <w:t>;</w:t>
      </w:r>
    </w:p>
    <w:p w:rsidR="00B454FB" w:rsidRPr="00D61C8A" w:rsidRDefault="00B454FB" w:rsidP="00B454FB">
      <w:pPr>
        <w:pStyle w:val="ColorfulList-Accent11"/>
        <w:numPr>
          <w:ilvl w:val="0"/>
          <w:numId w:val="79"/>
        </w:numPr>
        <w:rPr>
          <w:rFonts w:ascii="Calibri" w:hAnsi="Calibri"/>
          <w:sz w:val="20"/>
          <w:szCs w:val="20"/>
        </w:rPr>
      </w:pPr>
      <w:r w:rsidRPr="00D61C8A">
        <w:rPr>
          <w:rFonts w:ascii="Calibri" w:hAnsi="Calibri"/>
          <w:sz w:val="20"/>
          <w:szCs w:val="20"/>
        </w:rPr>
        <w:t>Making conclusions and recommendations (in Sections VI.C and VI.D below)</w:t>
      </w:r>
      <w:r>
        <w:rPr>
          <w:rFonts w:ascii="Calibri" w:hAnsi="Calibri"/>
          <w:sz w:val="20"/>
          <w:szCs w:val="20"/>
        </w:rPr>
        <w:t>;</w:t>
      </w:r>
    </w:p>
    <w:p w:rsidR="00B454FB" w:rsidRPr="00D61C8A" w:rsidRDefault="00B454FB" w:rsidP="00B454FB">
      <w:pPr>
        <w:pStyle w:val="ColorfulList-Accent11"/>
        <w:numPr>
          <w:ilvl w:val="0"/>
          <w:numId w:val="79"/>
        </w:numPr>
        <w:rPr>
          <w:rFonts w:ascii="Calibri" w:hAnsi="Calibri"/>
          <w:sz w:val="20"/>
          <w:szCs w:val="20"/>
        </w:rPr>
      </w:pPr>
      <w:r w:rsidRPr="00D61C8A">
        <w:rPr>
          <w:rFonts w:ascii="Calibri" w:hAnsi="Calibri"/>
          <w:sz w:val="20"/>
          <w:szCs w:val="20"/>
        </w:rPr>
        <w:t>Writing the report</w:t>
      </w:r>
      <w:r>
        <w:rPr>
          <w:rFonts w:ascii="Calibri" w:hAnsi="Calibri"/>
          <w:sz w:val="20"/>
          <w:szCs w:val="20"/>
        </w:rPr>
        <w:t>; and</w:t>
      </w:r>
    </w:p>
    <w:p w:rsidR="00B454FB" w:rsidRPr="00D61C8A" w:rsidRDefault="00B454FB" w:rsidP="00B454FB">
      <w:pPr>
        <w:pStyle w:val="ColorfulList-Accent11"/>
        <w:numPr>
          <w:ilvl w:val="0"/>
          <w:numId w:val="79"/>
        </w:numPr>
        <w:rPr>
          <w:rFonts w:ascii="Calibri" w:hAnsi="Calibri"/>
          <w:sz w:val="20"/>
          <w:szCs w:val="20"/>
        </w:rPr>
      </w:pPr>
      <w:r w:rsidRPr="00D61C8A">
        <w:rPr>
          <w:rFonts w:ascii="Calibri" w:hAnsi="Calibri"/>
          <w:sz w:val="20"/>
          <w:szCs w:val="20"/>
        </w:rPr>
        <w:t>Communicating the results</w:t>
      </w:r>
      <w:r>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bCs/>
          <w:color w:val="4F81BD"/>
          <w:sz w:val="26"/>
          <w:szCs w:val="26"/>
        </w:rPr>
      </w:pPr>
    </w:p>
    <w:p w:rsidR="00B454FB" w:rsidRPr="00D61C8A" w:rsidRDefault="00B454FB" w:rsidP="00B454FB">
      <w:pPr>
        <w:rPr>
          <w:rFonts w:ascii="Calibri" w:hAnsi="Calibri"/>
        </w:rPr>
      </w:pPr>
    </w:p>
    <w:p w:rsidR="00B454FB" w:rsidRPr="00D61C8A" w:rsidRDefault="00B454FB" w:rsidP="00B454FB">
      <w:pPr>
        <w:spacing w:line="276" w:lineRule="auto"/>
        <w:rPr>
          <w:rFonts w:ascii="Calibri" w:hAnsi="Calibri"/>
          <w:b/>
          <w:bCs/>
          <w:color w:val="365F91"/>
          <w:sz w:val="28"/>
          <w:szCs w:val="28"/>
        </w:rPr>
      </w:pPr>
      <w:r w:rsidRPr="00D61C8A">
        <w:rPr>
          <w:rFonts w:ascii="Calibri" w:hAnsi="Calibri"/>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V</w:t>
      </w:r>
      <w:r>
        <w:rPr>
          <w:rFonts w:ascii="Calibri" w:hAnsi="Calibri"/>
        </w:rPr>
        <w:tab/>
      </w:r>
      <w:r>
        <w:rPr>
          <w:rFonts w:ascii="Calibri" w:hAnsi="Calibri"/>
        </w:rPr>
        <w:tab/>
      </w:r>
      <w:r w:rsidRPr="00D61C8A">
        <w:rPr>
          <w:rFonts w:ascii="Calibri" w:hAnsi="Calibri"/>
        </w:rPr>
        <w:t>UNICEF SURVEILLANCE ACTIVITIES: FINDINGS AND RECOMMENDATIONS</w:t>
      </w:r>
    </w:p>
    <w:p w:rsidR="00B454FB" w:rsidRPr="00D61C8A" w:rsidRDefault="00B454FB" w:rsidP="00B454FB">
      <w:pPr>
        <w:rPr>
          <w:rFonts w:ascii="Calibri" w:hAnsi="Calibri"/>
        </w:rPr>
      </w:pPr>
    </w:p>
    <w:p w:rsidR="00B454FB" w:rsidRPr="00D61C8A" w:rsidRDefault="00B454FB" w:rsidP="00B454FB">
      <w:pPr>
        <w:pStyle w:val="Heading2"/>
        <w:numPr>
          <w:ilvl w:val="0"/>
          <w:numId w:val="0"/>
        </w:numPr>
        <w:spacing w:before="0"/>
        <w:rPr>
          <w:rFonts w:ascii="Calibri" w:hAnsi="Calibri"/>
        </w:rPr>
      </w:pPr>
      <w:r>
        <w:rPr>
          <w:rFonts w:ascii="Calibri" w:hAnsi="Calibri"/>
        </w:rPr>
        <w:t>V.A</w:t>
      </w:r>
      <w:r>
        <w:rPr>
          <w:rFonts w:ascii="Calibri" w:hAnsi="Calibri"/>
        </w:rPr>
        <w:tab/>
      </w:r>
      <w:r>
        <w:rPr>
          <w:rFonts w:ascii="Calibri" w:hAnsi="Calibri"/>
        </w:rPr>
        <w:tab/>
      </w:r>
      <w:r w:rsidRPr="00D61C8A">
        <w:rPr>
          <w:rFonts w:ascii="Calibri" w:hAnsi="Calibri"/>
        </w:rPr>
        <w:t>Description of the surveillance system</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V.A.1</w:t>
      </w:r>
      <w:r>
        <w:rPr>
          <w:rFonts w:ascii="Calibri" w:hAnsi="Calibri"/>
          <w:sz w:val="20"/>
          <w:szCs w:val="20"/>
        </w:rPr>
        <w:tab/>
      </w:r>
      <w:r>
        <w:rPr>
          <w:rFonts w:ascii="Calibri" w:hAnsi="Calibri"/>
          <w:sz w:val="20"/>
          <w:szCs w:val="20"/>
        </w:rPr>
        <w:tab/>
      </w:r>
      <w:r w:rsidRPr="00D61C8A">
        <w:rPr>
          <w:rFonts w:ascii="Calibri" w:hAnsi="Calibri"/>
          <w:sz w:val="20"/>
          <w:szCs w:val="20"/>
        </w:rPr>
        <w:t xml:space="preserve">Purpose, objectives and data uses of the surveillance system </w:t>
      </w:r>
    </w:p>
    <w:p w:rsidR="00B454FB" w:rsidRPr="00D61C8A" w:rsidRDefault="00B454FB" w:rsidP="00B454FB">
      <w:pPr>
        <w:rPr>
          <w:rFonts w:ascii="Calibri" w:hAnsi="Calibri"/>
        </w:rPr>
      </w:pPr>
    </w:p>
    <w:p w:rsidR="00B454FB" w:rsidRPr="00D61C8A" w:rsidRDefault="00B454FB" w:rsidP="00B454FB">
      <w:pPr>
        <w:rPr>
          <w:rFonts w:ascii="Calibri" w:eastAsia="Cambria" w:hAnsi="Calibri"/>
          <w:sz w:val="20"/>
          <w:szCs w:val="20"/>
        </w:rPr>
      </w:pPr>
      <w:r w:rsidRPr="00D61C8A">
        <w:rPr>
          <w:rFonts w:ascii="Calibri" w:hAnsi="Calibri"/>
          <w:sz w:val="20"/>
          <w:szCs w:val="20"/>
        </w:rPr>
        <w:t xml:space="preserve">In annual reports published from 2002 to 2005, Landmine Monitor </w:t>
      </w:r>
      <w:r>
        <w:rPr>
          <w:rFonts w:ascii="Calibri" w:hAnsi="Calibri"/>
          <w:sz w:val="20"/>
          <w:szCs w:val="20"/>
        </w:rPr>
        <w:t>emphasized</w:t>
      </w:r>
      <w:r w:rsidRPr="00D61C8A">
        <w:rPr>
          <w:rFonts w:ascii="Calibri" w:hAnsi="Calibri"/>
          <w:sz w:val="20"/>
          <w:szCs w:val="20"/>
        </w:rPr>
        <w:t xml:space="preserve"> the lack of an official data collection mechanism for injuries caused by landmines and other </w:t>
      </w:r>
      <w:r>
        <w:rPr>
          <w:rFonts w:ascii="Calibri" w:hAnsi="Calibri"/>
          <w:sz w:val="20"/>
          <w:szCs w:val="20"/>
        </w:rPr>
        <w:t>ED</w:t>
      </w:r>
      <w:r w:rsidRPr="00D61C8A">
        <w:rPr>
          <w:rFonts w:ascii="Calibri" w:hAnsi="Calibri"/>
          <w:sz w:val="20"/>
          <w:szCs w:val="20"/>
        </w:rPr>
        <w:t>.</w:t>
      </w:r>
      <w:r w:rsidRPr="00D61C8A">
        <w:rPr>
          <w:rStyle w:val="EndnoteReference"/>
          <w:rFonts w:ascii="Calibri" w:hAnsi="Calibri"/>
          <w:sz w:val="20"/>
          <w:szCs w:val="20"/>
        </w:rPr>
        <w:endnoteReference w:id="100"/>
      </w:r>
      <w:r w:rsidRPr="00D61C8A">
        <w:rPr>
          <w:rFonts w:ascii="Calibri" w:hAnsi="Calibri"/>
          <w:sz w:val="20"/>
          <w:szCs w:val="20"/>
        </w:rPr>
        <w:t xml:space="preserve">  While some ED injury data were being collected by NCBL, INSEC, HI and UNICEF, they lacked the scientific rigor needed to produce reliable analyses (see Section III.D.2).  Furthermore, data collection was hindered by disruption of communication lines during the conflict</w:t>
      </w:r>
      <w:r w:rsidRPr="00D61C8A">
        <w:rPr>
          <w:rStyle w:val="EndnoteReference"/>
          <w:rFonts w:ascii="Calibri" w:hAnsi="Calibri"/>
          <w:sz w:val="20"/>
          <w:szCs w:val="20"/>
        </w:rPr>
        <w:endnoteReference w:id="101"/>
      </w:r>
      <w:r w:rsidRPr="00D61C8A">
        <w:rPr>
          <w:rFonts w:ascii="Calibri" w:hAnsi="Calibri"/>
          <w:sz w:val="20"/>
          <w:szCs w:val="20"/>
        </w:rPr>
        <w:t xml:space="preserve"> and the sensitivity of discussing ED.</w:t>
      </w:r>
      <w:r w:rsidRPr="00D61C8A">
        <w:rPr>
          <w:rStyle w:val="EndnoteReference"/>
          <w:rFonts w:ascii="Calibri" w:hAnsi="Calibri"/>
          <w:sz w:val="20"/>
          <w:szCs w:val="20"/>
        </w:rPr>
        <w:endnoteReference w:id="102"/>
      </w:r>
      <w:r w:rsidRPr="00D61C8A">
        <w:rPr>
          <w:rFonts w:ascii="Calibri" w:hAnsi="Calibri"/>
          <w:sz w:val="20"/>
          <w:szCs w:val="20"/>
        </w:rPr>
        <w:t xml:space="preserve">  In the absence of a standardized, reliable data collection mechanism,</w:t>
      </w:r>
      <w:r w:rsidRPr="00D61C8A">
        <w:rPr>
          <w:rStyle w:val="FootnoteReference"/>
          <w:rFonts w:ascii="Calibri" w:hAnsi="Calibri"/>
          <w:sz w:val="20"/>
          <w:szCs w:val="20"/>
        </w:rPr>
        <w:footnoteReference w:id="4"/>
      </w:r>
      <w:r w:rsidRPr="00D61C8A">
        <w:rPr>
          <w:rFonts w:ascii="Calibri" w:hAnsi="Calibri"/>
          <w:sz w:val="20"/>
          <w:szCs w:val="20"/>
        </w:rPr>
        <w:t xml:space="preserve"> MA stakeholders were unable to produce a comprehensive analysis of ED incidents to determine the magnitude and scope of injuries or gather reliable data on risk and protective factors.</w:t>
      </w:r>
      <w:r w:rsidRPr="00D61C8A">
        <w:rPr>
          <w:rStyle w:val="EndnoteReference"/>
          <w:rFonts w:ascii="Calibri" w:hAnsi="Calibri"/>
          <w:sz w:val="20"/>
          <w:szCs w:val="20"/>
        </w:rPr>
        <w:endnoteReference w:id="103"/>
      </w:r>
      <w:r w:rsidRPr="00D61C8A">
        <w:rPr>
          <w:rFonts w:ascii="Calibri" w:hAnsi="Calibri"/>
          <w:sz w:val="20"/>
          <w:szCs w:val="20"/>
        </w:rPr>
        <w:t xml:space="preserve">  In 2005, HI and INSEC began to discuss the creation of an active surveillance system </w:t>
      </w:r>
      <w:r>
        <w:rPr>
          <w:rFonts w:ascii="Calibri" w:hAnsi="Calibri"/>
          <w:sz w:val="20"/>
          <w:szCs w:val="20"/>
        </w:rPr>
        <w:t>covering</w:t>
      </w:r>
      <w:r w:rsidRPr="00D61C8A">
        <w:rPr>
          <w:rFonts w:ascii="Calibri" w:hAnsi="Calibri"/>
          <w:sz w:val="20"/>
          <w:szCs w:val="20"/>
        </w:rPr>
        <w:t xml:space="preserve"> ED incidents.</w:t>
      </w:r>
      <w:r w:rsidRPr="00D61C8A">
        <w:rPr>
          <w:rStyle w:val="EndnoteReference"/>
          <w:rFonts w:ascii="Calibri" w:hAnsi="Calibri"/>
          <w:b/>
          <w:sz w:val="20"/>
          <w:szCs w:val="20"/>
        </w:rPr>
        <w:endnoteReference w:id="104"/>
      </w:r>
      <w:r w:rsidRPr="00D61C8A">
        <w:rPr>
          <w:rFonts w:ascii="Calibri" w:hAnsi="Calibri"/>
          <w:sz w:val="20"/>
          <w:szCs w:val="20"/>
        </w:rPr>
        <w:t xml:space="preserve">  The new surveillance system focused on VAE injuries among civilians.</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V.A.1.a</w:t>
      </w:r>
      <w:r>
        <w:rPr>
          <w:rFonts w:ascii="Calibri" w:hAnsi="Calibri"/>
          <w:sz w:val="20"/>
          <w:szCs w:val="20"/>
        </w:rPr>
        <w:tab/>
      </w:r>
      <w:r>
        <w:rPr>
          <w:rFonts w:ascii="Calibri" w:hAnsi="Calibri"/>
          <w:sz w:val="20"/>
          <w:szCs w:val="20"/>
        </w:rPr>
        <w:tab/>
      </w:r>
      <w:r w:rsidRPr="00D61C8A">
        <w:rPr>
          <w:rFonts w:ascii="Calibri" w:hAnsi="Calibri"/>
          <w:sz w:val="20"/>
          <w:szCs w:val="20"/>
        </w:rPr>
        <w:t>Purpose</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Pr>
          <w:rFonts w:ascii="Calibri" w:hAnsi="Calibri"/>
          <w:sz w:val="20"/>
          <w:szCs w:val="20"/>
        </w:rPr>
        <w:t>According to INSEC, t</w:t>
      </w:r>
      <w:r w:rsidRPr="00D61C8A">
        <w:rPr>
          <w:rFonts w:ascii="Calibri" w:hAnsi="Calibri"/>
          <w:sz w:val="20"/>
          <w:szCs w:val="20"/>
        </w:rPr>
        <w:t>he purpose of the VAE injury surveillance system is to provide accurate, reliable information to the MA community of Nepal in order to improve MRE, victim assistance (VA) and advocacy.</w:t>
      </w:r>
      <w:r w:rsidRPr="00D61C8A">
        <w:rPr>
          <w:rStyle w:val="EndnoteReference"/>
          <w:rFonts w:ascii="Calibri" w:hAnsi="Calibri"/>
          <w:sz w:val="20"/>
          <w:szCs w:val="20"/>
        </w:rPr>
        <w:endnoteReference w:id="105"/>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V.A.1.b</w:t>
      </w:r>
      <w:r>
        <w:rPr>
          <w:rFonts w:ascii="Calibri" w:hAnsi="Calibri"/>
          <w:sz w:val="20"/>
          <w:szCs w:val="20"/>
        </w:rPr>
        <w:tab/>
      </w:r>
      <w:r>
        <w:rPr>
          <w:rFonts w:ascii="Calibri" w:hAnsi="Calibri"/>
          <w:sz w:val="20"/>
          <w:szCs w:val="20"/>
        </w:rPr>
        <w:tab/>
      </w:r>
      <w:r w:rsidRPr="00D61C8A">
        <w:rPr>
          <w:rFonts w:ascii="Calibri" w:hAnsi="Calibri"/>
          <w:sz w:val="20"/>
          <w:szCs w:val="20"/>
        </w:rPr>
        <w:t>Objectives</w:t>
      </w:r>
    </w:p>
    <w:p w:rsidR="00B454FB" w:rsidRPr="00D61C8A" w:rsidRDefault="00B454FB" w:rsidP="00B454FB">
      <w:pPr>
        <w:tabs>
          <w:tab w:val="left" w:pos="1703"/>
        </w:tabs>
        <w:rPr>
          <w:rFonts w:ascii="Calibri" w:hAnsi="Calibri"/>
        </w:rPr>
      </w:pPr>
    </w:p>
    <w:p w:rsidR="00B454FB" w:rsidRPr="00D61C8A" w:rsidRDefault="00B454FB" w:rsidP="00B454FB">
      <w:pPr>
        <w:tabs>
          <w:tab w:val="left" w:pos="1703"/>
        </w:tabs>
        <w:rPr>
          <w:rFonts w:ascii="Calibri" w:hAnsi="Calibri"/>
          <w:sz w:val="20"/>
          <w:szCs w:val="20"/>
        </w:rPr>
      </w:pPr>
      <w:r w:rsidRPr="00D61C8A">
        <w:rPr>
          <w:rFonts w:ascii="Calibri" w:hAnsi="Calibri"/>
          <w:sz w:val="20"/>
          <w:szCs w:val="20"/>
        </w:rPr>
        <w:t>According to INSEC, the surveillance system was designed to meet three objectives:</w:t>
      </w:r>
    </w:p>
    <w:p w:rsidR="00B454FB" w:rsidRPr="00D61C8A" w:rsidRDefault="00B454FB" w:rsidP="00B454FB">
      <w:pPr>
        <w:tabs>
          <w:tab w:val="left" w:pos="1703"/>
        </w:tabs>
        <w:rPr>
          <w:rFonts w:ascii="Calibri" w:hAnsi="Calibri"/>
          <w:sz w:val="20"/>
          <w:szCs w:val="20"/>
        </w:rPr>
      </w:pPr>
      <w:r w:rsidRPr="00D61C8A">
        <w:rPr>
          <w:rFonts w:ascii="Calibri" w:hAnsi="Calibri"/>
          <w:sz w:val="20"/>
          <w:szCs w:val="20"/>
        </w:rPr>
        <w:t>1) Collect information about civilian casualties of unintentional</w:t>
      </w:r>
      <w:r>
        <w:rPr>
          <w:rStyle w:val="FootnoteReference"/>
          <w:rFonts w:ascii="Calibri" w:hAnsi="Calibri"/>
          <w:sz w:val="20"/>
          <w:szCs w:val="20"/>
        </w:rPr>
        <w:footnoteReference w:id="5"/>
      </w:r>
      <w:r w:rsidRPr="00D61C8A">
        <w:rPr>
          <w:rFonts w:ascii="Calibri" w:hAnsi="Calibri"/>
          <w:sz w:val="20"/>
          <w:szCs w:val="20"/>
        </w:rPr>
        <w:t xml:space="preserve"> explosions in all districts of Nepal;</w:t>
      </w:r>
    </w:p>
    <w:p w:rsidR="00B454FB" w:rsidRPr="00D61C8A" w:rsidRDefault="00B454FB" w:rsidP="00B454FB">
      <w:pPr>
        <w:tabs>
          <w:tab w:val="left" w:pos="1703"/>
        </w:tabs>
        <w:rPr>
          <w:rFonts w:ascii="Calibri" w:hAnsi="Calibri"/>
          <w:sz w:val="20"/>
          <w:szCs w:val="20"/>
        </w:rPr>
      </w:pPr>
      <w:r w:rsidRPr="00D61C8A">
        <w:rPr>
          <w:rFonts w:ascii="Calibri" w:hAnsi="Calibri"/>
          <w:sz w:val="20"/>
          <w:szCs w:val="20"/>
        </w:rPr>
        <w:t>2) Create links between casualties and agencies providing assistance to victims; and</w:t>
      </w:r>
    </w:p>
    <w:p w:rsidR="00B454FB" w:rsidRPr="00D61C8A" w:rsidRDefault="00B454FB" w:rsidP="00B454FB">
      <w:pPr>
        <w:tabs>
          <w:tab w:val="left" w:pos="1703"/>
        </w:tabs>
        <w:rPr>
          <w:rFonts w:ascii="Calibri" w:hAnsi="Calibri"/>
          <w:b/>
          <w:sz w:val="20"/>
          <w:szCs w:val="20"/>
        </w:rPr>
      </w:pPr>
      <w:r w:rsidRPr="00D61C8A">
        <w:rPr>
          <w:rFonts w:ascii="Calibri" w:hAnsi="Calibri"/>
          <w:sz w:val="20"/>
          <w:szCs w:val="20"/>
        </w:rPr>
        <w:t>3) Disseminate reliable information on incidents to MA stakeholders to improve VA and MRE.</w:t>
      </w:r>
      <w:r w:rsidRPr="00D61C8A">
        <w:rPr>
          <w:rStyle w:val="EndnoteReference"/>
          <w:rFonts w:ascii="Calibri" w:hAnsi="Calibri"/>
          <w:sz w:val="20"/>
          <w:szCs w:val="20"/>
        </w:rPr>
        <w:endnoteReference w:id="106"/>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V.A.1.c</w:t>
      </w:r>
      <w:r>
        <w:rPr>
          <w:rFonts w:ascii="Calibri" w:hAnsi="Calibri"/>
          <w:sz w:val="20"/>
          <w:szCs w:val="20"/>
        </w:rPr>
        <w:tab/>
      </w:r>
      <w:r>
        <w:rPr>
          <w:rFonts w:ascii="Calibri" w:hAnsi="Calibri"/>
          <w:sz w:val="20"/>
          <w:szCs w:val="20"/>
        </w:rPr>
        <w:tab/>
      </w:r>
      <w:r w:rsidRPr="00D61C8A">
        <w:rPr>
          <w:rFonts w:ascii="Calibri" w:hAnsi="Calibri"/>
          <w:sz w:val="20"/>
          <w:szCs w:val="20"/>
        </w:rPr>
        <w:t>Data uses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INSEC, UNICEF, members of the MAJWG</w:t>
      </w:r>
      <w:r w:rsidRPr="00D61C8A">
        <w:rPr>
          <w:rStyle w:val="EndnoteReference"/>
          <w:rFonts w:ascii="Calibri" w:hAnsi="Calibri"/>
          <w:sz w:val="20"/>
          <w:szCs w:val="20"/>
        </w:rPr>
        <w:endnoteReference w:id="107"/>
      </w:r>
      <w:r w:rsidRPr="00D61C8A">
        <w:rPr>
          <w:rFonts w:ascii="Calibri" w:hAnsi="Calibri"/>
          <w:sz w:val="20"/>
          <w:szCs w:val="20"/>
        </w:rPr>
        <w:t xml:space="preserve"> and other partners have used data collected by the surveillance system to plan, conduct and improve many MA activities:</w:t>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Selection and prioritization of communities for MRE</w:t>
      </w:r>
      <w:r>
        <w:rPr>
          <w:rFonts w:ascii="Calibri" w:hAnsi="Calibri"/>
          <w:sz w:val="20"/>
          <w:szCs w:val="20"/>
        </w:rPr>
        <w:t>;</w:t>
      </w:r>
      <w:r w:rsidRPr="00D61C8A">
        <w:rPr>
          <w:rStyle w:val="EndnoteReference"/>
          <w:rFonts w:ascii="Calibri" w:hAnsi="Calibri"/>
          <w:sz w:val="20"/>
          <w:szCs w:val="20"/>
        </w:rPr>
        <w:endnoteReference w:id="108"/>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Referral of injur</w:t>
      </w:r>
      <w:r>
        <w:rPr>
          <w:rFonts w:ascii="Calibri" w:hAnsi="Calibri"/>
          <w:sz w:val="20"/>
          <w:szCs w:val="20"/>
        </w:rPr>
        <w:t>ed individual</w:t>
      </w:r>
      <w:r w:rsidRPr="00D61C8A">
        <w:rPr>
          <w:rFonts w:ascii="Calibri" w:hAnsi="Calibri"/>
          <w:sz w:val="20"/>
          <w:szCs w:val="20"/>
        </w:rPr>
        <w:t>s to VA services and improvement of these services</w:t>
      </w:r>
      <w:r>
        <w:rPr>
          <w:rFonts w:ascii="Calibri" w:hAnsi="Calibri"/>
          <w:sz w:val="20"/>
          <w:szCs w:val="20"/>
        </w:rPr>
        <w:t>;</w:t>
      </w:r>
      <w:r w:rsidRPr="00D61C8A">
        <w:rPr>
          <w:rStyle w:val="EndnoteReference"/>
          <w:rFonts w:ascii="Calibri" w:hAnsi="Calibri"/>
          <w:sz w:val="20"/>
          <w:szCs w:val="20"/>
        </w:rPr>
        <w:endnoteReference w:id="109"/>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 xml:space="preserve">Provision of data to local </w:t>
      </w:r>
      <w:r>
        <w:rPr>
          <w:rFonts w:ascii="Calibri" w:hAnsi="Calibri"/>
          <w:sz w:val="20"/>
          <w:szCs w:val="20"/>
        </w:rPr>
        <w:t xml:space="preserve">government </w:t>
      </w:r>
      <w:r w:rsidRPr="00D61C8A">
        <w:rPr>
          <w:rFonts w:ascii="Calibri" w:hAnsi="Calibri"/>
          <w:sz w:val="20"/>
          <w:szCs w:val="20"/>
        </w:rPr>
        <w:t xml:space="preserve">security forces for </w:t>
      </w:r>
      <w:r>
        <w:rPr>
          <w:rFonts w:ascii="Calibri" w:hAnsi="Calibri"/>
          <w:sz w:val="20"/>
          <w:szCs w:val="20"/>
        </w:rPr>
        <w:t xml:space="preserve">the </w:t>
      </w:r>
      <w:r w:rsidRPr="00D61C8A">
        <w:rPr>
          <w:rFonts w:ascii="Calibri" w:hAnsi="Calibri"/>
          <w:sz w:val="20"/>
          <w:szCs w:val="20"/>
        </w:rPr>
        <w:t>marking and fencing of areas in which incidents occur</w:t>
      </w:r>
      <w:r>
        <w:rPr>
          <w:rFonts w:ascii="Calibri" w:hAnsi="Calibri"/>
          <w:sz w:val="20"/>
          <w:szCs w:val="20"/>
        </w:rPr>
        <w:t>;</w:t>
      </w:r>
      <w:r w:rsidRPr="00D61C8A">
        <w:rPr>
          <w:rStyle w:val="EndnoteReference"/>
          <w:rFonts w:ascii="Calibri" w:hAnsi="Calibri"/>
          <w:sz w:val="20"/>
          <w:szCs w:val="20"/>
        </w:rPr>
        <w:endnoteReference w:id="110"/>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 xml:space="preserve">Provision of data to the NA </w:t>
      </w:r>
      <w:r>
        <w:rPr>
          <w:rFonts w:ascii="Calibri" w:hAnsi="Calibri"/>
          <w:sz w:val="20"/>
          <w:szCs w:val="20"/>
        </w:rPr>
        <w:t>to guide</w:t>
      </w:r>
      <w:r w:rsidRPr="00D61C8A">
        <w:rPr>
          <w:rFonts w:ascii="Calibri" w:hAnsi="Calibri"/>
          <w:sz w:val="20"/>
          <w:szCs w:val="20"/>
        </w:rPr>
        <w:t xml:space="preserve"> </w:t>
      </w:r>
      <w:r>
        <w:rPr>
          <w:rFonts w:ascii="Calibri" w:hAnsi="Calibri"/>
          <w:sz w:val="20"/>
          <w:szCs w:val="20"/>
        </w:rPr>
        <w:t>prioritization of</w:t>
      </w:r>
      <w:r w:rsidRPr="00D61C8A">
        <w:rPr>
          <w:rFonts w:ascii="Calibri" w:hAnsi="Calibri"/>
          <w:sz w:val="20"/>
          <w:szCs w:val="20"/>
        </w:rPr>
        <w:t xml:space="preserve"> minefields for clearance</w:t>
      </w:r>
      <w:r>
        <w:rPr>
          <w:rFonts w:ascii="Calibri" w:hAnsi="Calibri"/>
          <w:sz w:val="20"/>
          <w:szCs w:val="20"/>
        </w:rPr>
        <w:t>;</w:t>
      </w:r>
      <w:r w:rsidRPr="00D61C8A">
        <w:rPr>
          <w:rStyle w:val="EndnoteReference"/>
          <w:rFonts w:ascii="Calibri" w:hAnsi="Calibri"/>
          <w:sz w:val="20"/>
          <w:szCs w:val="20"/>
        </w:rPr>
        <w:endnoteReference w:id="111"/>
      </w:r>
    </w:p>
    <w:p w:rsidR="00B454FB" w:rsidRDefault="00B454FB" w:rsidP="00B454FB">
      <w:pPr>
        <w:pStyle w:val="ColorfulList-Accent11"/>
        <w:numPr>
          <w:ilvl w:val="0"/>
          <w:numId w:val="8"/>
        </w:numPr>
        <w:rPr>
          <w:rFonts w:ascii="Calibri" w:hAnsi="Calibri"/>
          <w:sz w:val="20"/>
          <w:szCs w:val="20"/>
        </w:rPr>
      </w:pPr>
      <w:r>
        <w:rPr>
          <w:rFonts w:ascii="Calibri" w:hAnsi="Calibri"/>
          <w:sz w:val="20"/>
          <w:szCs w:val="20"/>
        </w:rPr>
        <w:t>Advocacy for the acknowledgement of the ED problem in Nepal,</w:t>
      </w:r>
      <w:r>
        <w:rPr>
          <w:rStyle w:val="EndnoteReference"/>
          <w:rFonts w:ascii="Calibri" w:hAnsi="Calibri"/>
          <w:sz w:val="20"/>
          <w:szCs w:val="20"/>
        </w:rPr>
        <w:endnoteReference w:id="112"/>
      </w:r>
      <w:r>
        <w:rPr>
          <w:rFonts w:ascii="Calibri" w:hAnsi="Calibri"/>
          <w:sz w:val="20"/>
          <w:szCs w:val="20"/>
        </w:rPr>
        <w:t xml:space="preserve"> inclusion of ED concerns in peace agreements,</w:t>
      </w:r>
      <w:r>
        <w:rPr>
          <w:rStyle w:val="EndnoteReference"/>
          <w:rFonts w:ascii="Calibri" w:hAnsi="Calibri"/>
          <w:sz w:val="20"/>
          <w:szCs w:val="20"/>
        </w:rPr>
        <w:endnoteReference w:id="113"/>
      </w:r>
      <w:r>
        <w:rPr>
          <w:rFonts w:ascii="Calibri" w:hAnsi="Calibri"/>
          <w:sz w:val="20"/>
          <w:szCs w:val="20"/>
        </w:rPr>
        <w:t xml:space="preserve"> Nepal’s participation in international humanitarian laws restricting the use of ED,</w:t>
      </w:r>
      <w:r w:rsidRPr="00D61C8A">
        <w:rPr>
          <w:rStyle w:val="EndnoteReference"/>
          <w:rFonts w:ascii="Calibri" w:hAnsi="Calibri"/>
          <w:sz w:val="20"/>
          <w:szCs w:val="20"/>
        </w:rPr>
        <w:endnoteReference w:id="114"/>
      </w:r>
      <w:r>
        <w:rPr>
          <w:rFonts w:ascii="Calibri" w:hAnsi="Calibri"/>
          <w:sz w:val="20"/>
          <w:szCs w:val="20"/>
        </w:rPr>
        <w:t xml:space="preserve"> and MA funding from potential donors;</w:t>
      </w:r>
      <w:r>
        <w:rPr>
          <w:rStyle w:val="EndnoteReference"/>
          <w:rFonts w:ascii="Calibri" w:hAnsi="Calibri"/>
          <w:sz w:val="20"/>
          <w:szCs w:val="20"/>
        </w:rPr>
        <w:endnoteReference w:id="115"/>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Publication and dissemination of regular INSEC reports (see Section V.A.2.d</w:t>
      </w:r>
      <w:r>
        <w:rPr>
          <w:rFonts w:ascii="Calibri" w:hAnsi="Calibri"/>
          <w:sz w:val="20"/>
          <w:szCs w:val="20"/>
        </w:rPr>
        <w:t xml:space="preserve"> (</w:t>
      </w:r>
      <w:r w:rsidRPr="00D61C8A">
        <w:rPr>
          <w:rFonts w:ascii="Calibri" w:hAnsi="Calibri"/>
          <w:sz w:val="20"/>
          <w:szCs w:val="20"/>
        </w:rPr>
        <w:t>8</w:t>
      </w:r>
      <w:r w:rsidRPr="00F95707">
        <w:rPr>
          <w:rFonts w:ascii="Calibri" w:hAnsi="Calibri"/>
          <w:sz w:val="20"/>
          <w:szCs w:val="20"/>
        </w:rPr>
        <w:t>)</w:t>
      </w:r>
      <w:r w:rsidRPr="00D61C8A">
        <w:rPr>
          <w:rFonts w:ascii="Calibri" w:hAnsi="Calibri"/>
          <w:sz w:val="20"/>
          <w:szCs w:val="20"/>
        </w:rPr>
        <w:t>)</w:t>
      </w:r>
      <w:r>
        <w:rPr>
          <w:rFonts w:ascii="Calibri" w:hAnsi="Calibri"/>
          <w:sz w:val="20"/>
          <w:szCs w:val="20"/>
        </w:rPr>
        <w:t>;</w:t>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Contributions to INSEC’s annual Human Rights Yearbook publications, INSEConline’s daily human rights reporting</w:t>
      </w:r>
      <w:r w:rsidRPr="00D61C8A">
        <w:rPr>
          <w:rStyle w:val="EndnoteReference"/>
          <w:rFonts w:ascii="Calibri" w:hAnsi="Calibri"/>
          <w:sz w:val="20"/>
          <w:szCs w:val="20"/>
        </w:rPr>
        <w:endnoteReference w:id="116"/>
      </w:r>
      <w:r w:rsidRPr="00D61C8A">
        <w:rPr>
          <w:rFonts w:ascii="Calibri" w:hAnsi="Calibri"/>
          <w:sz w:val="20"/>
          <w:szCs w:val="20"/>
        </w:rPr>
        <w:t xml:space="preserve"> and Landmine Monitor reports</w:t>
      </w:r>
      <w:r>
        <w:rPr>
          <w:rFonts w:ascii="Calibri" w:hAnsi="Calibri"/>
          <w:sz w:val="20"/>
          <w:szCs w:val="20"/>
        </w:rPr>
        <w:t>;</w:t>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Guidance for UNICEF’s ED briefings for internal and external partners</w:t>
      </w:r>
      <w:r>
        <w:rPr>
          <w:rFonts w:ascii="Calibri" w:hAnsi="Calibri"/>
          <w:sz w:val="20"/>
          <w:szCs w:val="20"/>
        </w:rPr>
        <w:t>;</w:t>
      </w:r>
    </w:p>
    <w:p w:rsidR="00B454FB" w:rsidRPr="00D61C8A"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Contributions to ED incident and injury mapping activities conducted by UNICEF and the UN Office for the Coordination of Humanitarian Affairs</w:t>
      </w:r>
      <w:r>
        <w:rPr>
          <w:rFonts w:ascii="Calibri" w:hAnsi="Calibri"/>
          <w:sz w:val="20"/>
          <w:szCs w:val="20"/>
        </w:rPr>
        <w:t>;</w:t>
      </w:r>
      <w:r w:rsidRPr="00D61C8A">
        <w:rPr>
          <w:rStyle w:val="EndnoteReference"/>
          <w:rFonts w:ascii="Calibri" w:hAnsi="Calibri"/>
          <w:sz w:val="20"/>
          <w:szCs w:val="20"/>
        </w:rPr>
        <w:endnoteReference w:id="117"/>
      </w:r>
      <w:r>
        <w:rPr>
          <w:rFonts w:ascii="Calibri" w:hAnsi="Calibri"/>
          <w:sz w:val="20"/>
          <w:szCs w:val="20"/>
        </w:rPr>
        <w:t xml:space="preserve"> and</w:t>
      </w:r>
    </w:p>
    <w:p w:rsidR="00B454FB" w:rsidRPr="00EC06C8" w:rsidRDefault="00B454FB" w:rsidP="00B454FB">
      <w:pPr>
        <w:pStyle w:val="ColorfulList-Accent11"/>
        <w:numPr>
          <w:ilvl w:val="0"/>
          <w:numId w:val="8"/>
        </w:numPr>
        <w:rPr>
          <w:rFonts w:ascii="Calibri" w:hAnsi="Calibri"/>
          <w:sz w:val="20"/>
          <w:szCs w:val="20"/>
        </w:rPr>
      </w:pPr>
      <w:r w:rsidRPr="00D61C8A">
        <w:rPr>
          <w:rFonts w:ascii="Calibri" w:hAnsi="Calibri"/>
          <w:sz w:val="20"/>
          <w:szCs w:val="20"/>
        </w:rPr>
        <w:t>Provision of data to both parties of the conflict, UNMIN and the UN D</w:t>
      </w:r>
      <w:r>
        <w:rPr>
          <w:rFonts w:ascii="Calibri" w:hAnsi="Calibri"/>
          <w:sz w:val="20"/>
          <w:szCs w:val="20"/>
        </w:rPr>
        <w:t xml:space="preserve">epartment of </w:t>
      </w:r>
      <w:r w:rsidRPr="00D61C8A">
        <w:rPr>
          <w:rFonts w:ascii="Calibri" w:hAnsi="Calibri"/>
          <w:sz w:val="20"/>
          <w:szCs w:val="20"/>
        </w:rPr>
        <w:t>P</w:t>
      </w:r>
      <w:r>
        <w:rPr>
          <w:rFonts w:ascii="Calibri" w:hAnsi="Calibri"/>
          <w:sz w:val="20"/>
          <w:szCs w:val="20"/>
        </w:rPr>
        <w:t xml:space="preserve">eacekeeping </w:t>
      </w:r>
      <w:r w:rsidRPr="00D61C8A">
        <w:rPr>
          <w:rFonts w:ascii="Calibri" w:hAnsi="Calibri"/>
          <w:sz w:val="20"/>
          <w:szCs w:val="20"/>
        </w:rPr>
        <w:t>O</w:t>
      </w:r>
      <w:r>
        <w:rPr>
          <w:rFonts w:ascii="Calibri" w:hAnsi="Calibri"/>
          <w:sz w:val="20"/>
          <w:szCs w:val="20"/>
        </w:rPr>
        <w:t xml:space="preserve">perations </w:t>
      </w:r>
      <w:r w:rsidRPr="00D61C8A">
        <w:rPr>
          <w:rFonts w:ascii="Calibri" w:hAnsi="Calibri"/>
          <w:sz w:val="20"/>
          <w:szCs w:val="20"/>
        </w:rPr>
        <w:t xml:space="preserve">assessment team </w:t>
      </w:r>
      <w:r>
        <w:rPr>
          <w:rFonts w:ascii="Calibri" w:hAnsi="Calibri"/>
          <w:sz w:val="20"/>
          <w:szCs w:val="20"/>
        </w:rPr>
        <w:t>to highlight</w:t>
      </w:r>
      <w:r w:rsidRPr="00D61C8A">
        <w:rPr>
          <w:rFonts w:ascii="Calibri" w:hAnsi="Calibri"/>
          <w:sz w:val="20"/>
          <w:szCs w:val="20"/>
        </w:rPr>
        <w:t xml:space="preserve"> the issue of </w:t>
      </w:r>
      <w:r>
        <w:rPr>
          <w:rFonts w:ascii="Calibri" w:hAnsi="Calibri"/>
          <w:sz w:val="20"/>
          <w:szCs w:val="20"/>
        </w:rPr>
        <w:t xml:space="preserve">ED in </w:t>
      </w:r>
      <w:r w:rsidRPr="00D61C8A">
        <w:rPr>
          <w:rFonts w:ascii="Calibri" w:hAnsi="Calibri"/>
          <w:sz w:val="20"/>
          <w:szCs w:val="20"/>
        </w:rPr>
        <w:t xml:space="preserve">preparation </w:t>
      </w:r>
      <w:r>
        <w:rPr>
          <w:rFonts w:ascii="Calibri" w:hAnsi="Calibri"/>
          <w:sz w:val="20"/>
          <w:szCs w:val="20"/>
        </w:rPr>
        <w:t>for</w:t>
      </w:r>
      <w:r w:rsidRPr="00D61C8A">
        <w:rPr>
          <w:rFonts w:ascii="Calibri" w:hAnsi="Calibri"/>
          <w:sz w:val="20"/>
          <w:szCs w:val="20"/>
        </w:rPr>
        <w:t xml:space="preserve"> the </w:t>
      </w:r>
      <w:r>
        <w:rPr>
          <w:rFonts w:ascii="Calibri" w:hAnsi="Calibri"/>
          <w:sz w:val="20"/>
          <w:szCs w:val="20"/>
        </w:rPr>
        <w:t>CPA, AMMAA</w:t>
      </w:r>
      <w:r w:rsidRPr="00D61C8A">
        <w:rPr>
          <w:rFonts w:ascii="Calibri" w:hAnsi="Calibri"/>
          <w:sz w:val="20"/>
          <w:szCs w:val="20"/>
        </w:rPr>
        <w:t xml:space="preserve"> and the </w:t>
      </w:r>
      <w:r>
        <w:rPr>
          <w:rFonts w:ascii="Calibri" w:hAnsi="Calibri"/>
          <w:sz w:val="20"/>
          <w:szCs w:val="20"/>
        </w:rPr>
        <w:t xml:space="preserve">UN </w:t>
      </w:r>
      <w:r w:rsidRPr="00D61C8A">
        <w:rPr>
          <w:rFonts w:ascii="Calibri" w:hAnsi="Calibri"/>
          <w:sz w:val="20"/>
          <w:szCs w:val="20"/>
        </w:rPr>
        <w:t>Secretary</w:t>
      </w:r>
      <w:r>
        <w:rPr>
          <w:rFonts w:ascii="Calibri" w:hAnsi="Calibri"/>
          <w:sz w:val="20"/>
          <w:szCs w:val="20"/>
        </w:rPr>
        <w:t>-</w:t>
      </w:r>
      <w:r w:rsidRPr="00D61C8A">
        <w:rPr>
          <w:rFonts w:ascii="Calibri" w:hAnsi="Calibri"/>
          <w:sz w:val="20"/>
          <w:szCs w:val="20"/>
        </w:rPr>
        <w:t>General</w:t>
      </w:r>
      <w:r>
        <w:rPr>
          <w:rFonts w:ascii="Calibri" w:hAnsi="Calibri"/>
          <w:sz w:val="20"/>
          <w:szCs w:val="20"/>
        </w:rPr>
        <w:t>’s report on Nepal’s request for UN assistance in its peace process</w:t>
      </w:r>
      <w:r w:rsidRPr="00D61C8A">
        <w:rPr>
          <w:rFonts w:ascii="Calibri" w:hAnsi="Calibri"/>
          <w:sz w:val="20"/>
          <w:szCs w:val="20"/>
        </w:rPr>
        <w:t>.</w:t>
      </w:r>
      <w:r>
        <w:rPr>
          <w:rStyle w:val="EndnoteReference"/>
          <w:rFonts w:ascii="Calibri" w:hAnsi="Calibri"/>
          <w:sz w:val="20"/>
          <w:szCs w:val="20"/>
        </w:rPr>
        <w:endnoteReference w:id="118"/>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V.A.2</w:t>
      </w:r>
      <w:r>
        <w:rPr>
          <w:rFonts w:ascii="Calibri" w:hAnsi="Calibri"/>
          <w:sz w:val="20"/>
          <w:szCs w:val="20"/>
        </w:rPr>
        <w:tab/>
      </w:r>
      <w:r>
        <w:rPr>
          <w:rFonts w:ascii="Calibri" w:hAnsi="Calibri"/>
          <w:sz w:val="20"/>
          <w:szCs w:val="20"/>
        </w:rPr>
        <w:tab/>
      </w:r>
      <w:r w:rsidRPr="00D61C8A">
        <w:rPr>
          <w:rFonts w:ascii="Calibri" w:hAnsi="Calibri"/>
          <w:sz w:val="20"/>
          <w:szCs w:val="20"/>
        </w:rPr>
        <w:t>Operation of the surveillance system</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V.A.2.a</w:t>
      </w:r>
      <w:r>
        <w:rPr>
          <w:rFonts w:ascii="Calibri" w:hAnsi="Calibri"/>
          <w:sz w:val="20"/>
          <w:szCs w:val="20"/>
        </w:rPr>
        <w:tab/>
      </w:r>
      <w:r>
        <w:rPr>
          <w:rFonts w:ascii="Calibri" w:hAnsi="Calibri"/>
          <w:sz w:val="20"/>
          <w:szCs w:val="20"/>
        </w:rPr>
        <w:tab/>
      </w:r>
      <w:r w:rsidRPr="00D61C8A">
        <w:rPr>
          <w:rFonts w:ascii="Calibri" w:hAnsi="Calibri"/>
          <w:sz w:val="20"/>
          <w:szCs w:val="20"/>
        </w:rPr>
        <w:t>Description of the health-related event under surveillance</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The VAE injury surveillance system is designed to capture all civilian </w:t>
      </w:r>
      <w:r>
        <w:rPr>
          <w:rFonts w:ascii="Calibri" w:hAnsi="Calibri"/>
          <w:sz w:val="20"/>
          <w:szCs w:val="20"/>
        </w:rPr>
        <w:t>injuries due to</w:t>
      </w:r>
      <w:r w:rsidRPr="00D61C8A">
        <w:rPr>
          <w:rFonts w:ascii="Calibri" w:hAnsi="Calibri"/>
          <w:sz w:val="20"/>
          <w:szCs w:val="20"/>
        </w:rPr>
        <w:t xml:space="preserve"> VAE in Nepal.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Between 2004 and 2006, UNICEF worked with the MRE Working Group (now MAJWG) and a group of journalists to define uniform term</w:t>
      </w:r>
      <w:r>
        <w:rPr>
          <w:rFonts w:ascii="Calibri" w:hAnsi="Calibri"/>
          <w:sz w:val="20"/>
          <w:szCs w:val="20"/>
        </w:rPr>
        <w:t>s</w:t>
      </w:r>
      <w:r w:rsidRPr="00D61C8A">
        <w:rPr>
          <w:rFonts w:ascii="Calibri" w:hAnsi="Calibri"/>
          <w:sz w:val="20"/>
          <w:szCs w:val="20"/>
        </w:rPr>
        <w:t xml:space="preserve"> and case definitions for the surveillance system.</w:t>
      </w:r>
      <w:r w:rsidRPr="00D61C8A">
        <w:rPr>
          <w:rStyle w:val="EndnoteReference"/>
          <w:rFonts w:ascii="Calibri" w:hAnsi="Calibri"/>
          <w:sz w:val="20"/>
          <w:szCs w:val="20"/>
        </w:rPr>
        <w:endnoteReference w:id="119"/>
      </w:r>
      <w:r w:rsidRPr="00D61C8A">
        <w:rPr>
          <w:rFonts w:ascii="Calibri" w:hAnsi="Calibri"/>
          <w:sz w:val="20"/>
          <w:szCs w:val="20"/>
        </w:rPr>
        <w:t xml:space="preserve">  Most of the resulting inclusion and exclusion criteria for cases have changed little since 2006, as is evident in the text below</w:t>
      </w:r>
      <w:r>
        <w:rPr>
          <w:rFonts w:ascii="Calibri" w:hAnsi="Calibri"/>
          <w:sz w:val="20"/>
          <w:szCs w:val="20"/>
        </w:rPr>
        <w:t xml:space="preserve"> (</w:t>
      </w:r>
      <w:r w:rsidRPr="00B57076">
        <w:rPr>
          <w:rFonts w:ascii="Calibri" w:hAnsi="Calibri"/>
          <w:sz w:val="20"/>
          <w:szCs w:val="20"/>
          <w:u w:val="single"/>
        </w:rPr>
        <w:t>u</w:t>
      </w:r>
      <w:r w:rsidRPr="00D61C8A">
        <w:rPr>
          <w:rFonts w:ascii="Calibri" w:hAnsi="Calibri"/>
          <w:sz w:val="20"/>
          <w:szCs w:val="20"/>
          <w:u w:val="single"/>
        </w:rPr>
        <w:t>nderlined text</w:t>
      </w:r>
      <w:r w:rsidRPr="00D61C8A">
        <w:rPr>
          <w:rFonts w:ascii="Calibri" w:hAnsi="Calibri"/>
          <w:sz w:val="20"/>
          <w:szCs w:val="20"/>
        </w:rPr>
        <w:t xml:space="preserve"> was present in </w:t>
      </w:r>
      <w:r>
        <w:rPr>
          <w:rFonts w:ascii="Calibri" w:hAnsi="Calibri"/>
          <w:sz w:val="20"/>
          <w:szCs w:val="20"/>
        </w:rPr>
        <w:t>the first</w:t>
      </w:r>
      <w:r w:rsidRPr="00D61C8A">
        <w:rPr>
          <w:rFonts w:ascii="Calibri" w:hAnsi="Calibri"/>
          <w:sz w:val="20"/>
          <w:szCs w:val="20"/>
        </w:rPr>
        <w:t xml:space="preserve"> </w:t>
      </w:r>
      <w:r>
        <w:rPr>
          <w:rFonts w:ascii="Calibri" w:hAnsi="Calibri"/>
          <w:sz w:val="20"/>
          <w:szCs w:val="20"/>
        </w:rPr>
        <w:t xml:space="preserve">(May 2006) </w:t>
      </w:r>
      <w:r w:rsidRPr="00D61C8A">
        <w:rPr>
          <w:rFonts w:ascii="Calibri" w:hAnsi="Calibri"/>
          <w:sz w:val="20"/>
          <w:szCs w:val="20"/>
        </w:rPr>
        <w:t>INSEC report</w:t>
      </w:r>
      <w:r>
        <w:rPr>
          <w:rStyle w:val="EndnoteReference"/>
          <w:rFonts w:ascii="Calibri" w:hAnsi="Calibri"/>
          <w:sz w:val="20"/>
          <w:szCs w:val="20"/>
        </w:rPr>
        <w:endnoteReference w:id="120"/>
      </w:r>
      <w:r>
        <w:rPr>
          <w:rFonts w:ascii="Calibri" w:hAnsi="Calibri"/>
          <w:sz w:val="20"/>
          <w:szCs w:val="20"/>
        </w:rPr>
        <w:t xml:space="preserve"> </w:t>
      </w:r>
      <w:r w:rsidRPr="00D61C8A">
        <w:rPr>
          <w:rFonts w:ascii="Calibri" w:hAnsi="Calibri"/>
          <w:sz w:val="20"/>
          <w:szCs w:val="20"/>
        </w:rPr>
        <w:t>but has since changed</w:t>
      </w:r>
      <w:r>
        <w:rPr>
          <w:rFonts w:ascii="Calibri" w:hAnsi="Calibri"/>
          <w:sz w:val="20"/>
          <w:szCs w:val="20"/>
        </w:rPr>
        <w:t xml:space="preserve">; </w:t>
      </w:r>
      <w:r w:rsidRPr="00B57076">
        <w:rPr>
          <w:rFonts w:ascii="Calibri" w:hAnsi="Calibri"/>
          <w:i/>
          <w:sz w:val="20"/>
          <w:szCs w:val="20"/>
        </w:rPr>
        <w:t>i</w:t>
      </w:r>
      <w:r w:rsidRPr="00D61C8A">
        <w:rPr>
          <w:rFonts w:ascii="Calibri" w:hAnsi="Calibri"/>
          <w:i/>
          <w:sz w:val="20"/>
          <w:szCs w:val="20"/>
        </w:rPr>
        <w:t>talicized text</w:t>
      </w:r>
      <w:r w:rsidRPr="00D61C8A">
        <w:rPr>
          <w:rFonts w:ascii="Calibri" w:hAnsi="Calibri"/>
          <w:sz w:val="20"/>
          <w:szCs w:val="20"/>
        </w:rPr>
        <w:t xml:space="preserve"> indicates updated language used in the most recent </w:t>
      </w:r>
      <w:r>
        <w:rPr>
          <w:rFonts w:ascii="Calibri" w:hAnsi="Calibri"/>
          <w:sz w:val="20"/>
          <w:szCs w:val="20"/>
        </w:rPr>
        <w:t xml:space="preserve">(July 2010) </w:t>
      </w:r>
      <w:r w:rsidRPr="00D61C8A">
        <w:rPr>
          <w:rFonts w:ascii="Calibri" w:hAnsi="Calibri"/>
          <w:sz w:val="20"/>
          <w:szCs w:val="20"/>
        </w:rPr>
        <w:t>report</w:t>
      </w:r>
      <w:r>
        <w:rPr>
          <w:rFonts w:ascii="Calibri" w:hAnsi="Calibri"/>
          <w:sz w:val="20"/>
          <w:szCs w:val="20"/>
        </w:rPr>
        <w:t>)</w:t>
      </w:r>
      <w:r w:rsidRPr="00D61C8A">
        <w:rPr>
          <w:rFonts w:ascii="Calibri" w:hAnsi="Calibri"/>
          <w:sz w:val="20"/>
          <w:szCs w:val="20"/>
        </w:rPr>
        <w:t>.</w:t>
      </w:r>
      <w:r w:rsidRPr="00D61C8A">
        <w:rPr>
          <w:rStyle w:val="EndnoteReference"/>
          <w:rFonts w:ascii="Calibri" w:hAnsi="Calibri"/>
          <w:sz w:val="20"/>
          <w:szCs w:val="20"/>
        </w:rPr>
        <w:endnoteReference w:id="121"/>
      </w:r>
      <w:r w:rsidRPr="00D61C8A">
        <w:rPr>
          <w:rFonts w:ascii="Calibri" w:hAnsi="Calibri"/>
          <w:sz w:val="20"/>
          <w:szCs w:val="20"/>
        </w:rPr>
        <w:t xml:space="preserve"> </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8"/>
          <w:szCs w:val="28"/>
        </w:rPr>
      </w:pPr>
      <w:r w:rsidRPr="00D61C8A">
        <w:rPr>
          <w:rFonts w:ascii="Calibri" w:hAnsi="Calibri"/>
          <w:b/>
          <w:bCs/>
          <w:sz w:val="28"/>
          <w:szCs w:val="28"/>
        </w:rPr>
        <w:t>Case Definition:</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cs="Arial"/>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Arial"/>
          <w:sz w:val="20"/>
          <w:szCs w:val="20"/>
        </w:rPr>
        <w:t xml:space="preserve">A </w:t>
      </w:r>
      <w:r w:rsidRPr="00D61C8A">
        <w:rPr>
          <w:rFonts w:ascii="Calibri" w:hAnsi="Calibri" w:cs="Arial"/>
          <w:sz w:val="20"/>
          <w:szCs w:val="20"/>
          <w:u w:val="single"/>
        </w:rPr>
        <w:t>civilian</w:t>
      </w:r>
      <w:r w:rsidRPr="00D61C8A">
        <w:rPr>
          <w:rFonts w:ascii="Calibri" w:hAnsi="Calibri" w:cs="Arial"/>
          <w:sz w:val="20"/>
          <w:szCs w:val="20"/>
        </w:rPr>
        <w:t xml:space="preserve"> casualty of victim-activated explosion is described by the following sets of inclusive and exclusive criteria:</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cs="Arial"/>
          <w:b/>
          <w:bCs/>
          <w:i/>
          <w:iCs/>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Arial"/>
          <w:b/>
          <w:bCs/>
          <w:iCs/>
          <w:sz w:val="20"/>
          <w:szCs w:val="20"/>
        </w:rPr>
        <w:t>Inclusive criteria</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(Civilians)</w:t>
      </w:r>
      <w:r w:rsidRPr="00D61C8A">
        <w:rPr>
          <w:rFonts w:ascii="Calibri" w:hAnsi="Calibri" w:cs="Arial"/>
          <w:sz w:val="20"/>
          <w:szCs w:val="20"/>
        </w:rPr>
        <w:t xml:space="preserve"> injured or killed in Nepal </w:t>
      </w:r>
      <w:r w:rsidRPr="00D61C8A">
        <w:rPr>
          <w:rFonts w:ascii="Calibri" w:hAnsi="Calibri" w:cs="Arial"/>
          <w:i/>
          <w:sz w:val="20"/>
          <w:szCs w:val="20"/>
        </w:rPr>
        <w:t>(since 1st January 2009)</w:t>
      </w:r>
      <w:r w:rsidRPr="00D61C8A">
        <w:rPr>
          <w:rFonts w:ascii="Calibri" w:hAnsi="Calibri" w:cs="Arial"/>
          <w:sz w:val="20"/>
          <w:szCs w:val="20"/>
        </w:rPr>
        <w:t xml:space="preserve"> when they activated an Explosive</w:t>
      </w:r>
      <w:r w:rsidRPr="00D61C8A">
        <w:rPr>
          <w:rFonts w:ascii="Calibri" w:hAnsi="Calibri"/>
          <w:sz w:val="20"/>
          <w:szCs w:val="20"/>
        </w:rPr>
        <w:t xml:space="preserve"> </w:t>
      </w:r>
      <w:r w:rsidRPr="00D61C8A">
        <w:rPr>
          <w:rFonts w:ascii="Calibri" w:hAnsi="Calibri" w:cs="Arial"/>
          <w:sz w:val="20"/>
          <w:szCs w:val="20"/>
        </w:rPr>
        <w:t>Device (ED) unknowingly, or without the intention to harm, hurt or terrorize. These EDs are:</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Courier New"/>
          <w:sz w:val="20"/>
          <w:szCs w:val="20"/>
        </w:rPr>
        <w:t xml:space="preserve">       o </w:t>
      </w:r>
      <w:r w:rsidRPr="00D61C8A">
        <w:rPr>
          <w:rFonts w:ascii="Calibri" w:hAnsi="Calibri" w:cs="Arial"/>
          <w:sz w:val="20"/>
          <w:szCs w:val="20"/>
        </w:rPr>
        <w:t>Improvised Explosive Devices (IEDs) including booby-traps</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Courier New"/>
          <w:sz w:val="20"/>
          <w:szCs w:val="20"/>
        </w:rPr>
        <w:t xml:space="preserve">       o </w:t>
      </w:r>
      <w:r w:rsidRPr="00D61C8A">
        <w:rPr>
          <w:rFonts w:ascii="Calibri" w:hAnsi="Calibri" w:cs="Arial"/>
          <w:sz w:val="20"/>
          <w:szCs w:val="20"/>
        </w:rPr>
        <w:t>Antipersonnel Mines</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Courier New"/>
          <w:sz w:val="20"/>
          <w:szCs w:val="20"/>
        </w:rPr>
        <w:t xml:space="preserve">       o </w:t>
      </w:r>
      <w:r w:rsidRPr="00D61C8A">
        <w:rPr>
          <w:rFonts w:ascii="Calibri" w:hAnsi="Calibri" w:cs="Arial"/>
          <w:sz w:val="20"/>
          <w:szCs w:val="20"/>
        </w:rPr>
        <w:t>Other Explosive Munitions and Explosive Remnants of War (Unexploded Ordnance /</w:t>
      </w:r>
      <w:r>
        <w:rPr>
          <w:rFonts w:ascii="Calibri" w:hAnsi="Calibri"/>
          <w:sz w:val="20"/>
          <w:szCs w:val="20"/>
        </w:rPr>
        <w:t xml:space="preserve"> </w:t>
      </w:r>
      <w:r w:rsidRPr="00D61C8A">
        <w:rPr>
          <w:rFonts w:ascii="Calibri" w:hAnsi="Calibri" w:cs="Arial"/>
          <w:sz w:val="20"/>
          <w:szCs w:val="20"/>
        </w:rPr>
        <w:t>Abandoned Ordnance)</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cs="Arial"/>
          <w:sz w:val="20"/>
          <w:szCs w:val="20"/>
        </w:rPr>
      </w:pPr>
      <w:r w:rsidRPr="00D61C8A">
        <w:rPr>
          <w:rFonts w:ascii="Calibri" w:hAnsi="Calibri" w:cs="Arial"/>
          <w:sz w:val="20"/>
          <w:szCs w:val="20"/>
        </w:rPr>
        <w:t>• Casualties who were close to an ED activated by an animal or by ‘natural’ causes (</w:t>
      </w:r>
      <w:r w:rsidRPr="00B952A2">
        <w:rPr>
          <w:rFonts w:ascii="Calibri" w:hAnsi="Calibri" w:cs="Arial"/>
          <w:i/>
          <w:sz w:val="20"/>
          <w:szCs w:val="20"/>
        </w:rPr>
        <w:t>e.g.</w:t>
      </w:r>
      <w:r>
        <w:rPr>
          <w:rFonts w:ascii="Calibri" w:hAnsi="Calibri" w:cs="Arial"/>
          <w:sz w:val="20"/>
          <w:szCs w:val="20"/>
        </w:rPr>
        <w:t>,</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Arial"/>
          <w:sz w:val="20"/>
          <w:szCs w:val="20"/>
        </w:rPr>
        <w:t>lightening (</w:t>
      </w:r>
      <w:r w:rsidRPr="00D61C8A">
        <w:rPr>
          <w:rFonts w:ascii="Calibri" w:hAnsi="Calibri" w:cs="Arial"/>
          <w:i/>
          <w:sz w:val="20"/>
          <w:szCs w:val="20"/>
        </w:rPr>
        <w:t>sic</w:t>
      </w:r>
      <w:r w:rsidRPr="00D61C8A">
        <w:rPr>
          <w:rFonts w:ascii="Calibri" w:hAnsi="Calibri" w:cs="Arial"/>
          <w:sz w:val="20"/>
          <w:szCs w:val="20"/>
        </w:rPr>
        <w:t>),</w:t>
      </w:r>
      <w:r w:rsidRPr="00D61C8A">
        <w:rPr>
          <w:rFonts w:ascii="Calibri" w:hAnsi="Calibri"/>
          <w:sz w:val="20"/>
          <w:szCs w:val="20"/>
        </w:rPr>
        <w:t xml:space="preserve"> </w:t>
      </w:r>
      <w:r w:rsidRPr="00D61C8A">
        <w:rPr>
          <w:rFonts w:ascii="Calibri" w:hAnsi="Calibri" w:cs="Arial"/>
          <w:sz w:val="20"/>
          <w:szCs w:val="20"/>
        </w:rPr>
        <w:t xml:space="preserve">heat, landslide, </w:t>
      </w:r>
      <w:r w:rsidRPr="00D61C8A">
        <w:rPr>
          <w:rFonts w:ascii="Calibri" w:hAnsi="Calibri" w:cs="Arial"/>
          <w:i/>
          <w:sz w:val="20"/>
          <w:szCs w:val="20"/>
        </w:rPr>
        <w:t>radio waves</w:t>
      </w:r>
      <w:r w:rsidRPr="00B57076">
        <w:rPr>
          <w:rFonts w:ascii="Calibri" w:hAnsi="Calibri" w:cs="Arial"/>
          <w:sz w:val="20"/>
          <w:szCs w:val="20"/>
        </w:rPr>
        <w:t>)</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Casualties who were close to those who activated the ED </w:t>
      </w:r>
      <w:r w:rsidRPr="00D61C8A">
        <w:rPr>
          <w:rFonts w:ascii="Calibri" w:hAnsi="Calibri" w:cs="Arial"/>
          <w:i/>
          <w:sz w:val="20"/>
          <w:szCs w:val="20"/>
        </w:rPr>
        <w:t>unknowingly, or without the intention to harm, hurt or terrorize</w:t>
      </w:r>
      <w:r w:rsidRPr="00D61C8A">
        <w:rPr>
          <w:rFonts w:ascii="Calibri" w:hAnsi="Calibri" w:cs="Arial"/>
          <w:sz w:val="20"/>
          <w:szCs w:val="20"/>
        </w:rPr>
        <w:t xml:space="preserve"> (Bystanders)</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Bystanders affected by explosions due to ED manufacturing, transport or storage</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Civilians who were forced by the Security Forces or </w:t>
      </w:r>
      <w:r w:rsidRPr="00D61C8A">
        <w:rPr>
          <w:rFonts w:ascii="Calibri" w:hAnsi="Calibri" w:cs="Arial"/>
          <w:i/>
          <w:sz w:val="20"/>
          <w:szCs w:val="20"/>
        </w:rPr>
        <w:t>(any armed groups / militia)</w:t>
      </w:r>
      <w:r w:rsidRPr="00D61C8A">
        <w:rPr>
          <w:rFonts w:ascii="Calibri" w:hAnsi="Calibri" w:cs="Arial"/>
          <w:sz w:val="20"/>
          <w:szCs w:val="20"/>
        </w:rPr>
        <w:t xml:space="preserve"> </w:t>
      </w:r>
      <w:r w:rsidRPr="00D61C8A">
        <w:rPr>
          <w:rFonts w:ascii="Calibri" w:hAnsi="Calibri" w:cs="Arial"/>
          <w:sz w:val="20"/>
          <w:szCs w:val="20"/>
          <w:u w:val="single"/>
        </w:rPr>
        <w:t>(the Maoists)</w:t>
      </w:r>
      <w:r w:rsidRPr="00D61C8A">
        <w:rPr>
          <w:rFonts w:ascii="Calibri" w:hAnsi="Calibri" w:cs="Arial"/>
          <w:sz w:val="20"/>
          <w:szCs w:val="20"/>
        </w:rPr>
        <w:t xml:space="preserve"> to defuse or remove ED</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b/>
          <w:bCs/>
          <w:i/>
          <w:iCs/>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b/>
          <w:bCs/>
          <w:iCs/>
          <w:sz w:val="20"/>
          <w:szCs w:val="20"/>
        </w:rPr>
      </w:pPr>
      <w:r w:rsidRPr="00D61C8A">
        <w:rPr>
          <w:rFonts w:ascii="Calibri" w:hAnsi="Calibri" w:cs="Arial"/>
          <w:b/>
          <w:bCs/>
          <w:iCs/>
          <w:sz w:val="20"/>
          <w:szCs w:val="20"/>
        </w:rPr>
        <w:t>Exclusive criteria</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Current</w:t>
      </w:r>
      <w:r w:rsidRPr="00D61C8A">
        <w:rPr>
          <w:rFonts w:ascii="Calibri" w:hAnsi="Calibri" w:cs="Arial"/>
          <w:sz w:val="20"/>
          <w:szCs w:val="20"/>
        </w:rPr>
        <w:t xml:space="preserve"> members of - </w:t>
      </w:r>
      <w:r w:rsidRPr="00D61C8A">
        <w:rPr>
          <w:rFonts w:ascii="Calibri" w:hAnsi="Calibri" w:cs="Arial"/>
          <w:i/>
          <w:sz w:val="20"/>
          <w:szCs w:val="20"/>
        </w:rPr>
        <w:t>or affiliated to</w:t>
      </w:r>
      <w:r w:rsidRPr="00D61C8A">
        <w:rPr>
          <w:rFonts w:ascii="Calibri" w:hAnsi="Calibri" w:cs="Arial"/>
          <w:sz w:val="20"/>
          <w:szCs w:val="20"/>
        </w:rPr>
        <w:t xml:space="preserve"> – </w:t>
      </w:r>
      <w:r w:rsidRPr="00D61C8A">
        <w:rPr>
          <w:rFonts w:ascii="Calibri" w:hAnsi="Calibri" w:cs="Arial"/>
          <w:i/>
          <w:sz w:val="20"/>
          <w:szCs w:val="20"/>
        </w:rPr>
        <w:t>(armed groups or militia)</w:t>
      </w:r>
      <w:r w:rsidRPr="00D61C8A">
        <w:rPr>
          <w:rFonts w:ascii="Calibri" w:hAnsi="Calibri" w:cs="Arial"/>
          <w:sz w:val="20"/>
          <w:szCs w:val="20"/>
        </w:rPr>
        <w:t xml:space="preserve"> </w:t>
      </w:r>
      <w:r w:rsidRPr="00D61C8A">
        <w:rPr>
          <w:rFonts w:ascii="Calibri" w:hAnsi="Calibri" w:cs="Arial"/>
          <w:sz w:val="20"/>
          <w:szCs w:val="20"/>
          <w:u w:val="single"/>
        </w:rPr>
        <w:t>(Security Forces or Maoists or persons belonging to a militia (</w:t>
      </w:r>
      <w:r w:rsidRPr="00B952A2">
        <w:rPr>
          <w:rFonts w:ascii="Calibri" w:hAnsi="Calibri" w:cs="Arial"/>
          <w:i/>
          <w:sz w:val="20"/>
          <w:szCs w:val="20"/>
          <w:u w:val="single"/>
        </w:rPr>
        <w:t>e.g.</w:t>
      </w:r>
      <w:r>
        <w:rPr>
          <w:rFonts w:ascii="Calibri" w:hAnsi="Calibri" w:cs="Arial"/>
          <w:sz w:val="20"/>
          <w:szCs w:val="20"/>
          <w:u w:val="single"/>
        </w:rPr>
        <w:t>,</w:t>
      </w:r>
      <w:r w:rsidRPr="00D61C8A">
        <w:rPr>
          <w:rFonts w:ascii="Calibri" w:hAnsi="Calibri" w:cs="Arial"/>
          <w:sz w:val="20"/>
          <w:szCs w:val="20"/>
          <w:u w:val="single"/>
        </w:rPr>
        <w:t xml:space="preserve"> vigilante groups))</w:t>
      </w:r>
      <w:r w:rsidRPr="00D61C8A">
        <w:rPr>
          <w:rFonts w:ascii="Calibri" w:hAnsi="Calibri" w:cs="Arial"/>
          <w:sz w:val="20"/>
          <w:szCs w:val="20"/>
        </w:rPr>
        <w:t xml:space="preserve"> in any situation</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(Victims)</w:t>
      </w:r>
      <w:r w:rsidRPr="00D61C8A">
        <w:rPr>
          <w:rFonts w:ascii="Calibri" w:hAnsi="Calibri" w:cs="Arial"/>
          <w:sz w:val="20"/>
          <w:szCs w:val="20"/>
        </w:rPr>
        <w:t xml:space="preserve"> using the ED for criminal purposes</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(Victims)</w:t>
      </w:r>
      <w:r w:rsidRPr="00D61C8A">
        <w:rPr>
          <w:rFonts w:ascii="Calibri" w:hAnsi="Calibri" w:cs="Arial"/>
          <w:sz w:val="20"/>
          <w:szCs w:val="20"/>
        </w:rPr>
        <w:t xml:space="preserve"> of command-detonated explosions (attack, demolition of infrastructure) including time bombs</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(Victims)</w:t>
      </w:r>
      <w:r w:rsidRPr="00D61C8A">
        <w:rPr>
          <w:rFonts w:ascii="Calibri" w:hAnsi="Calibri" w:cs="Arial"/>
          <w:sz w:val="20"/>
          <w:szCs w:val="20"/>
        </w:rPr>
        <w:t xml:space="preserve"> of hurled socket bombs </w:t>
      </w:r>
      <w:r w:rsidRPr="00D61C8A">
        <w:rPr>
          <w:rFonts w:ascii="Calibri" w:hAnsi="Calibri" w:cs="Arial"/>
          <w:i/>
          <w:sz w:val="20"/>
          <w:szCs w:val="20"/>
        </w:rPr>
        <w:t>(/sutali bombs)</w:t>
      </w:r>
      <w:r w:rsidRPr="00D61C8A">
        <w:rPr>
          <w:rFonts w:ascii="Calibri" w:hAnsi="Calibri" w:cs="Arial"/>
          <w:sz w:val="20"/>
          <w:szCs w:val="20"/>
        </w:rPr>
        <w:t xml:space="preserve"> </w:t>
      </w:r>
      <w:r w:rsidRPr="00D61C8A">
        <w:rPr>
          <w:rFonts w:ascii="Calibri" w:hAnsi="Calibri" w:cs="Arial"/>
          <w:sz w:val="20"/>
          <w:szCs w:val="20"/>
          <w:u w:val="single"/>
        </w:rPr>
        <w:t>(, artillery bombardment, aerial bombing, rocket attacks)</w:t>
      </w:r>
      <w:r w:rsidRPr="00D61C8A">
        <w:rPr>
          <w:rFonts w:ascii="Calibri" w:hAnsi="Calibri" w:cs="Arial"/>
          <w:sz w:val="20"/>
          <w:szCs w:val="20"/>
        </w:rPr>
        <w:t xml:space="preserve"> or any other sort of direct launched devices</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(Persons)</w:t>
      </w:r>
      <w:r w:rsidRPr="00D61C8A">
        <w:rPr>
          <w:rFonts w:ascii="Calibri" w:hAnsi="Calibri" w:cs="Arial"/>
          <w:sz w:val="20"/>
          <w:szCs w:val="20"/>
        </w:rPr>
        <w:t xml:space="preserve"> who fell victim to direct or stray bullets</w:t>
      </w:r>
    </w:p>
    <w:p w:rsidR="00B454FB" w:rsidRPr="00D61C8A" w:rsidRDefault="00B454FB" w:rsidP="00B454FB">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sz w:val="20"/>
          <w:szCs w:val="20"/>
        </w:rPr>
      </w:pPr>
      <w:r w:rsidRPr="00D61C8A">
        <w:rPr>
          <w:rFonts w:ascii="Calibri" w:hAnsi="Calibri" w:cs="Arial"/>
          <w:sz w:val="20"/>
          <w:szCs w:val="20"/>
        </w:rPr>
        <w:t xml:space="preserve">• </w:t>
      </w:r>
      <w:r w:rsidRPr="00D61C8A">
        <w:rPr>
          <w:rFonts w:ascii="Calibri" w:hAnsi="Calibri" w:cs="Arial"/>
          <w:i/>
          <w:sz w:val="20"/>
          <w:szCs w:val="20"/>
        </w:rPr>
        <w:t>(Casualties)</w:t>
      </w:r>
      <w:r w:rsidRPr="00D61C8A">
        <w:rPr>
          <w:rFonts w:ascii="Calibri" w:hAnsi="Calibri" w:cs="Arial"/>
          <w:sz w:val="20"/>
          <w:szCs w:val="20"/>
        </w:rPr>
        <w:t xml:space="preserve"> </w:t>
      </w:r>
      <w:r w:rsidRPr="00D61C8A">
        <w:rPr>
          <w:rFonts w:ascii="Calibri" w:hAnsi="Calibri" w:cs="Arial"/>
          <w:sz w:val="20"/>
          <w:szCs w:val="20"/>
          <w:u w:val="single"/>
        </w:rPr>
        <w:t>(Victims)</w:t>
      </w:r>
      <w:r w:rsidRPr="00D61C8A">
        <w:rPr>
          <w:rFonts w:ascii="Calibri" w:hAnsi="Calibri" w:cs="Arial"/>
          <w:sz w:val="20"/>
          <w:szCs w:val="20"/>
        </w:rPr>
        <w:t xml:space="preserve"> with minor physical injuries (not needing medical treatment </w:t>
      </w:r>
      <w:r w:rsidRPr="00D61C8A">
        <w:rPr>
          <w:rFonts w:ascii="Calibri" w:hAnsi="Calibri" w:cs="Arial"/>
          <w:i/>
          <w:sz w:val="20"/>
          <w:szCs w:val="20"/>
        </w:rPr>
        <w:t>and follow</w:t>
      </w:r>
      <w:r>
        <w:rPr>
          <w:rFonts w:ascii="Calibri" w:hAnsi="Calibri" w:cs="Arial"/>
          <w:i/>
          <w:sz w:val="20"/>
          <w:szCs w:val="20"/>
        </w:rPr>
        <w:t>-</w:t>
      </w:r>
      <w:r w:rsidRPr="00D61C8A">
        <w:rPr>
          <w:rFonts w:ascii="Calibri" w:hAnsi="Calibri" w:cs="Arial"/>
          <w:i/>
          <w:sz w:val="20"/>
          <w:szCs w:val="20"/>
        </w:rPr>
        <w:t>up)</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cs="Arial"/>
          <w:sz w:val="20"/>
          <w:szCs w:val="20"/>
        </w:rPr>
        <w:t>• Any other persons not meeting the inclusive criteria as set out above</w:t>
      </w:r>
    </w:p>
    <w:p w:rsidR="00B454FB" w:rsidRPr="00D61C8A" w:rsidRDefault="00B454FB" w:rsidP="00B454FB">
      <w:pPr>
        <w:rPr>
          <w:rFonts w:ascii="Calibri" w:hAnsi="Calibri"/>
          <w:b/>
        </w:rPr>
      </w:pPr>
    </w:p>
    <w:p w:rsidR="00B454FB" w:rsidRPr="00D61C8A" w:rsidRDefault="00B454FB" w:rsidP="00B454FB">
      <w:pPr>
        <w:rPr>
          <w:rFonts w:ascii="Calibri" w:hAnsi="Calibri"/>
          <w:sz w:val="20"/>
          <w:szCs w:val="20"/>
        </w:rPr>
      </w:pPr>
      <w:r w:rsidRPr="00D61C8A">
        <w:rPr>
          <w:rFonts w:ascii="Calibri" w:hAnsi="Calibri"/>
          <w:sz w:val="20"/>
          <w:szCs w:val="20"/>
        </w:rPr>
        <w:t>According to UNICEF and the 2008 and 2009 Landmine Monitor reports, the MAJWG decided to expand the case definition to include government security personnel</w:t>
      </w:r>
      <w:r w:rsidRPr="00D61C8A">
        <w:rPr>
          <w:rStyle w:val="EndnoteReference"/>
          <w:rFonts w:ascii="Calibri" w:hAnsi="Calibri"/>
          <w:sz w:val="20"/>
          <w:szCs w:val="20"/>
        </w:rPr>
        <w:endnoteReference w:id="122"/>
      </w:r>
      <w:r w:rsidRPr="00D61C8A">
        <w:rPr>
          <w:rFonts w:ascii="Calibri" w:hAnsi="Calibri"/>
          <w:sz w:val="20"/>
          <w:szCs w:val="20"/>
        </w:rPr>
        <w:t xml:space="preserve"> – but not members of NSAGs.  As of March 2010, no injuries among members of government security </w:t>
      </w:r>
      <w:r>
        <w:rPr>
          <w:rFonts w:ascii="Calibri" w:hAnsi="Calibri"/>
          <w:sz w:val="20"/>
          <w:szCs w:val="20"/>
        </w:rPr>
        <w:t>forces</w:t>
      </w:r>
      <w:r w:rsidRPr="00D61C8A">
        <w:rPr>
          <w:rFonts w:ascii="Calibri" w:hAnsi="Calibri"/>
          <w:sz w:val="20"/>
          <w:szCs w:val="20"/>
        </w:rPr>
        <w:t xml:space="preserve"> had been reported.</w:t>
      </w:r>
      <w:r w:rsidRPr="00D61C8A">
        <w:rPr>
          <w:rStyle w:val="EndnoteReference"/>
          <w:rFonts w:ascii="Calibri" w:hAnsi="Calibri"/>
          <w:sz w:val="20"/>
          <w:szCs w:val="20"/>
        </w:rPr>
        <w:endnoteReference w:id="123"/>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V.A.2.b</w:t>
      </w:r>
      <w:r>
        <w:rPr>
          <w:rFonts w:ascii="Calibri" w:hAnsi="Calibri"/>
          <w:sz w:val="20"/>
          <w:szCs w:val="20"/>
        </w:rPr>
        <w:tab/>
      </w:r>
      <w:r>
        <w:rPr>
          <w:rFonts w:ascii="Calibri" w:hAnsi="Calibri"/>
          <w:sz w:val="20"/>
          <w:szCs w:val="20"/>
        </w:rPr>
        <w:tab/>
      </w:r>
      <w:r w:rsidRPr="00D61C8A">
        <w:rPr>
          <w:rFonts w:ascii="Calibri" w:hAnsi="Calibri"/>
          <w:sz w:val="20"/>
          <w:szCs w:val="20"/>
        </w:rPr>
        <w:t>Time period of data collection and population under surveillance</w:t>
      </w:r>
    </w:p>
    <w:p w:rsidR="00B454FB" w:rsidRPr="00D61C8A" w:rsidRDefault="00B454FB" w:rsidP="00B454FB">
      <w:pPr>
        <w:rPr>
          <w:rFonts w:ascii="Calibri" w:hAnsi="Calibri"/>
        </w:rPr>
      </w:pPr>
    </w:p>
    <w:p w:rsidR="00B454FB" w:rsidRPr="00D61C8A" w:rsidRDefault="00B454FB" w:rsidP="00B454FB">
      <w:pPr>
        <w:pStyle w:val="Default"/>
        <w:rPr>
          <w:rFonts w:ascii="Calibri" w:hAnsi="Calibri"/>
          <w:sz w:val="20"/>
          <w:szCs w:val="20"/>
        </w:rPr>
      </w:pPr>
      <w:r w:rsidRPr="00D61C8A">
        <w:rPr>
          <w:rFonts w:ascii="Calibri" w:hAnsi="Calibri"/>
          <w:sz w:val="20"/>
          <w:szCs w:val="20"/>
        </w:rPr>
        <w:t xml:space="preserve">The surveillance system </w:t>
      </w:r>
      <w:r>
        <w:rPr>
          <w:rFonts w:ascii="Calibri" w:hAnsi="Calibri"/>
          <w:sz w:val="20"/>
          <w:szCs w:val="20"/>
        </w:rPr>
        <w:t>began</w:t>
      </w:r>
      <w:r w:rsidRPr="00D61C8A">
        <w:rPr>
          <w:rFonts w:ascii="Calibri" w:hAnsi="Calibri"/>
          <w:sz w:val="20"/>
          <w:szCs w:val="20"/>
        </w:rPr>
        <w:t xml:space="preserve"> </w:t>
      </w:r>
      <w:r>
        <w:rPr>
          <w:rFonts w:ascii="Calibri" w:hAnsi="Calibri"/>
          <w:sz w:val="20"/>
          <w:szCs w:val="20"/>
        </w:rPr>
        <w:t>to operate</w:t>
      </w:r>
      <w:r w:rsidRPr="00D61C8A">
        <w:rPr>
          <w:rFonts w:ascii="Calibri" w:hAnsi="Calibri"/>
          <w:sz w:val="20"/>
          <w:szCs w:val="20"/>
        </w:rPr>
        <w:t xml:space="preserve"> on 1 June 2006 and continues at this time.</w:t>
      </w:r>
      <w:r w:rsidRPr="00D61C8A">
        <w:rPr>
          <w:rStyle w:val="EndnoteReference"/>
          <w:rFonts w:ascii="Calibri" w:hAnsi="Calibri"/>
          <w:sz w:val="20"/>
          <w:szCs w:val="20"/>
        </w:rPr>
        <w:endnoteReference w:id="124"/>
      </w:r>
      <w:r w:rsidRPr="00D61C8A">
        <w:rPr>
          <w:rFonts w:ascii="Calibri" w:hAnsi="Calibri"/>
          <w:sz w:val="20"/>
          <w:szCs w:val="20"/>
        </w:rPr>
        <w:t xml:space="preserve">  The surveillance system cover</w:t>
      </w:r>
      <w:r w:rsidR="00C84344">
        <w:rPr>
          <w:rFonts w:ascii="Calibri" w:hAnsi="Calibri"/>
          <w:sz w:val="20"/>
          <w:szCs w:val="20"/>
        </w:rPr>
        <w:t>ed</w:t>
      </w:r>
      <w:r w:rsidRPr="00D61C8A">
        <w:rPr>
          <w:rFonts w:ascii="Calibri" w:hAnsi="Calibri"/>
          <w:sz w:val="20"/>
          <w:szCs w:val="20"/>
        </w:rPr>
        <w:t xml:space="preserve"> all 75 districts of Nepal from the beginning</w:t>
      </w:r>
      <w:r>
        <w:rPr>
          <w:rFonts w:ascii="Calibri" w:hAnsi="Calibri"/>
          <w:sz w:val="20"/>
          <w:szCs w:val="20"/>
        </w:rPr>
        <w:t>.</w:t>
      </w:r>
      <w:r w:rsidRPr="00D61C8A">
        <w:rPr>
          <w:rStyle w:val="EndnoteReference"/>
          <w:rFonts w:ascii="Calibri" w:hAnsi="Calibri"/>
          <w:sz w:val="20"/>
          <w:szCs w:val="20"/>
        </w:rPr>
        <w:endnoteReference w:id="125"/>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V.A.2.c</w:t>
      </w:r>
      <w:r>
        <w:rPr>
          <w:rFonts w:ascii="Calibri" w:hAnsi="Calibri"/>
          <w:sz w:val="20"/>
          <w:szCs w:val="20"/>
        </w:rPr>
        <w:tab/>
      </w:r>
      <w:r>
        <w:rPr>
          <w:rFonts w:ascii="Calibri" w:hAnsi="Calibri"/>
          <w:sz w:val="20"/>
          <w:szCs w:val="20"/>
        </w:rPr>
        <w:tab/>
      </w:r>
      <w:r w:rsidRPr="00D61C8A">
        <w:rPr>
          <w:rFonts w:ascii="Calibri" w:hAnsi="Calibri"/>
          <w:sz w:val="20"/>
          <w:szCs w:val="20"/>
        </w:rPr>
        <w:t>Partner organizations and start of the surveillance system</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The surveillance system is run primarily by the national NGO INSEC with support from the co</w:t>
      </w:r>
      <w:r>
        <w:rPr>
          <w:rFonts w:ascii="Calibri" w:hAnsi="Calibri"/>
          <w:sz w:val="20"/>
          <w:szCs w:val="20"/>
        </w:rPr>
        <w:t xml:space="preserve">untry offices of UNICEF and </w:t>
      </w:r>
      <w:r w:rsidRPr="00D61C8A">
        <w:rPr>
          <w:rFonts w:ascii="Calibri" w:hAnsi="Calibri"/>
          <w:sz w:val="20"/>
          <w:szCs w:val="20"/>
        </w:rPr>
        <w:t>HI.</w:t>
      </w:r>
      <w:r w:rsidRPr="00D61C8A">
        <w:rPr>
          <w:rStyle w:val="EndnoteReference"/>
          <w:rFonts w:ascii="Calibri" w:hAnsi="Calibri"/>
          <w:sz w:val="20"/>
          <w:szCs w:val="20"/>
        </w:rPr>
        <w:endnoteReference w:id="126"/>
      </w:r>
      <w:r w:rsidRPr="00D61C8A">
        <w:rPr>
          <w:rFonts w:ascii="Calibri" w:hAnsi="Calibri"/>
          <w:sz w:val="20"/>
          <w:szCs w:val="20"/>
        </w:rPr>
        <w:t xml:space="preserve">  While legal authority for MA coordination (including data collection) officially falls under the jurisdiction of the NMAA, INSEC now functions as the </w:t>
      </w:r>
      <w:r w:rsidRPr="00D57B64">
        <w:rPr>
          <w:rFonts w:ascii="Calibri" w:hAnsi="Calibri"/>
          <w:i/>
          <w:sz w:val="20"/>
          <w:szCs w:val="20"/>
        </w:rPr>
        <w:t>de facto</w:t>
      </w:r>
      <w:r w:rsidRPr="00D61C8A">
        <w:rPr>
          <w:rFonts w:ascii="Calibri" w:hAnsi="Calibri"/>
          <w:sz w:val="20"/>
          <w:szCs w:val="20"/>
        </w:rPr>
        <w:t xml:space="preserve"> source of injury data</w:t>
      </w:r>
      <w:r w:rsidRPr="00D61C8A">
        <w:rPr>
          <w:rStyle w:val="EndnoteReference"/>
          <w:rFonts w:ascii="Calibri" w:hAnsi="Calibri"/>
          <w:sz w:val="20"/>
          <w:szCs w:val="20"/>
        </w:rPr>
        <w:endnoteReference w:id="127"/>
      </w:r>
      <w:r>
        <w:rPr>
          <w:rFonts w:ascii="Calibri" w:hAnsi="Calibri"/>
          <w:sz w:val="20"/>
          <w:szCs w:val="20"/>
        </w:rPr>
        <w:t xml:space="preserve"> and will continue </w:t>
      </w:r>
      <w:r w:rsidRPr="00D61C8A">
        <w:rPr>
          <w:rFonts w:ascii="Calibri" w:hAnsi="Calibri"/>
          <w:sz w:val="20"/>
          <w:szCs w:val="20"/>
        </w:rPr>
        <w:t>this role for the foreseeable future.</w:t>
      </w:r>
      <w:r w:rsidRPr="00D61C8A">
        <w:rPr>
          <w:rStyle w:val="EndnoteReference"/>
          <w:rFonts w:ascii="Calibri" w:hAnsi="Calibri"/>
          <w:sz w:val="20"/>
          <w:szCs w:val="20"/>
        </w:rPr>
        <w:endnoteReference w:id="128"/>
      </w:r>
      <w:r w:rsidRPr="00D61C8A">
        <w:rPr>
          <w:rFonts w:ascii="Calibri" w:hAnsi="Calibri"/>
          <w:sz w:val="20"/>
          <w:szCs w:val="20"/>
        </w:rPr>
        <w:t xml:space="preserve">   </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The Informal Sector Service Center (INSEC)</w:t>
      </w:r>
      <w:r w:rsidRPr="00D61C8A">
        <w:rPr>
          <w:rFonts w:ascii="Calibri" w:hAnsi="Calibri"/>
          <w:sz w:val="20"/>
          <w:szCs w:val="20"/>
        </w:rPr>
        <w:t xml:space="preserve"> (</w:t>
      </w:r>
      <w:hyperlink r:id="rId17" w:history="1">
        <w:r w:rsidRPr="00D61C8A">
          <w:rPr>
            <w:rStyle w:val="Hyperlink"/>
            <w:rFonts w:ascii="Calibri" w:hAnsi="Calibri"/>
            <w:sz w:val="20"/>
            <w:szCs w:val="20"/>
          </w:rPr>
          <w:t>www.insec.org.np</w:t>
        </w:r>
      </w:hyperlink>
      <w:r w:rsidRPr="00D61C8A">
        <w:rPr>
          <w:rFonts w:ascii="Calibri" w:hAnsi="Calibri"/>
          <w:sz w:val="20"/>
          <w:szCs w:val="20"/>
        </w:rPr>
        <w:t>)</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lastRenderedPageBreak/>
        <w:t>INSEC is a Nepali NGO founded in 1988 with the objective of protecting the rights of people engaged in the informal sector.  INSEC’s work has since broadened to encompass eight signature programs: Human Rights Education, Policy Advocacy for Human Rights, Human Rights Campaign, Victims Reparation, INSEConline, Victim Assistance, Strengthening Partner Organizations, and Nepal Human Rights Yearbook.</w:t>
      </w:r>
      <w:r w:rsidRPr="00D61C8A">
        <w:rPr>
          <w:rStyle w:val="EndnoteReference"/>
          <w:rFonts w:ascii="Calibri" w:hAnsi="Calibri"/>
          <w:sz w:val="20"/>
          <w:szCs w:val="20"/>
        </w:rPr>
        <w:endnoteReference w:id="129"/>
      </w:r>
      <w:r w:rsidRPr="00D61C8A">
        <w:rPr>
          <w:rFonts w:ascii="Calibri" w:hAnsi="Calibri"/>
          <w:sz w:val="20"/>
          <w:szCs w:val="20"/>
        </w:rPr>
        <w:t xml:space="preserve">  INSEC conducts these programs while focusing on vulnerable populations including agricultural laborers, underprivileged women, Dalits and children.</w:t>
      </w:r>
      <w:r w:rsidRPr="00D61C8A">
        <w:rPr>
          <w:rStyle w:val="EndnoteReference"/>
          <w:rFonts w:ascii="Calibri" w:hAnsi="Calibri"/>
          <w:sz w:val="20"/>
          <w:szCs w:val="20"/>
        </w:rPr>
        <w:endnoteReference w:id="130"/>
      </w:r>
    </w:p>
    <w:p w:rsidR="00B454FB" w:rsidRPr="00D61C8A" w:rsidRDefault="00B454FB" w:rsidP="00B454FB">
      <w:pPr>
        <w:tabs>
          <w:tab w:val="left" w:pos="5880"/>
        </w:tabs>
        <w:rPr>
          <w:rFonts w:ascii="Calibri" w:hAnsi="Calibri"/>
          <w:sz w:val="20"/>
          <w:szCs w:val="20"/>
        </w:rPr>
      </w:pPr>
      <w:r w:rsidRPr="00D61C8A">
        <w:rPr>
          <w:rFonts w:ascii="Calibri" w:hAnsi="Calibri"/>
          <w:sz w:val="20"/>
          <w:szCs w:val="20"/>
        </w:rPr>
        <w:tab/>
      </w:r>
    </w:p>
    <w:p w:rsidR="00B454FB" w:rsidRPr="00D61C8A" w:rsidRDefault="00B454FB" w:rsidP="00B454FB">
      <w:pPr>
        <w:rPr>
          <w:rFonts w:ascii="Calibri" w:hAnsi="Calibri"/>
          <w:sz w:val="20"/>
          <w:szCs w:val="20"/>
        </w:rPr>
      </w:pPr>
      <w:r w:rsidRPr="00D61C8A">
        <w:rPr>
          <w:rFonts w:ascii="Calibri" w:hAnsi="Calibri"/>
          <w:sz w:val="20"/>
          <w:szCs w:val="20"/>
        </w:rPr>
        <w:t>INSEC operates a central office in Kathmandu as well as five regional offices.  Representatives in each of Nepal’s 75 districts work with 50 local partner organizations to accomplish INSEC objectives in the field.</w:t>
      </w:r>
      <w:r w:rsidRPr="00D61C8A">
        <w:rPr>
          <w:rStyle w:val="EndnoteReference"/>
          <w:rFonts w:ascii="Calibri" w:hAnsi="Calibri"/>
          <w:sz w:val="20"/>
          <w:szCs w:val="20"/>
        </w:rPr>
        <w:endnoteReference w:id="131"/>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INSEC’s surveillance of VAE injuries is integrated with other human rights monitoring activities, including its INSEConline and Nepal Human Rights Yearbook programs.  Since 2005, INSEC has been monitoring the occurrence of the six grave violations outlined by UN Security Council Resolution 1612</w:t>
      </w:r>
      <w:r w:rsidRPr="00D61C8A">
        <w:rPr>
          <w:rStyle w:val="FootnoteReference"/>
          <w:rFonts w:ascii="Calibri" w:hAnsi="Calibri"/>
        </w:rPr>
        <w:footnoteReference w:id="6"/>
      </w:r>
      <w:r w:rsidRPr="00D61C8A">
        <w:rPr>
          <w:rFonts w:ascii="Calibri" w:hAnsi="Calibri"/>
          <w:sz w:val="20"/>
          <w:szCs w:val="20"/>
        </w:rPr>
        <w:t xml:space="preserve"> under a cooperative agreement with UNICEF.</w:t>
      </w:r>
      <w:r w:rsidRPr="00D61C8A">
        <w:rPr>
          <w:rStyle w:val="EndnoteReference"/>
          <w:rFonts w:ascii="Calibri" w:hAnsi="Calibri"/>
          <w:sz w:val="20"/>
          <w:szCs w:val="20"/>
        </w:rPr>
        <w:endnoteReference w:id="132"/>
      </w:r>
      <w:r w:rsidRPr="00D61C8A">
        <w:rPr>
          <w:rFonts w:ascii="Calibri" w:hAnsi="Calibri"/>
          <w:sz w:val="20"/>
          <w:szCs w:val="20"/>
        </w:rPr>
        <w:t xml:space="preserve">  INSEC also monitors a wide range of other human rights issues such as killing, abduction and gender violence.  Data gathered from these monitoring systems are published on INSEConline (</w:t>
      </w:r>
      <w:hyperlink r:id="rId18" w:history="1">
        <w:r w:rsidRPr="00D61C8A">
          <w:rPr>
            <w:rStyle w:val="Hyperlink"/>
            <w:rFonts w:ascii="Calibri" w:hAnsi="Calibri"/>
            <w:sz w:val="20"/>
            <w:szCs w:val="20"/>
          </w:rPr>
          <w:t>http://www.inseconline.org</w:t>
        </w:r>
      </w:hyperlink>
      <w:r w:rsidRPr="00D61C8A">
        <w:rPr>
          <w:rFonts w:ascii="Calibri" w:hAnsi="Calibri"/>
          <w:sz w:val="20"/>
          <w:szCs w:val="20"/>
        </w:rPr>
        <w:t>), which is updated twice daily; in INSEC’s Nepal Human Rights Yearbook, published annually;</w:t>
      </w:r>
      <w:r w:rsidRPr="00D61C8A">
        <w:rPr>
          <w:rStyle w:val="EndnoteReference"/>
          <w:rFonts w:ascii="Calibri" w:hAnsi="Calibri"/>
          <w:sz w:val="20"/>
          <w:szCs w:val="20"/>
        </w:rPr>
        <w:endnoteReference w:id="133"/>
      </w:r>
      <w:r w:rsidRPr="00D61C8A">
        <w:rPr>
          <w:rFonts w:ascii="Calibri" w:hAnsi="Calibri"/>
          <w:sz w:val="20"/>
          <w:szCs w:val="20"/>
        </w:rPr>
        <w:t xml:space="preserve"> and in other regularly published reports available on INSEC’s website.</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b/>
          <w:sz w:val="20"/>
          <w:szCs w:val="20"/>
        </w:rPr>
        <w:t xml:space="preserve">Handicap International (HI) </w:t>
      </w:r>
      <w:r w:rsidRPr="00D61C8A">
        <w:rPr>
          <w:rFonts w:ascii="Calibri" w:hAnsi="Calibri"/>
          <w:sz w:val="20"/>
          <w:szCs w:val="20"/>
        </w:rPr>
        <w:t>(</w:t>
      </w:r>
      <w:hyperlink r:id="rId19" w:history="1">
        <w:r w:rsidRPr="00D61C8A">
          <w:rPr>
            <w:rStyle w:val="Hyperlink"/>
            <w:rFonts w:ascii="Calibri" w:hAnsi="Calibri"/>
            <w:sz w:val="20"/>
            <w:szCs w:val="20"/>
          </w:rPr>
          <w:t>http://www.handicap-international.org</w:t>
        </w:r>
      </w:hyperlink>
      <w:r w:rsidRPr="00D61C8A">
        <w:rPr>
          <w:rFonts w:ascii="Calibri" w:hAnsi="Calibri"/>
          <w:sz w:val="20"/>
          <w:szCs w:val="20"/>
        </w:rPr>
        <w:t xml:space="preserve">)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Pr>
          <w:rFonts w:ascii="Calibri" w:hAnsi="Calibri"/>
          <w:sz w:val="20"/>
          <w:szCs w:val="20"/>
        </w:rPr>
        <w:t>HI</w:t>
      </w:r>
      <w:r w:rsidRPr="00D61C8A">
        <w:rPr>
          <w:rFonts w:ascii="Calibri" w:hAnsi="Calibri"/>
          <w:sz w:val="20"/>
          <w:szCs w:val="20"/>
        </w:rPr>
        <w:t xml:space="preserve"> is an international NGO founded in 1982 and based in Belgium and France.  Its mission is “to improve the living conditions of people living in disabling situations in post-conflict and low income countries around the world.”</w:t>
      </w:r>
      <w:r w:rsidRPr="00D61C8A">
        <w:rPr>
          <w:rStyle w:val="EndnoteReference"/>
          <w:rFonts w:ascii="Calibri" w:hAnsi="Calibri"/>
          <w:sz w:val="20"/>
          <w:szCs w:val="20"/>
        </w:rPr>
        <w:endnoteReference w:id="134"/>
      </w:r>
      <w:r w:rsidRPr="00D61C8A">
        <w:rPr>
          <w:rFonts w:ascii="Calibri" w:hAnsi="Calibri"/>
          <w:sz w:val="20"/>
          <w:szCs w:val="20"/>
        </w:rPr>
        <w:t xml:space="preserve">  HI maintains branch offices in </w:t>
      </w:r>
      <w:r>
        <w:rPr>
          <w:rFonts w:ascii="Calibri" w:hAnsi="Calibri"/>
          <w:sz w:val="20"/>
          <w:szCs w:val="20"/>
        </w:rPr>
        <w:t>eight</w:t>
      </w:r>
      <w:r w:rsidRPr="00D61C8A">
        <w:rPr>
          <w:rFonts w:ascii="Calibri" w:hAnsi="Calibri"/>
          <w:sz w:val="20"/>
          <w:szCs w:val="20"/>
        </w:rPr>
        <w:t xml:space="preserve"> European and North American countries and has conducted activities to support people with disabilities in </w:t>
      </w:r>
      <w:r>
        <w:rPr>
          <w:rFonts w:ascii="Calibri" w:hAnsi="Calibri"/>
          <w:sz w:val="20"/>
          <w:szCs w:val="20"/>
        </w:rPr>
        <w:t>over</w:t>
      </w:r>
      <w:r w:rsidRPr="00D61C8A">
        <w:rPr>
          <w:rFonts w:ascii="Calibri" w:hAnsi="Calibri"/>
          <w:sz w:val="20"/>
          <w:szCs w:val="20"/>
        </w:rPr>
        <w:t xml:space="preserve"> 60 other countries.</w:t>
      </w:r>
      <w:r w:rsidRPr="00D61C8A">
        <w:rPr>
          <w:rStyle w:val="EndnoteReference"/>
          <w:rFonts w:ascii="Calibri" w:hAnsi="Calibri"/>
          <w:sz w:val="20"/>
          <w:szCs w:val="20"/>
        </w:rPr>
        <w:endnoteReference w:id="135"/>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cs="Cambria"/>
          <w:sz w:val="20"/>
          <w:szCs w:val="20"/>
        </w:rPr>
      </w:pPr>
      <w:r w:rsidRPr="00D61C8A">
        <w:rPr>
          <w:rFonts w:ascii="Calibri" w:hAnsi="Calibri" w:cs="Cambria"/>
          <w:sz w:val="20"/>
          <w:szCs w:val="20"/>
        </w:rPr>
        <w:t xml:space="preserve">In Nepal, HI works at the beneficiary, community and national levels to assuage the vulnerability and marginalization of disabled individuals and to provide essential rehabilitation services.  HI currently focuses on three activities in Nepal: providing access to rehabilitation services for disabled people affected by the </w:t>
      </w:r>
      <w:r>
        <w:rPr>
          <w:rFonts w:ascii="Calibri" w:hAnsi="Calibri" w:cs="Cambria"/>
          <w:sz w:val="20"/>
          <w:szCs w:val="20"/>
        </w:rPr>
        <w:t>civil</w:t>
      </w:r>
      <w:r w:rsidRPr="00D61C8A">
        <w:rPr>
          <w:rFonts w:ascii="Calibri" w:hAnsi="Calibri" w:cs="Cambria"/>
          <w:sz w:val="20"/>
          <w:szCs w:val="20"/>
        </w:rPr>
        <w:t xml:space="preserve"> conflict; supporting Nepali partner organizations to implement the Empowerment and Social Change for Inclusion of peo</w:t>
      </w:r>
      <w:r>
        <w:rPr>
          <w:rFonts w:ascii="Calibri" w:hAnsi="Calibri" w:cs="Cambria"/>
          <w:sz w:val="20"/>
          <w:szCs w:val="20"/>
        </w:rPr>
        <w:t xml:space="preserve">ple with disabilities, </w:t>
      </w:r>
      <w:r w:rsidRPr="00D61C8A">
        <w:rPr>
          <w:rFonts w:ascii="Calibri" w:hAnsi="Calibri" w:cs="Cambria"/>
          <w:sz w:val="20"/>
          <w:szCs w:val="20"/>
        </w:rPr>
        <w:t>a holistic approach to community based rehabilitation that also addresses rights of people with disabil</w:t>
      </w:r>
      <w:r>
        <w:rPr>
          <w:rFonts w:ascii="Calibri" w:hAnsi="Calibri" w:cs="Cambria"/>
          <w:sz w:val="20"/>
          <w:szCs w:val="20"/>
        </w:rPr>
        <w:t>i</w:t>
      </w:r>
      <w:r w:rsidRPr="00D61C8A">
        <w:rPr>
          <w:rFonts w:ascii="Calibri" w:hAnsi="Calibri" w:cs="Cambria"/>
          <w:sz w:val="20"/>
          <w:szCs w:val="20"/>
        </w:rPr>
        <w:t>ties; and mainstreaming disability into disaster preparedness.</w:t>
      </w:r>
      <w:r w:rsidRPr="00D61C8A">
        <w:rPr>
          <w:rStyle w:val="EndnoteReference"/>
          <w:rFonts w:ascii="Calibri" w:hAnsi="Calibri" w:cs="Cambria"/>
          <w:sz w:val="20"/>
          <w:szCs w:val="20"/>
        </w:rPr>
        <w:endnoteReference w:id="136"/>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b/>
          <w:sz w:val="20"/>
          <w:szCs w:val="20"/>
        </w:rPr>
        <w:t xml:space="preserve">The United Nations Children’s Fund (UNICEF) in Nepal </w:t>
      </w:r>
      <w:r w:rsidRPr="00D61C8A">
        <w:rPr>
          <w:rFonts w:ascii="Calibri" w:hAnsi="Calibri"/>
          <w:sz w:val="20"/>
          <w:szCs w:val="20"/>
        </w:rPr>
        <w:t>(</w:t>
      </w:r>
      <w:hyperlink r:id="rId20" w:history="1">
        <w:r w:rsidRPr="00D61C8A">
          <w:rPr>
            <w:rStyle w:val="Hyperlink"/>
            <w:rFonts w:ascii="Calibri" w:hAnsi="Calibri"/>
            <w:sz w:val="20"/>
            <w:szCs w:val="20"/>
          </w:rPr>
          <w:t>http://www.unicef.org/nepal/</w:t>
        </w:r>
      </w:hyperlink>
      <w:r w:rsidRPr="00D61C8A">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UNICEF was founded in 1946 and became part of the UN system in 1953, with the purpose of contributing to the survival, protection and development of children by helping meet their basic needs and advocating for the protection of their rights (a full mission statement is available at </w:t>
      </w:r>
      <w:hyperlink r:id="rId21" w:history="1">
        <w:r w:rsidRPr="00D61C8A">
          <w:rPr>
            <w:rStyle w:val="Hyperlink"/>
            <w:rFonts w:ascii="Calibri" w:hAnsi="Calibri"/>
            <w:sz w:val="20"/>
            <w:szCs w:val="20"/>
          </w:rPr>
          <w:t>http://www.unicef.org/about/who/index_mission.html</w:t>
        </w:r>
      </w:hyperlink>
      <w:r w:rsidRPr="00D61C8A">
        <w:rPr>
          <w:rFonts w:ascii="Calibri" w:hAnsi="Calibri"/>
          <w:sz w:val="20"/>
          <w:szCs w:val="20"/>
        </w:rPr>
        <w:t>).  UNICEF currently operates headquarters in New York</w:t>
      </w:r>
      <w:r>
        <w:rPr>
          <w:rFonts w:ascii="Calibri" w:hAnsi="Calibri"/>
          <w:sz w:val="20"/>
          <w:szCs w:val="20"/>
        </w:rPr>
        <w:t xml:space="preserve"> City</w:t>
      </w:r>
      <w:r w:rsidRPr="00D61C8A">
        <w:rPr>
          <w:rFonts w:ascii="Calibri" w:hAnsi="Calibri"/>
          <w:sz w:val="20"/>
          <w:szCs w:val="20"/>
        </w:rPr>
        <w:t xml:space="preserve">, seven regional offices, </w:t>
      </w:r>
      <w:r>
        <w:rPr>
          <w:rFonts w:ascii="Calibri" w:hAnsi="Calibri"/>
          <w:sz w:val="20"/>
          <w:szCs w:val="20"/>
        </w:rPr>
        <w:t xml:space="preserve">and </w:t>
      </w:r>
      <w:r w:rsidRPr="00D61C8A">
        <w:rPr>
          <w:rFonts w:ascii="Calibri" w:hAnsi="Calibri"/>
          <w:sz w:val="20"/>
          <w:szCs w:val="20"/>
        </w:rPr>
        <w:t xml:space="preserve">over 200 country offices, field offices and national committees.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UNICEF now focuses on seven programs in Nepal: the Decentralised Action for Children and Women approach; Child Protection; Education; Health and Nutrition; HIV/AIDS; Water, Sanitation and Hygiene; and Social Policy.  UNICEF Nepal’s MA activities focus on injury surveillance and MRE and are housed within the Child Protection Section.</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Other partners</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In the field, INSEC collects data on ED injuries </w:t>
      </w:r>
      <w:r>
        <w:rPr>
          <w:rFonts w:ascii="Calibri" w:hAnsi="Calibri"/>
          <w:sz w:val="20"/>
          <w:szCs w:val="20"/>
        </w:rPr>
        <w:t xml:space="preserve">and human rights violations </w:t>
      </w:r>
      <w:r w:rsidRPr="00D61C8A">
        <w:rPr>
          <w:rFonts w:ascii="Calibri" w:hAnsi="Calibri"/>
          <w:sz w:val="20"/>
          <w:szCs w:val="20"/>
        </w:rPr>
        <w:t>with the assistance of approximately 50 partner organizations.</w:t>
      </w:r>
      <w:r w:rsidRPr="00D61C8A">
        <w:rPr>
          <w:rStyle w:val="FootnoteReference"/>
          <w:rFonts w:ascii="Calibri" w:hAnsi="Calibri"/>
        </w:rPr>
        <w:footnoteReference w:id="7"/>
      </w:r>
      <w:r>
        <w:rPr>
          <w:rFonts w:ascii="Calibri" w:hAnsi="Calibri"/>
          <w:sz w:val="20"/>
          <w:szCs w:val="20"/>
        </w:rPr>
        <w:t xml:space="preserve">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Passive ED injury monitoring via media surveillance</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sz w:val="20"/>
          <w:szCs w:val="20"/>
        </w:rPr>
      </w:pPr>
      <w:r w:rsidRPr="00D61C8A">
        <w:rPr>
          <w:rFonts w:ascii="Calibri" w:hAnsi="Calibri"/>
          <w:sz w:val="20"/>
          <w:szCs w:val="20"/>
        </w:rPr>
        <w:t>UNICEF began monitoring media reports of VAE injuries in 2004, collecting data</w:t>
      </w:r>
      <w:r>
        <w:rPr>
          <w:rFonts w:ascii="Calibri" w:hAnsi="Calibri"/>
          <w:sz w:val="20"/>
          <w:szCs w:val="20"/>
        </w:rPr>
        <w:t xml:space="preserve"> </w:t>
      </w:r>
      <w:r w:rsidRPr="00D61C8A">
        <w:rPr>
          <w:rFonts w:ascii="Calibri" w:hAnsi="Calibri"/>
          <w:sz w:val="20"/>
          <w:szCs w:val="20"/>
        </w:rPr>
        <w:t xml:space="preserve">from sources including </w:t>
      </w:r>
      <w:r w:rsidRPr="00D61C8A">
        <w:rPr>
          <w:rFonts w:ascii="Calibri" w:hAnsi="Calibri" w:cs="Arial"/>
          <w:color w:val="000000"/>
          <w:sz w:val="20"/>
          <w:szCs w:val="20"/>
        </w:rPr>
        <w:t xml:space="preserve">Agence France Presse, </w:t>
      </w:r>
      <w:r>
        <w:rPr>
          <w:rFonts w:ascii="Calibri" w:hAnsi="Calibri" w:cs="Arial"/>
          <w:color w:val="000000"/>
          <w:sz w:val="20"/>
          <w:szCs w:val="20"/>
        </w:rPr>
        <w:t>The British Broadcasting Corporation</w:t>
      </w:r>
      <w:r w:rsidRPr="00D61C8A">
        <w:rPr>
          <w:rFonts w:ascii="Calibri" w:hAnsi="Calibri" w:cs="Arial"/>
          <w:color w:val="000000"/>
          <w:sz w:val="20"/>
          <w:szCs w:val="20"/>
        </w:rPr>
        <w:t>, Gorkhapatra, The Himalayan Times, the Indo-Asian News Service, Kantipur Online, The Kathmandu Post, the National News Agency (RSS), Nepal News, NewKerala.com, ReliefWeb, Samay National Weekly, Xinhua News, and Yahoo News.</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INSEC monitored media reports of VAE injuries during the first five months of 2006, using data from the UNICEF media reporting system as well as INSEConline articles published in Nepali and English.  In its 2006 annual report on VAE injuries, INSEC compared these findings with those captured by the new active VAE injury surveillance system during the last seven months of the year.  INSEC highlighted several limitations of media surveillance:</w:t>
      </w:r>
    </w:p>
    <w:p w:rsidR="00B454FB" w:rsidRPr="00D61C8A" w:rsidRDefault="00B454FB" w:rsidP="00B454FB">
      <w:pPr>
        <w:pStyle w:val="ColorfulList-Accent11"/>
        <w:numPr>
          <w:ilvl w:val="0"/>
          <w:numId w:val="52"/>
        </w:numPr>
        <w:rPr>
          <w:rFonts w:ascii="Calibri" w:hAnsi="Calibri"/>
          <w:sz w:val="20"/>
          <w:szCs w:val="20"/>
        </w:rPr>
      </w:pPr>
      <w:r w:rsidRPr="00D61C8A">
        <w:rPr>
          <w:rFonts w:ascii="Calibri" w:hAnsi="Calibri"/>
          <w:sz w:val="20"/>
          <w:szCs w:val="20"/>
        </w:rPr>
        <w:t>Political turmoil probably led to under-reporting of incidents;</w:t>
      </w:r>
    </w:p>
    <w:p w:rsidR="00B454FB" w:rsidRPr="00D61C8A" w:rsidRDefault="00B454FB" w:rsidP="00B454FB">
      <w:pPr>
        <w:pStyle w:val="ColorfulList-Accent11"/>
        <w:numPr>
          <w:ilvl w:val="0"/>
          <w:numId w:val="52"/>
        </w:numPr>
        <w:rPr>
          <w:rFonts w:ascii="Calibri" w:hAnsi="Calibri"/>
          <w:sz w:val="20"/>
          <w:szCs w:val="20"/>
        </w:rPr>
      </w:pPr>
      <w:r w:rsidRPr="00D61C8A">
        <w:rPr>
          <w:rFonts w:ascii="Calibri" w:hAnsi="Calibri"/>
          <w:sz w:val="20"/>
          <w:szCs w:val="20"/>
        </w:rPr>
        <w:t>INSEC staff and journalists who were providing data did not have the technical knowledge to accurately differentiate between various ED types; and</w:t>
      </w:r>
    </w:p>
    <w:p w:rsidR="00B454FB" w:rsidRPr="00D61C8A" w:rsidRDefault="00B454FB" w:rsidP="00B454FB">
      <w:pPr>
        <w:pStyle w:val="ColorfulList-Accent11"/>
        <w:numPr>
          <w:ilvl w:val="0"/>
          <w:numId w:val="52"/>
        </w:numPr>
        <w:rPr>
          <w:rFonts w:ascii="Calibri" w:hAnsi="Calibri"/>
          <w:sz w:val="20"/>
          <w:szCs w:val="20"/>
        </w:rPr>
      </w:pPr>
      <w:r w:rsidRPr="00D61C8A">
        <w:rPr>
          <w:rFonts w:ascii="Calibri" w:hAnsi="Calibri"/>
          <w:sz w:val="20"/>
          <w:szCs w:val="20"/>
        </w:rPr>
        <w:t>Most reporting was conducted immediately after each incident, which may have meant that seriously injured individuals who later died as a result of injuries may have been captured by the system as “injured” and not “killed”.</w:t>
      </w:r>
      <w:r w:rsidRPr="00D61C8A">
        <w:rPr>
          <w:rStyle w:val="EndnoteReference"/>
          <w:rFonts w:ascii="Calibri" w:hAnsi="Calibri" w:cs="Arial"/>
          <w:color w:val="000000"/>
          <w:sz w:val="20"/>
          <w:szCs w:val="20"/>
        </w:rPr>
        <w:endnoteReference w:id="137"/>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sz w:val="20"/>
          <w:szCs w:val="20"/>
        </w:rPr>
      </w:pPr>
      <w:r>
        <w:rPr>
          <w:rFonts w:ascii="Calibri" w:hAnsi="Calibri"/>
          <w:b/>
          <w:sz w:val="20"/>
          <w:szCs w:val="20"/>
        </w:rPr>
        <w:t>Start</w:t>
      </w:r>
      <w:r w:rsidRPr="00D61C8A">
        <w:rPr>
          <w:rFonts w:ascii="Calibri" w:hAnsi="Calibri"/>
          <w:b/>
          <w:sz w:val="20"/>
          <w:szCs w:val="20"/>
        </w:rPr>
        <w:t xml:space="preserve"> of the active surveillance system</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 2005, HI and INSEC personnel signed an 11-month cooperative agreement to establish an active VAE injury surveillance system,</w:t>
      </w:r>
      <w:r w:rsidRPr="00D61C8A">
        <w:rPr>
          <w:rStyle w:val="EndnoteReference"/>
          <w:rFonts w:ascii="Calibri" w:hAnsi="Calibri"/>
          <w:b/>
          <w:sz w:val="20"/>
          <w:szCs w:val="20"/>
        </w:rPr>
        <w:endnoteReference w:id="138"/>
      </w:r>
      <w:r w:rsidRPr="00D61C8A">
        <w:rPr>
          <w:rFonts w:ascii="Calibri" w:hAnsi="Calibri"/>
          <w:sz w:val="20"/>
          <w:szCs w:val="20"/>
        </w:rPr>
        <w:t xml:space="preserve">  believing that such a system would provide more reliable and complete data than the existing passive system.  Data from media report monitoring, INSEConline and a preliminary feasibility study</w:t>
      </w:r>
      <w:r w:rsidRPr="00D61C8A">
        <w:rPr>
          <w:rStyle w:val="EndnoteReference"/>
          <w:rFonts w:ascii="Calibri" w:hAnsi="Calibri"/>
          <w:sz w:val="20"/>
          <w:szCs w:val="20"/>
        </w:rPr>
        <w:endnoteReference w:id="139"/>
      </w:r>
      <w:r w:rsidRPr="00D61C8A">
        <w:rPr>
          <w:rFonts w:ascii="Calibri" w:hAnsi="Calibri"/>
          <w:sz w:val="20"/>
          <w:szCs w:val="20"/>
        </w:rPr>
        <w:t xml:space="preserve"> provided baseline knowledge of some ED injury trends which helped guide establishment of the system.  A data management specialist at HI assisted with development of a data collection form and a matching Microsoft Excel database modeled on tools used in other countries.</w:t>
      </w:r>
      <w:r w:rsidRPr="00D61C8A">
        <w:rPr>
          <w:rStyle w:val="EndnoteReference"/>
          <w:rFonts w:ascii="Calibri" w:hAnsi="Calibri"/>
          <w:b/>
          <w:sz w:val="20"/>
          <w:szCs w:val="20"/>
        </w:rPr>
        <w:endnoteReference w:id="140"/>
      </w:r>
      <w:r w:rsidRPr="00D61C8A">
        <w:rPr>
          <w:rFonts w:ascii="Calibri" w:hAnsi="Calibri"/>
          <w:sz w:val="20"/>
          <w:szCs w:val="20"/>
        </w:rPr>
        <w:t xml:space="preserve">  HI also assisted INSEC with personnel training.</w:t>
      </w:r>
      <w:r w:rsidRPr="00D61C8A">
        <w:rPr>
          <w:rStyle w:val="EndnoteReference"/>
          <w:rFonts w:ascii="Calibri" w:hAnsi="Calibri"/>
          <w:b/>
          <w:sz w:val="20"/>
          <w:szCs w:val="20"/>
        </w:rPr>
        <w:endnoteReference w:id="141"/>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INSEC took possession of the system when the cooperative agreement ended, receiving monitoring and other support from HI as needed.</w:t>
      </w:r>
      <w:r w:rsidRPr="00D61C8A">
        <w:rPr>
          <w:rStyle w:val="EndnoteReference"/>
          <w:rFonts w:ascii="Calibri" w:hAnsi="Calibri"/>
          <w:b/>
          <w:sz w:val="20"/>
          <w:szCs w:val="20"/>
        </w:rPr>
        <w:endnoteReference w:id="142"/>
      </w:r>
      <w:r w:rsidRPr="00D61C8A">
        <w:rPr>
          <w:rFonts w:ascii="Calibri" w:hAnsi="Calibri"/>
          <w:sz w:val="20"/>
          <w:szCs w:val="20"/>
        </w:rPr>
        <w:t xml:space="preserve">  INSEC now runs the system under a cooperative agreement with UNICEF.</w:t>
      </w:r>
      <w:r w:rsidRPr="00D61C8A">
        <w:rPr>
          <w:rStyle w:val="EndnoteReference"/>
          <w:rFonts w:ascii="Calibri" w:hAnsi="Calibri"/>
          <w:sz w:val="20"/>
          <w:szCs w:val="20"/>
        </w:rPr>
        <w:endnoteReference w:id="143"/>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V.A.2.d</w:t>
      </w:r>
      <w:r>
        <w:rPr>
          <w:rFonts w:ascii="Calibri" w:hAnsi="Calibri"/>
          <w:sz w:val="20"/>
          <w:szCs w:val="20"/>
        </w:rPr>
        <w:tab/>
      </w:r>
      <w:r>
        <w:rPr>
          <w:rFonts w:ascii="Calibri" w:hAnsi="Calibri"/>
          <w:sz w:val="20"/>
          <w:szCs w:val="20"/>
        </w:rPr>
        <w:tab/>
      </w:r>
      <w:r w:rsidRPr="00D61C8A">
        <w:rPr>
          <w:rFonts w:ascii="Calibri" w:hAnsi="Calibri"/>
          <w:sz w:val="20"/>
          <w:szCs w:val="20"/>
        </w:rPr>
        <w:t>Nine steps of the surveillance system</w:t>
      </w:r>
    </w:p>
    <w:p w:rsidR="00B454FB" w:rsidRPr="00D61C8A" w:rsidRDefault="00B454FB" w:rsidP="00B454FB">
      <w:pPr>
        <w:rPr>
          <w:rFonts w:ascii="Calibri" w:hAnsi="Calibri"/>
        </w:rPr>
      </w:pPr>
    </w:p>
    <w:p w:rsidR="00B454FB" w:rsidRPr="00807CD4" w:rsidRDefault="00B454FB" w:rsidP="00B454FB">
      <w:pPr>
        <w:rPr>
          <w:rFonts w:ascii="Calibri" w:hAnsi="Calibri"/>
          <w:sz w:val="20"/>
        </w:rPr>
      </w:pPr>
      <w:r>
        <w:rPr>
          <w:rFonts w:ascii="Calibri" w:hAnsi="Calibri"/>
          <w:sz w:val="20"/>
        </w:rPr>
        <w:t>F</w:t>
      </w:r>
      <w:r w:rsidRPr="00807CD4">
        <w:rPr>
          <w:rFonts w:ascii="Calibri" w:hAnsi="Calibri"/>
          <w:sz w:val="20"/>
        </w:rPr>
        <w:t xml:space="preserve">igure </w:t>
      </w:r>
      <w:r>
        <w:rPr>
          <w:rFonts w:ascii="Calibri" w:hAnsi="Calibri"/>
          <w:sz w:val="20"/>
        </w:rPr>
        <w:t>4 on the following page</w:t>
      </w:r>
      <w:r w:rsidRPr="00807CD4">
        <w:rPr>
          <w:rFonts w:ascii="Calibri" w:hAnsi="Calibri"/>
          <w:sz w:val="20"/>
        </w:rPr>
        <w:t xml:space="preserve"> depicts the nine steps of the current VAE injury surveillance system.  See Appendix A.2 for INSEC’s visual interpretation of the surveillance system.  Colored arrows indicate different data flows:</w:t>
      </w:r>
    </w:p>
    <w:p w:rsidR="00B454FB" w:rsidRPr="00807CD4" w:rsidRDefault="00B454FB" w:rsidP="00B454FB">
      <w:pPr>
        <w:pStyle w:val="ColorfulList-Accent11"/>
        <w:numPr>
          <w:ilvl w:val="0"/>
          <w:numId w:val="53"/>
        </w:numPr>
        <w:rPr>
          <w:rFonts w:ascii="Calibri" w:hAnsi="Calibri"/>
          <w:sz w:val="20"/>
        </w:rPr>
      </w:pPr>
      <w:r>
        <w:rPr>
          <w:rFonts w:ascii="Calibri" w:hAnsi="Calibri"/>
          <w:sz w:val="20"/>
        </w:rPr>
        <w:t>Thick solid b</w:t>
      </w:r>
      <w:r w:rsidRPr="00807CD4">
        <w:rPr>
          <w:rFonts w:ascii="Calibri" w:hAnsi="Calibri"/>
          <w:sz w:val="20"/>
        </w:rPr>
        <w:t xml:space="preserve">lack arrows denote the flow of data through the system; </w:t>
      </w:r>
    </w:p>
    <w:p w:rsidR="00B454FB" w:rsidRPr="00807CD4" w:rsidRDefault="00B454FB" w:rsidP="00B454FB">
      <w:pPr>
        <w:pStyle w:val="ColorfulList-Accent11"/>
        <w:numPr>
          <w:ilvl w:val="0"/>
          <w:numId w:val="53"/>
        </w:numPr>
        <w:rPr>
          <w:rFonts w:ascii="Calibri" w:hAnsi="Calibri"/>
          <w:sz w:val="20"/>
        </w:rPr>
      </w:pPr>
      <w:r>
        <w:rPr>
          <w:rFonts w:ascii="Calibri" w:hAnsi="Calibri"/>
          <w:sz w:val="20"/>
        </w:rPr>
        <w:t>Thick green double-lined</w:t>
      </w:r>
      <w:r w:rsidRPr="00807CD4">
        <w:rPr>
          <w:rFonts w:ascii="Calibri" w:hAnsi="Calibri"/>
          <w:sz w:val="20"/>
        </w:rPr>
        <w:t xml:space="preserve"> arrows denote the referral of injured individuals to services</w:t>
      </w:r>
      <w:r>
        <w:rPr>
          <w:rFonts w:ascii="Calibri" w:hAnsi="Calibri"/>
          <w:sz w:val="20"/>
        </w:rPr>
        <w:t>;</w:t>
      </w:r>
    </w:p>
    <w:p w:rsidR="00B454FB" w:rsidRPr="00807CD4" w:rsidRDefault="00B454FB" w:rsidP="00B454FB">
      <w:pPr>
        <w:pStyle w:val="ColorfulList-Accent11"/>
        <w:numPr>
          <w:ilvl w:val="0"/>
          <w:numId w:val="53"/>
        </w:numPr>
        <w:rPr>
          <w:rFonts w:ascii="Calibri" w:hAnsi="Calibri"/>
          <w:sz w:val="20"/>
        </w:rPr>
      </w:pPr>
      <w:r>
        <w:rPr>
          <w:rFonts w:ascii="Calibri" w:hAnsi="Calibri"/>
          <w:sz w:val="20"/>
        </w:rPr>
        <w:t>Thin y</w:t>
      </w:r>
      <w:r w:rsidRPr="00807CD4">
        <w:rPr>
          <w:rFonts w:ascii="Calibri" w:hAnsi="Calibri"/>
          <w:sz w:val="20"/>
        </w:rPr>
        <w:t xml:space="preserve">ellow </w:t>
      </w:r>
      <w:r>
        <w:rPr>
          <w:rFonts w:ascii="Calibri" w:hAnsi="Calibri"/>
          <w:sz w:val="20"/>
        </w:rPr>
        <w:t xml:space="preserve">dotted </w:t>
      </w:r>
      <w:r w:rsidRPr="00807CD4">
        <w:rPr>
          <w:rFonts w:ascii="Calibri" w:hAnsi="Calibri"/>
          <w:sz w:val="20"/>
        </w:rPr>
        <w:t>arrows denote opportunities for quality control; and</w:t>
      </w:r>
    </w:p>
    <w:p w:rsidR="00B454FB" w:rsidRPr="00807CD4" w:rsidRDefault="00B454FB" w:rsidP="00B454FB">
      <w:pPr>
        <w:pStyle w:val="ColorfulList-Accent11"/>
        <w:numPr>
          <w:ilvl w:val="0"/>
          <w:numId w:val="53"/>
        </w:numPr>
        <w:rPr>
          <w:rFonts w:ascii="Calibri" w:hAnsi="Calibri"/>
          <w:sz w:val="20"/>
        </w:rPr>
      </w:pPr>
      <w:r>
        <w:rPr>
          <w:rFonts w:ascii="Calibri" w:hAnsi="Calibri"/>
          <w:sz w:val="20"/>
        </w:rPr>
        <w:t>Dashed g</w:t>
      </w:r>
      <w:r w:rsidRPr="00807CD4">
        <w:rPr>
          <w:rFonts w:ascii="Calibri" w:hAnsi="Calibri"/>
          <w:sz w:val="20"/>
        </w:rPr>
        <w:t>ray arrows denote transfer of data to INSEConline.</w:t>
      </w:r>
    </w:p>
    <w:p w:rsidR="00B454FB" w:rsidRPr="00D61C8A" w:rsidRDefault="00B454FB" w:rsidP="00B454FB">
      <w:pPr>
        <w:rPr>
          <w:rFonts w:ascii="Calibri" w:hAnsi="Calibri"/>
          <w:b/>
        </w:rPr>
      </w:pPr>
    </w:p>
    <w:p w:rsidR="00B454FB" w:rsidRPr="00D61C8A" w:rsidRDefault="00B454FB" w:rsidP="00B454FB">
      <w:pPr>
        <w:rPr>
          <w:rFonts w:ascii="Calibri" w:hAnsi="Calibri"/>
          <w:sz w:val="20"/>
          <w:szCs w:val="20"/>
        </w:rPr>
      </w:pPr>
      <w:r w:rsidRPr="00D61C8A">
        <w:rPr>
          <w:rFonts w:ascii="Calibri" w:hAnsi="Calibri"/>
          <w:sz w:val="20"/>
          <w:szCs w:val="20"/>
        </w:rPr>
        <w:t xml:space="preserve">The following section contains explanations of each of the nine </w:t>
      </w:r>
      <w:r w:rsidR="00C84344">
        <w:rPr>
          <w:rFonts w:ascii="Calibri" w:hAnsi="Calibri"/>
          <w:sz w:val="20"/>
          <w:szCs w:val="20"/>
        </w:rPr>
        <w:t>steps</w:t>
      </w:r>
      <w:r w:rsidRPr="00D61C8A">
        <w:rPr>
          <w:rFonts w:ascii="Calibri" w:hAnsi="Calibri"/>
          <w:sz w:val="20"/>
          <w:szCs w:val="20"/>
        </w:rPr>
        <w:t>, followed by descriptions of other system characteristics: communications; quality control; consent, confidentiality, and security concerns; integration with other systems; and system resources.  Time spent at each step of the system is discussed in Section V.B.2.h.</w:t>
      </w:r>
    </w:p>
    <w:p w:rsidR="00B454FB" w:rsidRDefault="00B454FB" w:rsidP="00B454FB">
      <w:pPr>
        <w:pStyle w:val="Heading5"/>
        <w:numPr>
          <w:ilvl w:val="0"/>
          <w:numId w:val="0"/>
        </w:numPr>
        <w:spacing w:before="0"/>
        <w:rPr>
          <w:rFonts w:ascii="Calibri" w:hAnsi="Calibri"/>
          <w:color w:val="auto"/>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(1)</w:t>
      </w:r>
      <w:r>
        <w:rPr>
          <w:rFonts w:ascii="Calibri" w:hAnsi="Calibri"/>
          <w:sz w:val="20"/>
          <w:szCs w:val="20"/>
        </w:rPr>
        <w:tab/>
      </w:r>
      <w:r>
        <w:rPr>
          <w:rFonts w:ascii="Calibri" w:hAnsi="Calibri"/>
          <w:sz w:val="20"/>
          <w:szCs w:val="20"/>
        </w:rPr>
        <w:tab/>
      </w:r>
      <w:r w:rsidRPr="00D61C8A">
        <w:rPr>
          <w:rFonts w:ascii="Calibri" w:hAnsi="Calibri"/>
          <w:sz w:val="20"/>
          <w:szCs w:val="20"/>
        </w:rPr>
        <w:t>ED detonates and injures one or more individuals</w:t>
      </w:r>
    </w:p>
    <w:p w:rsidR="00B454FB" w:rsidRPr="00D61C8A" w:rsidRDefault="00B454FB" w:rsidP="00B454FB">
      <w:pPr>
        <w:rPr>
          <w:rFonts w:ascii="Calibri" w:hAnsi="Calibri"/>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(2)</w:t>
      </w:r>
      <w:r>
        <w:rPr>
          <w:rFonts w:ascii="Calibri" w:hAnsi="Calibri"/>
          <w:sz w:val="20"/>
          <w:szCs w:val="20"/>
        </w:rPr>
        <w:tab/>
      </w:r>
      <w:r>
        <w:rPr>
          <w:rFonts w:ascii="Calibri" w:hAnsi="Calibri"/>
          <w:sz w:val="20"/>
          <w:szCs w:val="20"/>
        </w:rPr>
        <w:tab/>
      </w:r>
      <w:r w:rsidRPr="00D61C8A">
        <w:rPr>
          <w:rFonts w:ascii="Calibri" w:hAnsi="Calibri"/>
          <w:sz w:val="20"/>
          <w:szCs w:val="20"/>
        </w:rPr>
        <w:t>INSEC partner or other entity notifies INSEC</w:t>
      </w:r>
    </w:p>
    <w:p w:rsidR="00B454FB" w:rsidRPr="00D61C8A" w:rsidRDefault="00B454FB" w:rsidP="00B454FB">
      <w:pPr>
        <w:rPr>
          <w:rFonts w:ascii="Calibri" w:hAnsi="Calibri"/>
        </w:rPr>
      </w:pPr>
    </w:p>
    <w:p w:rsidR="00B454FB" w:rsidRPr="00D61C8A" w:rsidRDefault="00B454FB" w:rsidP="00B454FB">
      <w:pPr>
        <w:pStyle w:val="ColorfulList-Accent11"/>
        <w:numPr>
          <w:ilvl w:val="0"/>
          <w:numId w:val="9"/>
        </w:numPr>
        <w:rPr>
          <w:rFonts w:ascii="Calibri" w:hAnsi="Calibri"/>
          <w:sz w:val="20"/>
          <w:szCs w:val="20"/>
        </w:rPr>
      </w:pPr>
      <w:r w:rsidRPr="00D61C8A">
        <w:rPr>
          <w:rFonts w:ascii="Calibri" w:hAnsi="Calibri"/>
          <w:sz w:val="20"/>
          <w:szCs w:val="20"/>
        </w:rPr>
        <w:t>Injured individuals, family or community members, local police and members of INSEC’s partner organizations inform INSEC officials</w:t>
      </w:r>
    </w:p>
    <w:p w:rsidR="00B454FB" w:rsidRPr="00D61C8A" w:rsidRDefault="00B454FB" w:rsidP="00B454FB">
      <w:pPr>
        <w:pStyle w:val="ColorfulList-Accent11"/>
        <w:numPr>
          <w:ilvl w:val="0"/>
          <w:numId w:val="9"/>
        </w:numPr>
        <w:rPr>
          <w:rFonts w:ascii="Calibri" w:hAnsi="Calibri"/>
          <w:sz w:val="20"/>
          <w:szCs w:val="20"/>
        </w:rPr>
      </w:pPr>
      <w:r w:rsidRPr="00D61C8A">
        <w:rPr>
          <w:rFonts w:ascii="Calibri" w:hAnsi="Calibri"/>
          <w:sz w:val="20"/>
          <w:szCs w:val="20"/>
        </w:rPr>
        <w:t>INSEC may be notified of a VAE incident at the district, regional or central level; each level communicates with other levels upon receipt of notification</w:t>
      </w:r>
    </w:p>
    <w:p w:rsidR="00B454FB" w:rsidRPr="00D61C8A" w:rsidRDefault="00B454FB" w:rsidP="00B454FB">
      <w:pPr>
        <w:pStyle w:val="ColorfulList-Accent11"/>
        <w:numPr>
          <w:ilvl w:val="0"/>
          <w:numId w:val="9"/>
        </w:numPr>
        <w:rPr>
          <w:rFonts w:ascii="Calibri" w:hAnsi="Calibri"/>
          <w:sz w:val="20"/>
          <w:szCs w:val="20"/>
        </w:rPr>
      </w:pPr>
      <w:r w:rsidRPr="00D61C8A">
        <w:rPr>
          <w:rFonts w:ascii="Calibri" w:hAnsi="Calibri"/>
          <w:sz w:val="20"/>
          <w:szCs w:val="20"/>
        </w:rPr>
        <w:t xml:space="preserve">INSEC officials may also become aware of a VAE incident through the media; if INSEC central office </w:t>
      </w:r>
      <w:r>
        <w:rPr>
          <w:rFonts w:ascii="Calibri" w:hAnsi="Calibri"/>
          <w:sz w:val="20"/>
          <w:szCs w:val="20"/>
        </w:rPr>
        <w:t xml:space="preserve">personnel </w:t>
      </w:r>
      <w:r w:rsidRPr="00D61C8A">
        <w:rPr>
          <w:rFonts w:ascii="Calibri" w:hAnsi="Calibri"/>
          <w:sz w:val="20"/>
          <w:szCs w:val="20"/>
        </w:rPr>
        <w:t xml:space="preserve">receive such a report, </w:t>
      </w:r>
      <w:r>
        <w:rPr>
          <w:rFonts w:ascii="Calibri" w:hAnsi="Calibri"/>
          <w:sz w:val="20"/>
          <w:szCs w:val="20"/>
        </w:rPr>
        <w:t>they</w:t>
      </w:r>
      <w:r w:rsidRPr="00D61C8A">
        <w:rPr>
          <w:rFonts w:ascii="Calibri" w:hAnsi="Calibri"/>
          <w:sz w:val="20"/>
          <w:szCs w:val="20"/>
        </w:rPr>
        <w:t xml:space="preserve"> contact the appropriate INSEC district representative (DR)</w:t>
      </w:r>
      <w:r w:rsidRPr="00D61C8A">
        <w:rPr>
          <w:rStyle w:val="EndnoteReference"/>
          <w:rFonts w:ascii="Calibri" w:hAnsi="Calibri"/>
          <w:sz w:val="20"/>
          <w:szCs w:val="20"/>
        </w:rPr>
        <w:endnoteReference w:id="144"/>
      </w:r>
    </w:p>
    <w:p w:rsidR="00B454FB" w:rsidRPr="00D61C8A" w:rsidRDefault="00B454FB" w:rsidP="00B454FB">
      <w:pPr>
        <w:pStyle w:val="ColorfulList-Accent11"/>
        <w:numPr>
          <w:ilvl w:val="0"/>
          <w:numId w:val="9"/>
        </w:numPr>
        <w:rPr>
          <w:rFonts w:ascii="Calibri" w:hAnsi="Calibri"/>
          <w:sz w:val="20"/>
          <w:szCs w:val="20"/>
        </w:rPr>
      </w:pPr>
      <w:r w:rsidRPr="00D61C8A">
        <w:rPr>
          <w:rFonts w:ascii="Calibri" w:hAnsi="Calibri"/>
          <w:sz w:val="20"/>
          <w:szCs w:val="20"/>
        </w:rPr>
        <w:t>INSEC regional offices follow up with DRs to ensure prompt data collection</w:t>
      </w:r>
      <w:r w:rsidRPr="00D61C8A">
        <w:rPr>
          <w:rStyle w:val="EndnoteReference"/>
          <w:rFonts w:ascii="Calibri" w:hAnsi="Calibri"/>
          <w:sz w:val="20"/>
          <w:szCs w:val="20"/>
        </w:rPr>
        <w:endnoteReference w:id="145"/>
      </w:r>
    </w:p>
    <w:p w:rsidR="00B454FB" w:rsidRPr="00D61C8A" w:rsidRDefault="00B454FB" w:rsidP="00B454FB">
      <w:pPr>
        <w:rPr>
          <w:rFonts w:ascii="Calibri" w:hAnsi="Calibri"/>
          <w:sz w:val="20"/>
          <w:szCs w:val="20"/>
        </w:rPr>
      </w:pPr>
    </w:p>
    <w:p w:rsidR="00B454FB" w:rsidRDefault="00B454FB" w:rsidP="00B454FB">
      <w:pPr>
        <w:pStyle w:val="Heading5"/>
        <w:numPr>
          <w:ilvl w:val="0"/>
          <w:numId w:val="0"/>
        </w:numPr>
        <w:spacing w:before="0"/>
        <w:rPr>
          <w:rFonts w:ascii="Calibri" w:hAnsi="Calibri"/>
          <w:sz w:val="20"/>
          <w:szCs w:val="20"/>
        </w:rPr>
        <w:sectPr w:rsidR="00B454FB">
          <w:footerReference w:type="default" r:id="rId22"/>
          <w:footnotePr>
            <w:numFmt w:val="lowerRoman"/>
          </w:footnotePr>
          <w:endnotePr>
            <w:numFmt w:val="decimal"/>
          </w:endnotePr>
          <w:pgSz w:w="12240" w:h="15840"/>
          <w:pgMar w:top="720" w:right="720" w:bottom="720" w:left="720" w:header="720" w:footer="720" w:gutter="0"/>
          <w:cols w:space="720"/>
          <w:titlePg/>
          <w:docGrid w:linePitch="326"/>
        </w:sectPr>
      </w:pPr>
    </w:p>
    <w:p w:rsidR="00B454FB" w:rsidRDefault="00B454FB" w:rsidP="00B454FB">
      <w:pPr>
        <w:pStyle w:val="Heading5"/>
        <w:numPr>
          <w:ilvl w:val="0"/>
          <w:numId w:val="0"/>
        </w:numPr>
        <w:spacing w:before="0"/>
        <w:rPr>
          <w:rFonts w:ascii="Calibri" w:hAnsi="Calibri"/>
          <w:sz w:val="20"/>
          <w:szCs w:val="20"/>
        </w:rPr>
      </w:pPr>
    </w:p>
    <w:p w:rsidR="00B454FB" w:rsidRPr="00EE3F80" w:rsidRDefault="00B454FB" w:rsidP="00B454FB">
      <w:pPr>
        <w:pStyle w:val="Caption"/>
        <w:keepNext/>
        <w:rPr>
          <w:rFonts w:ascii="Calibri" w:hAnsi="Calibri"/>
          <w:b w:val="0"/>
          <w:sz w:val="16"/>
        </w:rPr>
      </w:pPr>
      <w:r w:rsidRPr="00EE3F80">
        <w:rPr>
          <w:rFonts w:ascii="Calibri" w:hAnsi="Calibri"/>
          <w:b w:val="0"/>
          <w:sz w:val="16"/>
        </w:rPr>
        <w:t xml:space="preserve">Figure </w:t>
      </w:r>
      <w:r>
        <w:rPr>
          <w:rFonts w:ascii="Calibri" w:hAnsi="Calibri"/>
          <w:b w:val="0"/>
          <w:sz w:val="16"/>
        </w:rPr>
        <w:t>4</w:t>
      </w:r>
      <w:r w:rsidRPr="00EE3F80">
        <w:rPr>
          <w:rFonts w:ascii="Calibri" w:hAnsi="Calibri"/>
          <w:b w:val="0"/>
          <w:sz w:val="16"/>
        </w:rPr>
        <w:t>. Steps of the VAE injury surveillance system</w:t>
      </w:r>
    </w:p>
    <w:p w:rsidR="00B454FB" w:rsidRDefault="00407A28" w:rsidP="00B454FB">
      <w:pPr>
        <w:pStyle w:val="Heading5"/>
        <w:numPr>
          <w:ilvl w:val="0"/>
          <w:numId w:val="0"/>
        </w:numPr>
        <w:spacing w:before="0"/>
        <w:rPr>
          <w:rFonts w:ascii="Calibri" w:hAnsi="Calibri"/>
          <w:sz w:val="20"/>
          <w:szCs w:val="20"/>
        </w:rPr>
        <w:sectPr w:rsidR="00B454FB" w:rsidSect="00B454FB">
          <w:footnotePr>
            <w:numFmt w:val="lowerRoman"/>
          </w:footnotePr>
          <w:endnotePr>
            <w:numFmt w:val="decimal"/>
          </w:endnotePr>
          <w:pgSz w:w="15840" w:h="12240" w:orient="landscape"/>
          <w:pgMar w:top="720" w:right="720" w:bottom="720" w:left="720" w:header="720" w:footer="720" w:gutter="0"/>
          <w:cols w:space="720"/>
          <w:titlePg/>
          <w:docGrid w:linePitch="326"/>
        </w:sectPr>
      </w:pPr>
      <w:r>
        <w:rPr>
          <w:rFonts w:ascii="Calibri" w:hAnsi="Calibri"/>
          <w:noProof/>
          <w:sz w:val="20"/>
          <w:szCs w:val="20"/>
        </w:rPr>
        <w:drawing>
          <wp:inline distT="0" distB="0" distL="0" distR="0">
            <wp:extent cx="8308340" cy="6538595"/>
            <wp:effectExtent l="19050" t="0" r="0" b="0"/>
            <wp:docPr id="2" name="Picture 2" descr="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5"/>
                    <pic:cNvPicPr>
                      <a:picLocks noChangeAspect="1" noChangeArrowheads="1"/>
                    </pic:cNvPicPr>
                  </pic:nvPicPr>
                  <pic:blipFill>
                    <a:blip r:embed="rId23" cstate="print"/>
                    <a:srcRect/>
                    <a:stretch>
                      <a:fillRect/>
                    </a:stretch>
                  </pic:blipFill>
                  <pic:spPr bwMode="auto">
                    <a:xfrm>
                      <a:off x="0" y="0"/>
                      <a:ext cx="8308340" cy="6538595"/>
                    </a:xfrm>
                    <a:prstGeom prst="rect">
                      <a:avLst/>
                    </a:prstGeom>
                    <a:noFill/>
                    <a:ln w="9525">
                      <a:noFill/>
                      <a:miter lim="800000"/>
                      <a:headEnd/>
                      <a:tailEnd/>
                    </a:ln>
                  </pic:spPr>
                </pic:pic>
              </a:graphicData>
            </a:graphic>
          </wp:inline>
        </w:drawing>
      </w: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lastRenderedPageBreak/>
        <w:t>V.A.2.d (3)</w:t>
      </w:r>
      <w:r>
        <w:rPr>
          <w:rFonts w:ascii="Calibri" w:hAnsi="Calibri"/>
          <w:sz w:val="20"/>
          <w:szCs w:val="20"/>
        </w:rPr>
        <w:tab/>
      </w:r>
      <w:r>
        <w:rPr>
          <w:rFonts w:ascii="Calibri" w:hAnsi="Calibri"/>
          <w:sz w:val="20"/>
          <w:szCs w:val="20"/>
        </w:rPr>
        <w:tab/>
      </w:r>
      <w:r w:rsidRPr="00D61C8A">
        <w:rPr>
          <w:rFonts w:ascii="Calibri" w:hAnsi="Calibri"/>
          <w:sz w:val="20"/>
          <w:szCs w:val="20"/>
        </w:rPr>
        <w:t xml:space="preserve">INSEC </w:t>
      </w:r>
      <w:r>
        <w:rPr>
          <w:rFonts w:ascii="Calibri" w:hAnsi="Calibri"/>
          <w:sz w:val="20"/>
          <w:szCs w:val="20"/>
        </w:rPr>
        <w:t>DR</w:t>
      </w:r>
      <w:r w:rsidRPr="00D61C8A">
        <w:rPr>
          <w:rFonts w:ascii="Calibri" w:hAnsi="Calibri"/>
          <w:sz w:val="20"/>
          <w:szCs w:val="20"/>
        </w:rPr>
        <w:t xml:space="preserve"> investigates the incident and collects data</w:t>
      </w:r>
    </w:p>
    <w:p w:rsidR="00B454FB" w:rsidRPr="00D61C8A" w:rsidRDefault="00B454FB" w:rsidP="00B454FB">
      <w:pPr>
        <w:rPr>
          <w:rFonts w:ascii="Calibri" w:hAnsi="Calibri"/>
          <w:sz w:val="20"/>
          <w:szCs w:val="20"/>
          <w:highlight w:val="yellow"/>
        </w:rPr>
      </w:pP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 xml:space="preserve">DRs gather information from </w:t>
      </w:r>
      <w:r>
        <w:rPr>
          <w:rFonts w:ascii="Calibri" w:hAnsi="Calibri"/>
          <w:sz w:val="20"/>
          <w:szCs w:val="20"/>
        </w:rPr>
        <w:t>injured individual</w:t>
      </w:r>
      <w:r w:rsidRPr="00D61C8A">
        <w:rPr>
          <w:rFonts w:ascii="Calibri" w:hAnsi="Calibri"/>
          <w:sz w:val="20"/>
          <w:szCs w:val="20"/>
        </w:rPr>
        <w:t>s, relatives, incident witnesses, police, hospital personnel, teachers, and members of community-based organizations</w:t>
      </w:r>
      <w:r w:rsidRPr="00D61C8A">
        <w:rPr>
          <w:rStyle w:val="EndnoteReference"/>
          <w:rFonts w:ascii="Calibri" w:hAnsi="Calibri"/>
          <w:sz w:val="20"/>
          <w:szCs w:val="20"/>
        </w:rPr>
        <w:endnoteReference w:id="146"/>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 xml:space="preserve">Examination of 45 information sources reporting between June and October 2006 found that the sources were family members </w:t>
      </w:r>
      <w:r>
        <w:rPr>
          <w:rFonts w:ascii="Calibri" w:hAnsi="Calibri"/>
          <w:sz w:val="20"/>
          <w:szCs w:val="20"/>
        </w:rPr>
        <w:t xml:space="preserve">and other relatives </w:t>
      </w:r>
      <w:r w:rsidRPr="00D61C8A">
        <w:rPr>
          <w:rFonts w:ascii="Calibri" w:hAnsi="Calibri"/>
          <w:sz w:val="20"/>
          <w:szCs w:val="20"/>
        </w:rPr>
        <w:t>(</w:t>
      </w:r>
      <w:r>
        <w:rPr>
          <w:rFonts w:ascii="Calibri" w:hAnsi="Calibri"/>
          <w:sz w:val="20"/>
          <w:szCs w:val="20"/>
        </w:rPr>
        <w:t xml:space="preserve">51 </w:t>
      </w:r>
      <w:r w:rsidRPr="00D61C8A">
        <w:rPr>
          <w:rFonts w:ascii="Calibri" w:hAnsi="Calibri"/>
          <w:sz w:val="20"/>
          <w:szCs w:val="20"/>
        </w:rPr>
        <w:t>%), locals (24</w:t>
      </w:r>
      <w:r>
        <w:rPr>
          <w:rFonts w:ascii="Calibri" w:hAnsi="Calibri"/>
          <w:sz w:val="20"/>
          <w:szCs w:val="20"/>
        </w:rPr>
        <w:t xml:space="preserve"> </w:t>
      </w:r>
      <w:r w:rsidRPr="00D61C8A">
        <w:rPr>
          <w:rFonts w:ascii="Calibri" w:hAnsi="Calibri"/>
          <w:sz w:val="20"/>
          <w:szCs w:val="20"/>
        </w:rPr>
        <w:t xml:space="preserve">%), </w:t>
      </w:r>
      <w:r>
        <w:rPr>
          <w:rFonts w:ascii="Calibri" w:hAnsi="Calibri"/>
          <w:sz w:val="20"/>
          <w:szCs w:val="20"/>
        </w:rPr>
        <w:t>injured individual</w:t>
      </w:r>
      <w:r w:rsidRPr="00D61C8A">
        <w:rPr>
          <w:rFonts w:ascii="Calibri" w:hAnsi="Calibri"/>
          <w:sz w:val="20"/>
          <w:szCs w:val="20"/>
        </w:rPr>
        <w:t>s (16</w:t>
      </w:r>
      <w:r>
        <w:rPr>
          <w:rFonts w:ascii="Calibri" w:hAnsi="Calibri"/>
          <w:sz w:val="20"/>
          <w:szCs w:val="20"/>
        </w:rPr>
        <w:t xml:space="preserve"> </w:t>
      </w:r>
      <w:r w:rsidRPr="00D61C8A">
        <w:rPr>
          <w:rFonts w:ascii="Calibri" w:hAnsi="Calibri"/>
          <w:sz w:val="20"/>
          <w:szCs w:val="20"/>
        </w:rPr>
        <w:t>%) and witnesses (9</w:t>
      </w:r>
      <w:r>
        <w:rPr>
          <w:rFonts w:ascii="Calibri" w:hAnsi="Calibri"/>
          <w:sz w:val="20"/>
          <w:szCs w:val="20"/>
        </w:rPr>
        <w:t xml:space="preserve"> </w:t>
      </w:r>
      <w:r w:rsidRPr="00D61C8A">
        <w:rPr>
          <w:rFonts w:ascii="Calibri" w:hAnsi="Calibri"/>
          <w:sz w:val="20"/>
          <w:szCs w:val="20"/>
        </w:rPr>
        <w:t>%)</w:t>
      </w:r>
      <w:r w:rsidRPr="00D61C8A">
        <w:rPr>
          <w:rStyle w:val="EndnoteReference"/>
          <w:rFonts w:ascii="Calibri" w:hAnsi="Calibri"/>
          <w:sz w:val="20"/>
          <w:szCs w:val="20"/>
        </w:rPr>
        <w:endnoteReference w:id="147"/>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If DR</w:t>
      </w:r>
      <w:r>
        <w:rPr>
          <w:rFonts w:ascii="Calibri" w:hAnsi="Calibri"/>
          <w:sz w:val="20"/>
          <w:szCs w:val="20"/>
        </w:rPr>
        <w:t>s</w:t>
      </w:r>
      <w:r w:rsidRPr="00D61C8A">
        <w:rPr>
          <w:rFonts w:ascii="Calibri" w:hAnsi="Calibri"/>
          <w:sz w:val="20"/>
          <w:szCs w:val="20"/>
        </w:rPr>
        <w:t xml:space="preserve"> </w:t>
      </w:r>
      <w:r>
        <w:rPr>
          <w:rFonts w:ascii="Calibri" w:hAnsi="Calibri"/>
          <w:sz w:val="20"/>
          <w:szCs w:val="20"/>
        </w:rPr>
        <w:t>are</w:t>
      </w:r>
      <w:r w:rsidRPr="00D61C8A">
        <w:rPr>
          <w:rFonts w:ascii="Calibri" w:hAnsi="Calibri"/>
          <w:sz w:val="20"/>
          <w:szCs w:val="20"/>
        </w:rPr>
        <w:t xml:space="preserve"> unable to collect adequate data from one source, </w:t>
      </w:r>
      <w:r>
        <w:rPr>
          <w:rFonts w:ascii="Calibri" w:hAnsi="Calibri"/>
          <w:sz w:val="20"/>
          <w:szCs w:val="20"/>
        </w:rPr>
        <w:t>they</w:t>
      </w:r>
      <w:r w:rsidRPr="00D61C8A">
        <w:rPr>
          <w:rFonts w:ascii="Calibri" w:hAnsi="Calibri"/>
          <w:sz w:val="20"/>
          <w:szCs w:val="20"/>
        </w:rPr>
        <w:t xml:space="preserve"> consult with multiple sources </w:t>
      </w: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DRs go to incident sites if possible;</w:t>
      </w:r>
      <w:r w:rsidRPr="00D61C8A">
        <w:rPr>
          <w:rStyle w:val="EndnoteReference"/>
          <w:rFonts w:ascii="Calibri" w:hAnsi="Calibri"/>
          <w:sz w:val="20"/>
          <w:szCs w:val="20"/>
        </w:rPr>
        <w:endnoteReference w:id="148"/>
      </w:r>
      <w:r w:rsidRPr="00D61C8A">
        <w:rPr>
          <w:rFonts w:ascii="Calibri" w:hAnsi="Calibri"/>
          <w:sz w:val="20"/>
          <w:szCs w:val="20"/>
        </w:rPr>
        <w:t xml:space="preserve"> they may also meet </w:t>
      </w:r>
      <w:r>
        <w:rPr>
          <w:rFonts w:ascii="Calibri" w:hAnsi="Calibri"/>
          <w:sz w:val="20"/>
          <w:szCs w:val="20"/>
        </w:rPr>
        <w:t>injured individual</w:t>
      </w:r>
      <w:r w:rsidRPr="00D61C8A">
        <w:rPr>
          <w:rFonts w:ascii="Calibri" w:hAnsi="Calibri"/>
          <w:sz w:val="20"/>
          <w:szCs w:val="20"/>
        </w:rPr>
        <w:t xml:space="preserve">s and other </w:t>
      </w:r>
      <w:r w:rsidR="00C84344">
        <w:rPr>
          <w:rFonts w:ascii="Calibri" w:hAnsi="Calibri"/>
          <w:sz w:val="20"/>
          <w:szCs w:val="20"/>
        </w:rPr>
        <w:t xml:space="preserve">information </w:t>
      </w:r>
      <w:r w:rsidRPr="00D61C8A">
        <w:rPr>
          <w:rFonts w:ascii="Calibri" w:hAnsi="Calibri"/>
          <w:sz w:val="20"/>
          <w:szCs w:val="20"/>
        </w:rPr>
        <w:t>sources at hospitals</w:t>
      </w:r>
      <w:r w:rsidRPr="00D61C8A">
        <w:rPr>
          <w:rStyle w:val="EndnoteReference"/>
          <w:rFonts w:ascii="Calibri" w:hAnsi="Calibri"/>
          <w:sz w:val="20"/>
          <w:szCs w:val="20"/>
        </w:rPr>
        <w:endnoteReference w:id="149"/>
      </w: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DRs record data in Nepali on a two-sided standardized form</w:t>
      </w:r>
      <w:r w:rsidRPr="00D61C8A">
        <w:rPr>
          <w:rStyle w:val="EndnoteReference"/>
          <w:rFonts w:ascii="Calibri" w:hAnsi="Calibri"/>
          <w:sz w:val="20"/>
          <w:szCs w:val="20"/>
        </w:rPr>
        <w:endnoteReference w:id="150"/>
      </w:r>
      <w:r w:rsidRPr="00D61C8A">
        <w:rPr>
          <w:rFonts w:ascii="Calibri" w:hAnsi="Calibri"/>
          <w:sz w:val="20"/>
          <w:szCs w:val="20"/>
        </w:rPr>
        <w:t xml:space="preserve"> (see Appendices A.3 and A.4 for Nepali and English versions of the form and definitions of data elements)</w:t>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The form was developed by a consultant at HI in 2006</w:t>
      </w:r>
      <w:r w:rsidRPr="00D61C8A">
        <w:rPr>
          <w:rStyle w:val="EndnoteReference"/>
          <w:rFonts w:ascii="Calibri" w:hAnsi="Calibri"/>
          <w:sz w:val="20"/>
          <w:szCs w:val="20"/>
        </w:rPr>
        <w:endnoteReference w:id="151"/>
      </w:r>
      <w:r w:rsidRPr="00D61C8A">
        <w:rPr>
          <w:rFonts w:ascii="Calibri" w:hAnsi="Calibri"/>
          <w:sz w:val="20"/>
          <w:szCs w:val="20"/>
        </w:rPr>
        <w:t xml:space="preserve"> and updated in 2009</w:t>
      </w:r>
      <w:r w:rsidRPr="00D61C8A">
        <w:rPr>
          <w:rStyle w:val="EndnoteReference"/>
          <w:rFonts w:ascii="Calibri" w:hAnsi="Calibri"/>
          <w:sz w:val="20"/>
          <w:szCs w:val="20"/>
        </w:rPr>
        <w:endnoteReference w:id="152"/>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The form contains information on five main categories:</w:t>
      </w:r>
    </w:p>
    <w:p w:rsidR="00B454FB" w:rsidRPr="00D61C8A" w:rsidRDefault="00B454FB" w:rsidP="00B454FB">
      <w:pPr>
        <w:pStyle w:val="ColorfulList-Accent11"/>
        <w:numPr>
          <w:ilvl w:val="2"/>
          <w:numId w:val="10"/>
        </w:numPr>
        <w:rPr>
          <w:rFonts w:ascii="Calibri" w:hAnsi="Calibri"/>
          <w:sz w:val="20"/>
          <w:szCs w:val="20"/>
        </w:rPr>
      </w:pPr>
      <w:r>
        <w:rPr>
          <w:rFonts w:ascii="Calibri" w:hAnsi="Calibri"/>
          <w:sz w:val="20"/>
          <w:szCs w:val="20"/>
        </w:rPr>
        <w:t>Injured individual</w:t>
      </w:r>
      <w:r w:rsidRPr="00D61C8A">
        <w:rPr>
          <w:rFonts w:ascii="Calibri" w:hAnsi="Calibri"/>
          <w:sz w:val="20"/>
          <w:szCs w:val="20"/>
        </w:rPr>
        <w:t xml:space="preserve"> demographics (name, address, sex, age, caste, language, literacy and educational status, economic status, marital status, family size, occupation)</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Details of incident (date, geographical and physical location, type of ED, activity at time of incident, cause of detonation)</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Outcome of incident (</w:t>
      </w:r>
      <w:r w:rsidR="000E1D07">
        <w:rPr>
          <w:rFonts w:ascii="Calibri" w:hAnsi="Calibri"/>
          <w:sz w:val="20"/>
          <w:szCs w:val="20"/>
        </w:rPr>
        <w:t xml:space="preserve">type and location of </w:t>
      </w:r>
      <w:r w:rsidRPr="00D61C8A">
        <w:rPr>
          <w:rFonts w:ascii="Calibri" w:hAnsi="Calibri"/>
          <w:sz w:val="20"/>
          <w:szCs w:val="20"/>
        </w:rPr>
        <w:t>injuries, location and timing of death if fatal)</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 xml:space="preserve">Risk awareness (marking of incident location, </w:t>
      </w:r>
      <w:r>
        <w:rPr>
          <w:rFonts w:ascii="Calibri" w:hAnsi="Calibri"/>
          <w:sz w:val="20"/>
          <w:szCs w:val="20"/>
        </w:rPr>
        <w:t>injured individual</w:t>
      </w:r>
      <w:r w:rsidRPr="00D61C8A">
        <w:rPr>
          <w:rFonts w:ascii="Calibri" w:hAnsi="Calibri"/>
          <w:sz w:val="20"/>
          <w:szCs w:val="20"/>
        </w:rPr>
        <w:t xml:space="preserve">’s knowledge about the area and activity at the time of injury, </w:t>
      </w:r>
      <w:r>
        <w:rPr>
          <w:rFonts w:ascii="Calibri" w:hAnsi="Calibri"/>
          <w:sz w:val="20"/>
          <w:szCs w:val="20"/>
        </w:rPr>
        <w:t>injured individual</w:t>
      </w:r>
      <w:r w:rsidRPr="00D61C8A">
        <w:rPr>
          <w:rFonts w:ascii="Calibri" w:hAnsi="Calibri"/>
          <w:sz w:val="20"/>
          <w:szCs w:val="20"/>
        </w:rPr>
        <w:t>’s receipt of MRE)</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 xml:space="preserve">Reporting details (name, address and relationship of source </w:t>
      </w:r>
      <w:r w:rsidR="00C84344">
        <w:rPr>
          <w:rFonts w:ascii="Calibri" w:hAnsi="Calibri"/>
          <w:sz w:val="20"/>
          <w:szCs w:val="20"/>
        </w:rPr>
        <w:t>[</w:t>
      </w:r>
      <w:r w:rsidRPr="00D61C8A">
        <w:rPr>
          <w:rFonts w:ascii="Calibri" w:hAnsi="Calibri"/>
          <w:sz w:val="20"/>
          <w:szCs w:val="20"/>
        </w:rPr>
        <w:t xml:space="preserve">to </w:t>
      </w:r>
      <w:r>
        <w:rPr>
          <w:rFonts w:ascii="Calibri" w:hAnsi="Calibri"/>
          <w:sz w:val="20"/>
          <w:szCs w:val="20"/>
        </w:rPr>
        <w:t>injured individual</w:t>
      </w:r>
      <w:r w:rsidR="00C84344">
        <w:rPr>
          <w:rFonts w:ascii="Calibri" w:hAnsi="Calibri"/>
          <w:sz w:val="20"/>
          <w:szCs w:val="20"/>
        </w:rPr>
        <w:t>]</w:t>
      </w:r>
      <w:r w:rsidRPr="00D61C8A">
        <w:rPr>
          <w:rFonts w:ascii="Calibri" w:hAnsi="Calibri"/>
          <w:sz w:val="20"/>
          <w:szCs w:val="20"/>
        </w:rPr>
        <w:t>, name of DR, date of reporting and sending, other remarks)</w:t>
      </w: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 xml:space="preserve">When possible, DRs include case studies with photographs of </w:t>
      </w:r>
      <w:r>
        <w:rPr>
          <w:rFonts w:ascii="Calibri" w:hAnsi="Calibri"/>
          <w:sz w:val="20"/>
          <w:szCs w:val="20"/>
        </w:rPr>
        <w:t>injured individual</w:t>
      </w:r>
      <w:r w:rsidRPr="00D61C8A">
        <w:rPr>
          <w:rFonts w:ascii="Calibri" w:hAnsi="Calibri"/>
          <w:sz w:val="20"/>
          <w:szCs w:val="20"/>
        </w:rPr>
        <w:t>s in their reports</w:t>
      </w:r>
      <w:r w:rsidRPr="00D61C8A">
        <w:rPr>
          <w:rStyle w:val="EndnoteReference"/>
          <w:rFonts w:ascii="Calibri" w:hAnsi="Calibri"/>
          <w:sz w:val="20"/>
          <w:szCs w:val="20"/>
        </w:rPr>
        <w:endnoteReference w:id="153"/>
      </w:r>
      <w:r w:rsidRPr="00D61C8A">
        <w:rPr>
          <w:rFonts w:ascii="Calibri" w:hAnsi="Calibri"/>
          <w:sz w:val="20"/>
          <w:szCs w:val="20"/>
        </w:rPr>
        <w:t xml:space="preserve"> (see example of case study with photograph in Appendix A.5)</w:t>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All DRs are given digital cameras when they begin work for the surveillance system</w:t>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Photographs are not always taken or included in reports for several reasons:</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DRs may forget to take cameras to the field</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Cameras may not work any more</w:t>
      </w:r>
    </w:p>
    <w:p w:rsidR="00B454FB" w:rsidRPr="00D61C8A" w:rsidRDefault="00B454FB" w:rsidP="00B454FB">
      <w:pPr>
        <w:pStyle w:val="ColorfulList-Accent11"/>
        <w:numPr>
          <w:ilvl w:val="2"/>
          <w:numId w:val="10"/>
        </w:numPr>
        <w:rPr>
          <w:rFonts w:ascii="Calibri" w:hAnsi="Calibri"/>
          <w:sz w:val="20"/>
          <w:szCs w:val="20"/>
        </w:rPr>
      </w:pPr>
      <w:r w:rsidRPr="00D61C8A">
        <w:rPr>
          <w:rFonts w:ascii="Calibri" w:hAnsi="Calibri"/>
          <w:sz w:val="20"/>
          <w:szCs w:val="20"/>
        </w:rPr>
        <w:t>DRs may not know how to send photographs electronically</w:t>
      </w:r>
      <w:r w:rsidRPr="00D61C8A">
        <w:rPr>
          <w:rStyle w:val="EndnoteReference"/>
          <w:rFonts w:ascii="Calibri" w:hAnsi="Calibri"/>
          <w:sz w:val="20"/>
          <w:szCs w:val="20"/>
        </w:rPr>
        <w:endnoteReference w:id="154"/>
      </w:r>
    </w:p>
    <w:p w:rsidR="00B454FB" w:rsidRPr="00D61C8A" w:rsidRDefault="00B454FB" w:rsidP="00B454FB">
      <w:pPr>
        <w:pStyle w:val="ColorfulList-Accent11"/>
        <w:numPr>
          <w:ilvl w:val="2"/>
          <w:numId w:val="10"/>
        </w:numPr>
        <w:rPr>
          <w:rFonts w:ascii="Calibri" w:hAnsi="Calibri"/>
          <w:sz w:val="20"/>
          <w:szCs w:val="20"/>
        </w:rPr>
      </w:pPr>
      <w:r>
        <w:rPr>
          <w:rFonts w:ascii="Calibri" w:hAnsi="Calibri"/>
          <w:sz w:val="20"/>
          <w:szCs w:val="20"/>
        </w:rPr>
        <w:t>Injured individual</w:t>
      </w:r>
      <w:r w:rsidRPr="00D61C8A">
        <w:rPr>
          <w:rFonts w:ascii="Calibri" w:hAnsi="Calibri"/>
          <w:sz w:val="20"/>
          <w:szCs w:val="20"/>
        </w:rPr>
        <w:t>s and their families may not want photographs taken</w:t>
      </w:r>
      <w:r>
        <w:rPr>
          <w:rFonts w:ascii="Calibri" w:hAnsi="Calibri"/>
          <w:sz w:val="20"/>
          <w:szCs w:val="20"/>
        </w:rPr>
        <w:t xml:space="preserve"> or may request compensation for photographs</w:t>
      </w:r>
      <w:r w:rsidRPr="00D61C8A">
        <w:rPr>
          <w:rStyle w:val="EndnoteReference"/>
          <w:rFonts w:ascii="Calibri" w:hAnsi="Calibri"/>
          <w:sz w:val="20"/>
          <w:szCs w:val="20"/>
        </w:rPr>
        <w:endnoteReference w:id="155"/>
      </w: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DRs send data collection forms to regional office</w:t>
      </w:r>
      <w:r>
        <w:rPr>
          <w:rFonts w:ascii="Calibri" w:hAnsi="Calibri"/>
          <w:sz w:val="20"/>
          <w:szCs w:val="20"/>
        </w:rPr>
        <w:t>s</w:t>
      </w:r>
      <w:r w:rsidRPr="00D61C8A">
        <w:rPr>
          <w:rFonts w:ascii="Calibri" w:hAnsi="Calibri"/>
          <w:sz w:val="20"/>
          <w:szCs w:val="20"/>
        </w:rPr>
        <w:t xml:space="preserve"> as soon as possible</w:t>
      </w:r>
    </w:p>
    <w:p w:rsidR="00B454FB" w:rsidRPr="00D61C8A" w:rsidRDefault="00B454FB" w:rsidP="00B454FB">
      <w:pPr>
        <w:pStyle w:val="ColorfulList-Accent11"/>
        <w:numPr>
          <w:ilvl w:val="1"/>
          <w:numId w:val="10"/>
        </w:numPr>
        <w:rPr>
          <w:rFonts w:ascii="Calibri" w:hAnsi="Calibri"/>
          <w:sz w:val="20"/>
          <w:szCs w:val="20"/>
        </w:rPr>
      </w:pPr>
      <w:r w:rsidRPr="00D61C8A">
        <w:rPr>
          <w:rFonts w:ascii="Calibri" w:hAnsi="Calibri"/>
          <w:sz w:val="20"/>
          <w:szCs w:val="20"/>
        </w:rPr>
        <w:t>Most forms are sent via e-mail; approximately 10 DRs send their forms by fax or telephone</w:t>
      </w:r>
      <w:r w:rsidRPr="00D61C8A">
        <w:rPr>
          <w:rStyle w:val="EndnoteReference"/>
          <w:rFonts w:ascii="Calibri" w:hAnsi="Calibri"/>
          <w:sz w:val="20"/>
          <w:szCs w:val="20"/>
        </w:rPr>
        <w:endnoteReference w:id="156"/>
      </w:r>
    </w:p>
    <w:p w:rsidR="00B454FB" w:rsidRPr="00D61C8A" w:rsidRDefault="00B454FB" w:rsidP="00B454FB">
      <w:pPr>
        <w:pStyle w:val="ColorfulList-Accent11"/>
        <w:numPr>
          <w:ilvl w:val="1"/>
          <w:numId w:val="10"/>
        </w:numPr>
        <w:rPr>
          <w:rFonts w:ascii="Calibri" w:hAnsi="Calibri"/>
          <w:sz w:val="20"/>
          <w:szCs w:val="20"/>
        </w:rPr>
      </w:pPr>
      <w:r>
        <w:rPr>
          <w:rFonts w:ascii="Calibri" w:hAnsi="Calibri"/>
          <w:sz w:val="20"/>
          <w:szCs w:val="20"/>
        </w:rPr>
        <w:t>The INSEC focal point for mine action (</w:t>
      </w:r>
      <w:r w:rsidRPr="00D61C8A">
        <w:rPr>
          <w:rFonts w:ascii="Calibri" w:hAnsi="Calibri"/>
          <w:sz w:val="20"/>
          <w:szCs w:val="20"/>
        </w:rPr>
        <w:t>FPMA</w:t>
      </w:r>
      <w:r>
        <w:rPr>
          <w:rFonts w:ascii="Calibri" w:hAnsi="Calibri"/>
          <w:sz w:val="20"/>
          <w:szCs w:val="20"/>
        </w:rPr>
        <w:t>)</w:t>
      </w:r>
      <w:r w:rsidRPr="00D61C8A">
        <w:rPr>
          <w:rFonts w:ascii="Calibri" w:hAnsi="Calibri"/>
          <w:sz w:val="20"/>
          <w:szCs w:val="20"/>
        </w:rPr>
        <w:t xml:space="preserve"> in the central office is usually (about 75</w:t>
      </w:r>
      <w:r>
        <w:rPr>
          <w:rFonts w:ascii="Calibri" w:hAnsi="Calibri"/>
          <w:sz w:val="20"/>
          <w:szCs w:val="20"/>
        </w:rPr>
        <w:t xml:space="preserve"> </w:t>
      </w:r>
      <w:r w:rsidRPr="00D61C8A">
        <w:rPr>
          <w:rFonts w:ascii="Calibri" w:hAnsi="Calibri"/>
          <w:sz w:val="20"/>
          <w:szCs w:val="20"/>
        </w:rPr>
        <w:t>% of the time) copied by e-mail when forms are sent electronically</w:t>
      </w:r>
      <w:r w:rsidRPr="00D61C8A">
        <w:rPr>
          <w:rStyle w:val="EndnoteReference"/>
          <w:rFonts w:ascii="Calibri" w:hAnsi="Calibri"/>
          <w:sz w:val="20"/>
          <w:szCs w:val="20"/>
        </w:rPr>
        <w:endnoteReference w:id="157"/>
      </w:r>
    </w:p>
    <w:p w:rsidR="00B454FB" w:rsidRPr="00D61C8A" w:rsidRDefault="00B454FB" w:rsidP="00B454FB">
      <w:pPr>
        <w:pStyle w:val="ColorfulList-Accent11"/>
        <w:numPr>
          <w:ilvl w:val="0"/>
          <w:numId w:val="10"/>
        </w:numPr>
        <w:rPr>
          <w:rFonts w:ascii="Calibri" w:hAnsi="Calibri"/>
          <w:sz w:val="20"/>
          <w:szCs w:val="20"/>
        </w:rPr>
      </w:pPr>
      <w:r w:rsidRPr="00D61C8A">
        <w:rPr>
          <w:rFonts w:ascii="Calibri" w:hAnsi="Calibri"/>
          <w:sz w:val="20"/>
          <w:szCs w:val="20"/>
        </w:rPr>
        <w:t xml:space="preserve">DRs refer </w:t>
      </w:r>
      <w:r>
        <w:rPr>
          <w:rFonts w:ascii="Calibri" w:hAnsi="Calibri"/>
          <w:sz w:val="20"/>
          <w:szCs w:val="20"/>
        </w:rPr>
        <w:t>injured individual</w:t>
      </w:r>
      <w:r w:rsidRPr="00D61C8A">
        <w:rPr>
          <w:rFonts w:ascii="Calibri" w:hAnsi="Calibri"/>
          <w:sz w:val="20"/>
          <w:szCs w:val="20"/>
        </w:rPr>
        <w:t>s and their families to H</w:t>
      </w:r>
      <w:r>
        <w:rPr>
          <w:rFonts w:ascii="Calibri" w:hAnsi="Calibri"/>
          <w:sz w:val="20"/>
          <w:szCs w:val="20"/>
        </w:rPr>
        <w:t>I, Himalayan Human Rights Monitors (HimRights), the International Committee of the Red Cross (ICRC) and NCBL</w:t>
      </w:r>
      <w:r w:rsidRPr="00D61C8A">
        <w:rPr>
          <w:rFonts w:ascii="Calibri" w:hAnsi="Calibri"/>
          <w:sz w:val="20"/>
          <w:szCs w:val="20"/>
        </w:rPr>
        <w:t xml:space="preserve"> for </w:t>
      </w:r>
      <w:r>
        <w:rPr>
          <w:rFonts w:ascii="Calibri" w:hAnsi="Calibri"/>
          <w:sz w:val="20"/>
          <w:szCs w:val="20"/>
        </w:rPr>
        <w:t>VA</w:t>
      </w:r>
      <w:r w:rsidRPr="00D61C8A">
        <w:rPr>
          <w:rFonts w:ascii="Calibri" w:hAnsi="Calibri"/>
          <w:sz w:val="20"/>
          <w:szCs w:val="20"/>
        </w:rPr>
        <w:t xml:space="preserve"> services; if they are not able to refer to adequate services at the district level, they consult with INSEC regional centers.  DRs may also follow up later to </w:t>
      </w:r>
      <w:r>
        <w:rPr>
          <w:rFonts w:ascii="Calibri" w:hAnsi="Calibri"/>
          <w:sz w:val="20"/>
          <w:szCs w:val="20"/>
        </w:rPr>
        <w:t>en</w:t>
      </w:r>
      <w:r w:rsidRPr="00D61C8A">
        <w:rPr>
          <w:rFonts w:ascii="Calibri" w:hAnsi="Calibri"/>
          <w:sz w:val="20"/>
          <w:szCs w:val="20"/>
        </w:rPr>
        <w:t xml:space="preserve">sure that </w:t>
      </w:r>
      <w:r>
        <w:rPr>
          <w:rFonts w:ascii="Calibri" w:hAnsi="Calibri"/>
          <w:sz w:val="20"/>
          <w:szCs w:val="20"/>
        </w:rPr>
        <w:t>injured individual</w:t>
      </w:r>
      <w:r w:rsidRPr="00D61C8A">
        <w:rPr>
          <w:rFonts w:ascii="Calibri" w:hAnsi="Calibri"/>
          <w:sz w:val="20"/>
          <w:szCs w:val="20"/>
        </w:rPr>
        <w:t>s have received adequate care.</w:t>
      </w:r>
      <w:r w:rsidRPr="00D61C8A">
        <w:rPr>
          <w:rStyle w:val="EndnoteReference"/>
          <w:rFonts w:ascii="Calibri" w:hAnsi="Calibri"/>
          <w:sz w:val="20"/>
          <w:szCs w:val="20"/>
        </w:rPr>
        <w:endnoteReference w:id="158"/>
      </w:r>
    </w:p>
    <w:p w:rsidR="00B454FB" w:rsidRPr="00D61C8A" w:rsidRDefault="00B454FB" w:rsidP="00B454FB">
      <w:pPr>
        <w:rPr>
          <w:rFonts w:ascii="Calibri" w:hAnsi="Calibri"/>
          <w:sz w:val="20"/>
          <w:szCs w:val="20"/>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(4)</w:t>
      </w:r>
      <w:r>
        <w:rPr>
          <w:rFonts w:ascii="Calibri" w:hAnsi="Calibri"/>
          <w:sz w:val="20"/>
          <w:szCs w:val="20"/>
        </w:rPr>
        <w:tab/>
      </w:r>
      <w:r>
        <w:rPr>
          <w:rFonts w:ascii="Calibri" w:hAnsi="Calibri"/>
          <w:sz w:val="20"/>
          <w:szCs w:val="20"/>
        </w:rPr>
        <w:tab/>
      </w:r>
      <w:r w:rsidRPr="00D61C8A">
        <w:rPr>
          <w:rFonts w:ascii="Calibri" w:hAnsi="Calibri"/>
          <w:sz w:val="20"/>
          <w:szCs w:val="20"/>
        </w:rPr>
        <w:t>INSEC regional office reviews data</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11"/>
        </w:numPr>
        <w:rPr>
          <w:rFonts w:ascii="Calibri" w:hAnsi="Calibri"/>
          <w:sz w:val="20"/>
          <w:szCs w:val="20"/>
        </w:rPr>
      </w:pPr>
      <w:r w:rsidRPr="00D61C8A">
        <w:rPr>
          <w:rFonts w:ascii="Calibri" w:hAnsi="Calibri"/>
          <w:sz w:val="20"/>
          <w:szCs w:val="20"/>
        </w:rPr>
        <w:t>Six to 10 staff members work in each regional office</w:t>
      </w:r>
    </w:p>
    <w:p w:rsidR="00B454FB" w:rsidRPr="00D61C8A" w:rsidRDefault="00B454FB" w:rsidP="00B454FB">
      <w:pPr>
        <w:pStyle w:val="ColorfulList-Accent11"/>
        <w:numPr>
          <w:ilvl w:val="0"/>
          <w:numId w:val="11"/>
        </w:numPr>
        <w:rPr>
          <w:rFonts w:ascii="Calibri" w:hAnsi="Calibri"/>
          <w:sz w:val="20"/>
          <w:szCs w:val="20"/>
        </w:rPr>
      </w:pPr>
      <w:r w:rsidRPr="00D61C8A">
        <w:rPr>
          <w:rFonts w:ascii="Calibri" w:hAnsi="Calibri"/>
          <w:sz w:val="20"/>
          <w:szCs w:val="20"/>
        </w:rPr>
        <w:t>Each office has a documentation officer</w:t>
      </w:r>
      <w:r>
        <w:rPr>
          <w:rFonts w:ascii="Calibri" w:hAnsi="Calibri"/>
          <w:sz w:val="20"/>
          <w:szCs w:val="20"/>
        </w:rPr>
        <w:t xml:space="preserve"> (DO)</w:t>
      </w:r>
    </w:p>
    <w:p w:rsidR="00B454FB" w:rsidRPr="00D61C8A" w:rsidRDefault="00B454FB" w:rsidP="00B454FB">
      <w:pPr>
        <w:pStyle w:val="ColorfulList-Accent11"/>
        <w:numPr>
          <w:ilvl w:val="1"/>
          <w:numId w:val="11"/>
        </w:numPr>
        <w:rPr>
          <w:rFonts w:ascii="Calibri" w:hAnsi="Calibri"/>
          <w:sz w:val="20"/>
          <w:szCs w:val="20"/>
        </w:rPr>
      </w:pPr>
      <w:r w:rsidRPr="00D61C8A">
        <w:rPr>
          <w:rFonts w:ascii="Calibri" w:hAnsi="Calibri"/>
          <w:sz w:val="20"/>
          <w:szCs w:val="20"/>
        </w:rPr>
        <w:t>DO</w:t>
      </w:r>
      <w:r>
        <w:rPr>
          <w:rFonts w:ascii="Calibri" w:hAnsi="Calibri"/>
          <w:sz w:val="20"/>
          <w:szCs w:val="20"/>
        </w:rPr>
        <w:t>s</w:t>
      </w:r>
      <w:r w:rsidRPr="00D61C8A">
        <w:rPr>
          <w:rFonts w:ascii="Calibri" w:hAnsi="Calibri"/>
          <w:sz w:val="20"/>
          <w:szCs w:val="20"/>
        </w:rPr>
        <w:t xml:space="preserve"> act as emergency focal point</w:t>
      </w:r>
      <w:r>
        <w:rPr>
          <w:rFonts w:ascii="Calibri" w:hAnsi="Calibri"/>
          <w:sz w:val="20"/>
          <w:szCs w:val="20"/>
        </w:rPr>
        <w:t>s</w:t>
      </w:r>
      <w:r w:rsidRPr="00D61C8A">
        <w:rPr>
          <w:rFonts w:ascii="Calibri" w:hAnsi="Calibri"/>
          <w:sz w:val="20"/>
          <w:szCs w:val="20"/>
        </w:rPr>
        <w:t xml:space="preserve">, even when </w:t>
      </w:r>
      <w:r>
        <w:rPr>
          <w:rFonts w:ascii="Calibri" w:hAnsi="Calibri"/>
          <w:sz w:val="20"/>
          <w:szCs w:val="20"/>
        </w:rPr>
        <w:t>regional</w:t>
      </w:r>
      <w:r w:rsidRPr="00D61C8A">
        <w:rPr>
          <w:rFonts w:ascii="Calibri" w:hAnsi="Calibri"/>
          <w:sz w:val="20"/>
          <w:szCs w:val="20"/>
        </w:rPr>
        <w:t xml:space="preserve"> office</w:t>
      </w:r>
      <w:r>
        <w:rPr>
          <w:rFonts w:ascii="Calibri" w:hAnsi="Calibri"/>
          <w:sz w:val="20"/>
          <w:szCs w:val="20"/>
        </w:rPr>
        <w:t>s</w:t>
      </w:r>
      <w:r w:rsidRPr="00D61C8A">
        <w:rPr>
          <w:rFonts w:ascii="Calibri" w:hAnsi="Calibri"/>
          <w:sz w:val="20"/>
          <w:szCs w:val="20"/>
        </w:rPr>
        <w:t xml:space="preserve"> </w:t>
      </w:r>
      <w:r>
        <w:rPr>
          <w:rFonts w:ascii="Calibri" w:hAnsi="Calibri"/>
          <w:sz w:val="20"/>
          <w:szCs w:val="20"/>
        </w:rPr>
        <w:t>are</w:t>
      </w:r>
      <w:r w:rsidRPr="00D61C8A">
        <w:rPr>
          <w:rFonts w:ascii="Calibri" w:hAnsi="Calibri"/>
          <w:sz w:val="20"/>
          <w:szCs w:val="20"/>
        </w:rPr>
        <w:t xml:space="preserve"> closed</w:t>
      </w:r>
      <w:r w:rsidRPr="00D61C8A">
        <w:rPr>
          <w:rStyle w:val="EndnoteReference"/>
          <w:rFonts w:ascii="Calibri" w:hAnsi="Calibri"/>
          <w:sz w:val="20"/>
          <w:szCs w:val="20"/>
        </w:rPr>
        <w:endnoteReference w:id="159"/>
      </w:r>
    </w:p>
    <w:p w:rsidR="00B454FB" w:rsidRPr="00D61C8A" w:rsidRDefault="00B454FB" w:rsidP="00B454FB">
      <w:pPr>
        <w:pStyle w:val="ColorfulList-Accent11"/>
        <w:numPr>
          <w:ilvl w:val="1"/>
          <w:numId w:val="11"/>
        </w:numPr>
        <w:rPr>
          <w:rFonts w:ascii="Calibri" w:hAnsi="Calibri"/>
          <w:sz w:val="20"/>
          <w:szCs w:val="20"/>
        </w:rPr>
      </w:pPr>
      <w:r w:rsidRPr="00D61C8A">
        <w:rPr>
          <w:rFonts w:ascii="Calibri" w:hAnsi="Calibri"/>
          <w:sz w:val="20"/>
          <w:szCs w:val="20"/>
        </w:rPr>
        <w:t>DO</w:t>
      </w:r>
      <w:r>
        <w:rPr>
          <w:rFonts w:ascii="Calibri" w:hAnsi="Calibri"/>
          <w:sz w:val="20"/>
          <w:szCs w:val="20"/>
        </w:rPr>
        <w:t xml:space="preserve">s review </w:t>
      </w:r>
      <w:r w:rsidRPr="00D61C8A">
        <w:rPr>
          <w:rFonts w:ascii="Calibri" w:hAnsi="Calibri"/>
          <w:sz w:val="20"/>
          <w:szCs w:val="20"/>
        </w:rPr>
        <w:t>form</w:t>
      </w:r>
      <w:r>
        <w:rPr>
          <w:rFonts w:ascii="Calibri" w:hAnsi="Calibri"/>
          <w:sz w:val="20"/>
          <w:szCs w:val="20"/>
        </w:rPr>
        <w:t>s</w:t>
      </w:r>
      <w:r w:rsidRPr="00D61C8A">
        <w:rPr>
          <w:rFonts w:ascii="Calibri" w:hAnsi="Calibri"/>
          <w:sz w:val="20"/>
          <w:szCs w:val="20"/>
        </w:rPr>
        <w:t xml:space="preserve"> </w:t>
      </w:r>
      <w:r>
        <w:rPr>
          <w:rFonts w:ascii="Calibri" w:hAnsi="Calibri"/>
          <w:sz w:val="20"/>
          <w:szCs w:val="20"/>
        </w:rPr>
        <w:t xml:space="preserve">sent by </w:t>
      </w:r>
      <w:r w:rsidRPr="00D61C8A">
        <w:rPr>
          <w:rFonts w:ascii="Calibri" w:hAnsi="Calibri"/>
          <w:sz w:val="20"/>
          <w:szCs w:val="20"/>
        </w:rPr>
        <w:t>DR</w:t>
      </w:r>
      <w:r>
        <w:rPr>
          <w:rFonts w:ascii="Calibri" w:hAnsi="Calibri"/>
          <w:sz w:val="20"/>
          <w:szCs w:val="20"/>
        </w:rPr>
        <w:t>s</w:t>
      </w:r>
      <w:r w:rsidRPr="00D61C8A">
        <w:rPr>
          <w:rFonts w:ascii="Calibri" w:hAnsi="Calibri"/>
          <w:sz w:val="20"/>
          <w:szCs w:val="20"/>
        </w:rPr>
        <w:t xml:space="preserve"> before </w:t>
      </w:r>
      <w:r>
        <w:rPr>
          <w:rFonts w:ascii="Calibri" w:hAnsi="Calibri"/>
          <w:sz w:val="20"/>
          <w:szCs w:val="20"/>
        </w:rPr>
        <w:t>forwar</w:t>
      </w:r>
      <w:r w:rsidRPr="00D61C8A">
        <w:rPr>
          <w:rFonts w:ascii="Calibri" w:hAnsi="Calibri"/>
          <w:sz w:val="20"/>
          <w:szCs w:val="20"/>
        </w:rPr>
        <w:t xml:space="preserve">ding </w:t>
      </w:r>
      <w:r>
        <w:rPr>
          <w:rFonts w:ascii="Calibri" w:hAnsi="Calibri"/>
          <w:sz w:val="20"/>
          <w:szCs w:val="20"/>
        </w:rPr>
        <w:t>them</w:t>
      </w:r>
      <w:r w:rsidRPr="00D61C8A">
        <w:rPr>
          <w:rFonts w:ascii="Calibri" w:hAnsi="Calibri"/>
          <w:sz w:val="20"/>
          <w:szCs w:val="20"/>
        </w:rPr>
        <w:t xml:space="preserve"> to the central office in Kathmandu</w:t>
      </w:r>
      <w:r w:rsidRPr="00D61C8A">
        <w:rPr>
          <w:rStyle w:val="EndnoteReference"/>
          <w:rFonts w:ascii="Calibri" w:hAnsi="Calibri"/>
          <w:sz w:val="20"/>
          <w:szCs w:val="20"/>
        </w:rPr>
        <w:endnoteReference w:id="160"/>
      </w:r>
    </w:p>
    <w:p w:rsidR="00B454FB" w:rsidRPr="00D61C8A" w:rsidRDefault="00B454FB" w:rsidP="00B454FB">
      <w:pPr>
        <w:pStyle w:val="ColorfulList-Accent11"/>
        <w:numPr>
          <w:ilvl w:val="0"/>
          <w:numId w:val="11"/>
        </w:numPr>
        <w:rPr>
          <w:rFonts w:ascii="Calibri" w:hAnsi="Calibri"/>
          <w:sz w:val="20"/>
          <w:szCs w:val="20"/>
        </w:rPr>
      </w:pPr>
      <w:r>
        <w:rPr>
          <w:rFonts w:ascii="Calibri" w:hAnsi="Calibri"/>
          <w:sz w:val="20"/>
          <w:szCs w:val="20"/>
        </w:rPr>
        <w:t xml:space="preserve">Regional office personnel can assist </w:t>
      </w:r>
      <w:r w:rsidRPr="00D61C8A">
        <w:rPr>
          <w:rFonts w:ascii="Calibri" w:hAnsi="Calibri"/>
          <w:sz w:val="20"/>
          <w:szCs w:val="20"/>
        </w:rPr>
        <w:t>DR</w:t>
      </w:r>
      <w:r>
        <w:rPr>
          <w:rFonts w:ascii="Calibri" w:hAnsi="Calibri"/>
          <w:sz w:val="20"/>
          <w:szCs w:val="20"/>
        </w:rPr>
        <w:t>s</w:t>
      </w:r>
      <w:r w:rsidR="00C84344">
        <w:rPr>
          <w:rFonts w:ascii="Calibri" w:hAnsi="Calibri"/>
          <w:sz w:val="20"/>
          <w:szCs w:val="20"/>
        </w:rPr>
        <w:t>,</w:t>
      </w:r>
      <w:r w:rsidRPr="00D61C8A">
        <w:rPr>
          <w:rFonts w:ascii="Calibri" w:hAnsi="Calibri"/>
          <w:sz w:val="20"/>
          <w:szCs w:val="20"/>
        </w:rPr>
        <w:t xml:space="preserve"> if additional h</w:t>
      </w:r>
      <w:r>
        <w:rPr>
          <w:rFonts w:ascii="Calibri" w:hAnsi="Calibri"/>
          <w:sz w:val="20"/>
          <w:szCs w:val="20"/>
        </w:rPr>
        <w:t>elp is needed with VA referrals and other issues</w:t>
      </w:r>
      <w:r w:rsidRPr="00D61C8A">
        <w:rPr>
          <w:rStyle w:val="EndnoteReference"/>
          <w:rFonts w:ascii="Calibri" w:hAnsi="Calibri"/>
          <w:sz w:val="20"/>
          <w:szCs w:val="20"/>
        </w:rPr>
        <w:endnoteReference w:id="161"/>
      </w:r>
    </w:p>
    <w:p w:rsidR="00B454FB" w:rsidRDefault="00B454FB" w:rsidP="00B454FB">
      <w:pPr>
        <w:pStyle w:val="Heading5"/>
        <w:numPr>
          <w:ilvl w:val="0"/>
          <w:numId w:val="0"/>
        </w:numPr>
        <w:spacing w:before="0"/>
        <w:rPr>
          <w:rFonts w:ascii="Calibri" w:hAnsi="Calibri"/>
          <w:color w:val="auto"/>
          <w:sz w:val="20"/>
          <w:szCs w:val="20"/>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(5)</w:t>
      </w:r>
      <w:r>
        <w:rPr>
          <w:rFonts w:ascii="Calibri" w:hAnsi="Calibri"/>
          <w:sz w:val="20"/>
          <w:szCs w:val="20"/>
        </w:rPr>
        <w:tab/>
      </w:r>
      <w:r>
        <w:rPr>
          <w:rFonts w:ascii="Calibri" w:hAnsi="Calibri"/>
          <w:sz w:val="20"/>
          <w:szCs w:val="20"/>
        </w:rPr>
        <w:tab/>
      </w:r>
      <w:r w:rsidRPr="00D61C8A">
        <w:rPr>
          <w:rFonts w:ascii="Calibri" w:hAnsi="Calibri"/>
          <w:sz w:val="20"/>
          <w:szCs w:val="20"/>
        </w:rPr>
        <w:t>INSEC central office reviews data</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12"/>
        </w:numPr>
        <w:rPr>
          <w:rFonts w:ascii="Calibri" w:hAnsi="Calibri"/>
          <w:sz w:val="20"/>
          <w:szCs w:val="20"/>
        </w:rPr>
      </w:pPr>
      <w:r w:rsidRPr="00D61C8A">
        <w:rPr>
          <w:rFonts w:ascii="Calibri" w:hAnsi="Calibri"/>
          <w:sz w:val="20"/>
          <w:szCs w:val="20"/>
        </w:rPr>
        <w:t>Th</w:t>
      </w:r>
      <w:r>
        <w:rPr>
          <w:rFonts w:ascii="Calibri" w:hAnsi="Calibri"/>
          <w:sz w:val="20"/>
          <w:szCs w:val="20"/>
        </w:rPr>
        <w:t>e FPMA</w:t>
      </w:r>
      <w:r w:rsidRPr="00D61C8A">
        <w:rPr>
          <w:rFonts w:ascii="Calibri" w:hAnsi="Calibri"/>
          <w:sz w:val="20"/>
          <w:szCs w:val="20"/>
        </w:rPr>
        <w:t xml:space="preserve"> reviews forms sent by regional offices</w:t>
      </w:r>
    </w:p>
    <w:p w:rsidR="00B454FB" w:rsidRPr="00D61C8A" w:rsidRDefault="00B454FB" w:rsidP="00B454FB">
      <w:pPr>
        <w:pStyle w:val="ColorfulList-Accent11"/>
        <w:numPr>
          <w:ilvl w:val="1"/>
          <w:numId w:val="12"/>
        </w:numPr>
        <w:rPr>
          <w:rFonts w:ascii="Calibri" w:hAnsi="Calibri"/>
          <w:sz w:val="20"/>
          <w:szCs w:val="20"/>
        </w:rPr>
      </w:pPr>
      <w:r w:rsidRPr="00D61C8A">
        <w:rPr>
          <w:rFonts w:ascii="Calibri" w:hAnsi="Calibri"/>
          <w:sz w:val="20"/>
          <w:szCs w:val="20"/>
        </w:rPr>
        <w:t>In approximately 75</w:t>
      </w:r>
      <w:r>
        <w:rPr>
          <w:rFonts w:ascii="Calibri" w:hAnsi="Calibri"/>
          <w:sz w:val="20"/>
          <w:szCs w:val="20"/>
        </w:rPr>
        <w:t xml:space="preserve"> </w:t>
      </w:r>
      <w:r w:rsidRPr="00D61C8A">
        <w:rPr>
          <w:rFonts w:ascii="Calibri" w:hAnsi="Calibri"/>
          <w:sz w:val="20"/>
          <w:szCs w:val="20"/>
        </w:rPr>
        <w:t>% of cases, the FPMA has already seen the data because he has been copied on the forms when they have been sent to regional offices; in such cases he has already started to enter data into the database</w:t>
      </w:r>
    </w:p>
    <w:p w:rsidR="00B454FB" w:rsidRPr="00D61C8A" w:rsidRDefault="00B454FB" w:rsidP="00B454FB">
      <w:pPr>
        <w:pStyle w:val="ColorfulList-Accent11"/>
        <w:numPr>
          <w:ilvl w:val="0"/>
          <w:numId w:val="12"/>
        </w:numPr>
        <w:rPr>
          <w:rFonts w:ascii="Calibri" w:hAnsi="Calibri"/>
          <w:sz w:val="20"/>
          <w:szCs w:val="20"/>
        </w:rPr>
      </w:pPr>
      <w:r w:rsidRPr="00D61C8A">
        <w:rPr>
          <w:rFonts w:ascii="Calibri" w:hAnsi="Calibri"/>
          <w:sz w:val="20"/>
          <w:szCs w:val="20"/>
        </w:rPr>
        <w:t>The central office can assist the regional offices and DRs</w:t>
      </w:r>
      <w:r w:rsidR="00C84344">
        <w:rPr>
          <w:rFonts w:ascii="Calibri" w:hAnsi="Calibri"/>
          <w:sz w:val="20"/>
          <w:szCs w:val="20"/>
        </w:rPr>
        <w:t>,</w:t>
      </w:r>
      <w:r w:rsidRPr="00D61C8A">
        <w:rPr>
          <w:rFonts w:ascii="Calibri" w:hAnsi="Calibri"/>
          <w:sz w:val="20"/>
          <w:szCs w:val="20"/>
        </w:rPr>
        <w:t xml:space="preserve"> if additional help is needed with </w:t>
      </w:r>
      <w:r>
        <w:rPr>
          <w:rFonts w:ascii="Calibri" w:hAnsi="Calibri"/>
          <w:sz w:val="20"/>
          <w:szCs w:val="20"/>
        </w:rPr>
        <w:t>VA</w:t>
      </w:r>
      <w:r w:rsidRPr="00D61C8A">
        <w:rPr>
          <w:rFonts w:ascii="Calibri" w:hAnsi="Calibri"/>
          <w:sz w:val="20"/>
          <w:szCs w:val="20"/>
        </w:rPr>
        <w:t xml:space="preserve"> </w:t>
      </w:r>
      <w:r>
        <w:rPr>
          <w:rFonts w:ascii="Calibri" w:hAnsi="Calibri"/>
          <w:sz w:val="20"/>
          <w:szCs w:val="20"/>
        </w:rPr>
        <w:t xml:space="preserve">referrals </w:t>
      </w:r>
      <w:r w:rsidRPr="00D61C8A">
        <w:rPr>
          <w:rFonts w:ascii="Calibri" w:hAnsi="Calibri"/>
          <w:sz w:val="20"/>
          <w:szCs w:val="20"/>
        </w:rPr>
        <w:t>and other issues</w:t>
      </w:r>
      <w:r w:rsidRPr="00D61C8A">
        <w:rPr>
          <w:rStyle w:val="EndnoteReference"/>
          <w:rFonts w:ascii="Calibri" w:hAnsi="Calibri"/>
          <w:sz w:val="20"/>
          <w:szCs w:val="20"/>
        </w:rPr>
        <w:endnoteReference w:id="162"/>
      </w:r>
    </w:p>
    <w:p w:rsidR="00B454FB" w:rsidRPr="00D61C8A" w:rsidRDefault="00B454FB" w:rsidP="00B454FB">
      <w:pPr>
        <w:rPr>
          <w:rFonts w:ascii="Calibri" w:hAnsi="Calibri"/>
          <w:sz w:val="20"/>
          <w:szCs w:val="20"/>
        </w:rPr>
      </w:pPr>
    </w:p>
    <w:p w:rsidR="00B454FB" w:rsidRDefault="00B454FB" w:rsidP="00B454FB">
      <w:pPr>
        <w:pStyle w:val="Heading5"/>
        <w:numPr>
          <w:ilvl w:val="0"/>
          <w:numId w:val="0"/>
        </w:numPr>
        <w:spacing w:before="0"/>
        <w:rPr>
          <w:rFonts w:ascii="Calibri" w:hAnsi="Calibri"/>
          <w:sz w:val="20"/>
          <w:szCs w:val="20"/>
        </w:rPr>
      </w:pPr>
      <w:r>
        <w:rPr>
          <w:rFonts w:ascii="Calibri" w:hAnsi="Calibri"/>
          <w:sz w:val="20"/>
          <w:szCs w:val="20"/>
        </w:rPr>
        <w:t>V.A.2.d (6)</w:t>
      </w:r>
      <w:r>
        <w:rPr>
          <w:rFonts w:ascii="Calibri" w:hAnsi="Calibri"/>
          <w:sz w:val="20"/>
          <w:szCs w:val="20"/>
        </w:rPr>
        <w:tab/>
      </w:r>
      <w:r>
        <w:rPr>
          <w:rFonts w:ascii="Calibri" w:hAnsi="Calibri"/>
          <w:sz w:val="20"/>
          <w:szCs w:val="20"/>
        </w:rPr>
        <w:tab/>
      </w:r>
      <w:r w:rsidRPr="00D61C8A">
        <w:rPr>
          <w:rFonts w:ascii="Calibri" w:hAnsi="Calibri"/>
          <w:sz w:val="20"/>
          <w:szCs w:val="20"/>
        </w:rPr>
        <w:t>INSEC central office translates data and enters them into d</w:t>
      </w:r>
      <w:r>
        <w:rPr>
          <w:rFonts w:ascii="Calibri" w:hAnsi="Calibri"/>
          <w:sz w:val="20"/>
          <w:szCs w:val="20"/>
        </w:rPr>
        <w:t>atabase</w:t>
      </w:r>
      <w:r>
        <w:rPr>
          <w:rFonts w:ascii="Calibri" w:hAnsi="Calibri"/>
          <w:sz w:val="20"/>
          <w:szCs w:val="20"/>
        </w:rPr>
        <w:tab/>
      </w:r>
    </w:p>
    <w:p w:rsidR="00B454FB" w:rsidRPr="005B7907" w:rsidRDefault="00B454FB" w:rsidP="00B454FB"/>
    <w:p w:rsidR="00B454FB" w:rsidRPr="00D61C8A" w:rsidRDefault="00B454FB" w:rsidP="00B454FB">
      <w:pPr>
        <w:pStyle w:val="ColorfulList-Accent11"/>
        <w:numPr>
          <w:ilvl w:val="0"/>
          <w:numId w:val="13"/>
        </w:numPr>
        <w:rPr>
          <w:rFonts w:ascii="Calibri" w:hAnsi="Calibri"/>
          <w:sz w:val="20"/>
          <w:szCs w:val="20"/>
        </w:rPr>
      </w:pPr>
      <w:r w:rsidRPr="00D61C8A">
        <w:rPr>
          <w:rFonts w:ascii="Calibri" w:hAnsi="Calibri"/>
          <w:sz w:val="20"/>
          <w:szCs w:val="20"/>
        </w:rPr>
        <w:t>The FPMA checks data for consistency</w:t>
      </w:r>
      <w:r w:rsidRPr="00D61C8A">
        <w:rPr>
          <w:rStyle w:val="EndnoteReference"/>
          <w:rFonts w:ascii="Calibri" w:hAnsi="Calibri"/>
          <w:sz w:val="20"/>
          <w:szCs w:val="20"/>
        </w:rPr>
        <w:endnoteReference w:id="163"/>
      </w:r>
      <w:r w:rsidRPr="00D61C8A">
        <w:rPr>
          <w:rFonts w:ascii="Calibri" w:hAnsi="Calibri"/>
          <w:sz w:val="20"/>
          <w:szCs w:val="20"/>
        </w:rPr>
        <w:t xml:space="preserve"> and enters </w:t>
      </w:r>
      <w:r>
        <w:rPr>
          <w:rFonts w:ascii="Calibri" w:hAnsi="Calibri"/>
          <w:sz w:val="20"/>
          <w:szCs w:val="20"/>
        </w:rPr>
        <w:t>them</w:t>
      </w:r>
      <w:r w:rsidRPr="00D61C8A">
        <w:rPr>
          <w:rFonts w:ascii="Calibri" w:hAnsi="Calibri"/>
          <w:sz w:val="20"/>
          <w:szCs w:val="20"/>
        </w:rPr>
        <w:t xml:space="preserve"> into a Microsoft Excel database</w:t>
      </w:r>
      <w:r w:rsidRPr="00D61C8A">
        <w:rPr>
          <w:rStyle w:val="EndnoteReference"/>
          <w:rFonts w:ascii="Calibri" w:hAnsi="Calibri"/>
          <w:sz w:val="20"/>
          <w:szCs w:val="20"/>
        </w:rPr>
        <w:endnoteReference w:id="164"/>
      </w:r>
    </w:p>
    <w:p w:rsidR="00B454FB" w:rsidRPr="00D61C8A" w:rsidRDefault="00B454FB" w:rsidP="00B454FB">
      <w:pPr>
        <w:pStyle w:val="ColorfulList-Accent11"/>
        <w:numPr>
          <w:ilvl w:val="1"/>
          <w:numId w:val="13"/>
        </w:numPr>
        <w:rPr>
          <w:rFonts w:ascii="Calibri" w:hAnsi="Calibri"/>
          <w:sz w:val="20"/>
          <w:szCs w:val="20"/>
        </w:rPr>
      </w:pPr>
      <w:r w:rsidRPr="00D61C8A">
        <w:rPr>
          <w:rFonts w:ascii="Calibri" w:hAnsi="Calibri"/>
          <w:sz w:val="20"/>
          <w:szCs w:val="20"/>
        </w:rPr>
        <w:t>All data are translated from Nepali to English upon entry into the database</w:t>
      </w:r>
      <w:r w:rsidRPr="00D61C8A">
        <w:rPr>
          <w:rStyle w:val="EndnoteReference"/>
          <w:rFonts w:ascii="Calibri" w:hAnsi="Calibri"/>
          <w:sz w:val="20"/>
          <w:szCs w:val="20"/>
        </w:rPr>
        <w:endnoteReference w:id="165"/>
      </w:r>
    </w:p>
    <w:p w:rsidR="00B454FB" w:rsidRPr="00451946" w:rsidRDefault="00B454FB" w:rsidP="00B454FB">
      <w:pPr>
        <w:pStyle w:val="ColorfulList-Accent11"/>
        <w:numPr>
          <w:ilvl w:val="1"/>
          <w:numId w:val="13"/>
        </w:numPr>
        <w:rPr>
          <w:rFonts w:ascii="Calibri" w:hAnsi="Calibri"/>
          <w:sz w:val="20"/>
          <w:szCs w:val="20"/>
        </w:rPr>
      </w:pPr>
      <w:r w:rsidRPr="00D61C8A">
        <w:rPr>
          <w:rFonts w:ascii="Calibri" w:hAnsi="Calibri"/>
          <w:sz w:val="20"/>
          <w:szCs w:val="20"/>
        </w:rPr>
        <w:lastRenderedPageBreak/>
        <w:t xml:space="preserve">Certain font types are used to denote inconsistent </w:t>
      </w:r>
      <w:r>
        <w:rPr>
          <w:rFonts w:ascii="Calibri" w:hAnsi="Calibri"/>
          <w:sz w:val="20"/>
          <w:szCs w:val="20"/>
        </w:rPr>
        <w:t>and</w:t>
      </w:r>
      <w:r w:rsidRPr="00D61C8A">
        <w:rPr>
          <w:rFonts w:ascii="Calibri" w:hAnsi="Calibri"/>
          <w:sz w:val="20"/>
          <w:szCs w:val="20"/>
        </w:rPr>
        <w:t xml:space="preserve"> incomplete data</w:t>
      </w:r>
      <w:r>
        <w:rPr>
          <w:rFonts w:ascii="Calibri" w:hAnsi="Calibri"/>
          <w:sz w:val="20"/>
          <w:szCs w:val="20"/>
        </w:rPr>
        <w:t>, and t</w:t>
      </w:r>
      <w:r w:rsidRPr="00451946">
        <w:rPr>
          <w:rFonts w:ascii="Calibri" w:hAnsi="Calibri"/>
          <w:sz w:val="20"/>
          <w:szCs w:val="20"/>
        </w:rPr>
        <w:t xml:space="preserve">he FPMA follows up </w:t>
      </w:r>
      <w:r>
        <w:rPr>
          <w:rFonts w:ascii="Calibri" w:hAnsi="Calibri"/>
          <w:sz w:val="20"/>
          <w:szCs w:val="20"/>
        </w:rPr>
        <w:t>to resolve these issues</w:t>
      </w:r>
    </w:p>
    <w:p w:rsidR="00B454FB" w:rsidRPr="00D61C8A" w:rsidRDefault="00B454FB" w:rsidP="00B454FB">
      <w:pPr>
        <w:rPr>
          <w:rFonts w:ascii="Calibri" w:hAnsi="Calibri"/>
          <w:sz w:val="20"/>
          <w:szCs w:val="20"/>
        </w:rPr>
      </w:pPr>
    </w:p>
    <w:p w:rsidR="00B454FB" w:rsidRDefault="00B454FB" w:rsidP="00B454FB">
      <w:pPr>
        <w:pStyle w:val="Heading5"/>
        <w:numPr>
          <w:ilvl w:val="0"/>
          <w:numId w:val="0"/>
        </w:numPr>
        <w:spacing w:before="0"/>
        <w:rPr>
          <w:rFonts w:ascii="Calibri" w:hAnsi="Calibri"/>
          <w:sz w:val="20"/>
          <w:szCs w:val="20"/>
        </w:rPr>
      </w:pPr>
      <w:r>
        <w:rPr>
          <w:rFonts w:ascii="Calibri" w:hAnsi="Calibri"/>
          <w:sz w:val="20"/>
          <w:szCs w:val="20"/>
        </w:rPr>
        <w:t>V.A.2.d (7)</w:t>
      </w:r>
      <w:r>
        <w:rPr>
          <w:rFonts w:ascii="Calibri" w:hAnsi="Calibri"/>
          <w:sz w:val="20"/>
          <w:szCs w:val="20"/>
        </w:rPr>
        <w:tab/>
      </w:r>
      <w:r>
        <w:rPr>
          <w:rFonts w:ascii="Calibri" w:hAnsi="Calibri"/>
          <w:sz w:val="20"/>
          <w:szCs w:val="20"/>
        </w:rPr>
        <w:tab/>
      </w:r>
      <w:r w:rsidRPr="00D61C8A">
        <w:rPr>
          <w:rFonts w:ascii="Calibri" w:hAnsi="Calibri"/>
          <w:sz w:val="20"/>
          <w:szCs w:val="20"/>
        </w:rPr>
        <w:t>INSEC central office cleans and analyzes data</w:t>
      </w:r>
    </w:p>
    <w:p w:rsidR="00B454FB" w:rsidRPr="005B7907" w:rsidRDefault="00B454FB" w:rsidP="00B454FB"/>
    <w:p w:rsidR="00B454FB" w:rsidRPr="00D61C8A" w:rsidRDefault="00B454FB" w:rsidP="00B454FB">
      <w:pPr>
        <w:pStyle w:val="ColorfulList-Accent11"/>
        <w:numPr>
          <w:ilvl w:val="0"/>
          <w:numId w:val="13"/>
        </w:numPr>
        <w:rPr>
          <w:rFonts w:ascii="Calibri" w:hAnsi="Calibri"/>
          <w:sz w:val="20"/>
          <w:szCs w:val="20"/>
        </w:rPr>
      </w:pPr>
      <w:r w:rsidRPr="00D61C8A">
        <w:rPr>
          <w:rFonts w:ascii="Calibri" w:hAnsi="Calibri"/>
          <w:sz w:val="20"/>
          <w:szCs w:val="20"/>
        </w:rPr>
        <w:t>The project coordinator cleans and analyzes data in Microsoft Excel</w:t>
      </w:r>
      <w:r w:rsidRPr="00D61C8A">
        <w:rPr>
          <w:rStyle w:val="EndnoteReference"/>
          <w:rFonts w:ascii="Calibri" w:hAnsi="Calibri"/>
          <w:sz w:val="20"/>
          <w:szCs w:val="20"/>
        </w:rPr>
        <w:endnoteReference w:id="166"/>
      </w:r>
    </w:p>
    <w:p w:rsidR="00B454FB" w:rsidRPr="00D61C8A" w:rsidRDefault="00B454FB" w:rsidP="00B454FB">
      <w:pPr>
        <w:pStyle w:val="ColorfulList-Accent11"/>
        <w:numPr>
          <w:ilvl w:val="0"/>
          <w:numId w:val="13"/>
        </w:numPr>
        <w:rPr>
          <w:rFonts w:ascii="Calibri" w:hAnsi="Calibri"/>
          <w:sz w:val="20"/>
          <w:szCs w:val="20"/>
        </w:rPr>
      </w:pPr>
      <w:r w:rsidRPr="00D61C8A">
        <w:rPr>
          <w:rFonts w:ascii="Calibri" w:hAnsi="Calibri"/>
          <w:sz w:val="20"/>
          <w:szCs w:val="20"/>
        </w:rPr>
        <w:t>Data are analyzed on a monthly basis and summarized in flash reports</w:t>
      </w:r>
      <w:r>
        <w:rPr>
          <w:rFonts w:ascii="Calibri" w:hAnsi="Calibri"/>
          <w:sz w:val="20"/>
          <w:szCs w:val="20"/>
        </w:rPr>
        <w:t xml:space="preserve"> </w:t>
      </w:r>
      <w:r w:rsidRPr="00D61C8A">
        <w:rPr>
          <w:rFonts w:ascii="Calibri" w:hAnsi="Calibri"/>
          <w:sz w:val="20"/>
          <w:szCs w:val="20"/>
        </w:rPr>
        <w:t xml:space="preserve">(see Appendix A.6 for </w:t>
      </w:r>
      <w:r>
        <w:rPr>
          <w:rFonts w:ascii="Calibri" w:hAnsi="Calibri"/>
          <w:sz w:val="20"/>
          <w:szCs w:val="20"/>
        </w:rPr>
        <w:t>an example flash report</w:t>
      </w:r>
      <w:r w:rsidRPr="00D61C8A">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(8)</w:t>
      </w:r>
      <w:r>
        <w:rPr>
          <w:rFonts w:ascii="Calibri" w:hAnsi="Calibri"/>
          <w:sz w:val="20"/>
          <w:szCs w:val="20"/>
        </w:rPr>
        <w:tab/>
      </w:r>
      <w:r>
        <w:rPr>
          <w:rFonts w:ascii="Calibri" w:hAnsi="Calibri"/>
          <w:sz w:val="20"/>
          <w:szCs w:val="20"/>
        </w:rPr>
        <w:tab/>
      </w:r>
      <w:r w:rsidRPr="00D61C8A">
        <w:rPr>
          <w:rFonts w:ascii="Calibri" w:hAnsi="Calibri"/>
          <w:sz w:val="20"/>
          <w:szCs w:val="20"/>
        </w:rPr>
        <w:t xml:space="preserve">INSEC central office publishes and disseminates data in </w:t>
      </w:r>
      <w:r>
        <w:rPr>
          <w:rFonts w:ascii="Calibri" w:hAnsi="Calibri"/>
          <w:sz w:val="20"/>
          <w:szCs w:val="20"/>
        </w:rPr>
        <w:t>MA</w:t>
      </w:r>
      <w:r w:rsidRPr="00D61C8A">
        <w:rPr>
          <w:rFonts w:ascii="Calibri" w:hAnsi="Calibri"/>
          <w:sz w:val="20"/>
          <w:szCs w:val="20"/>
        </w:rPr>
        <w:t xml:space="preserve"> reports and the Human Rights Yearbook</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i/>
          <w:sz w:val="20"/>
          <w:szCs w:val="20"/>
        </w:rPr>
      </w:pPr>
      <w:r w:rsidRPr="00D61C8A">
        <w:rPr>
          <w:rFonts w:ascii="Calibri" w:hAnsi="Calibri"/>
          <w:b/>
          <w:i/>
          <w:sz w:val="20"/>
          <w:szCs w:val="20"/>
        </w:rPr>
        <w:t>Reporting increments</w:t>
      </w:r>
    </w:p>
    <w:p w:rsidR="00B454FB"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VAE injury surveillance system data have been analyzed and disseminated according to different schedules since 2006 (see Section V.B.</w:t>
      </w:r>
      <w:r>
        <w:rPr>
          <w:rFonts w:ascii="Calibri" w:hAnsi="Calibri"/>
          <w:sz w:val="20"/>
          <w:szCs w:val="20"/>
        </w:rPr>
        <w:t>2.</w:t>
      </w:r>
      <w:r w:rsidRPr="00D61C8A">
        <w:rPr>
          <w:rFonts w:ascii="Calibri" w:hAnsi="Calibri"/>
          <w:sz w:val="20"/>
          <w:szCs w:val="20"/>
        </w:rPr>
        <w:t>h for details on schedules of previous reports).  In the future, INSEC will create and publish monthly flash reports and post them at INSEConline for open access to interested parties.</w:t>
      </w:r>
    </w:p>
    <w:p w:rsidR="00B454FB" w:rsidRPr="00D61C8A" w:rsidRDefault="00B454FB" w:rsidP="00B454FB">
      <w:pPr>
        <w:pStyle w:val="ColorfulList-Accent11"/>
        <w:ind w:left="360"/>
        <w:rPr>
          <w:rFonts w:ascii="Calibri" w:hAnsi="Calibri"/>
          <w:sz w:val="20"/>
          <w:szCs w:val="20"/>
        </w:rPr>
      </w:pPr>
    </w:p>
    <w:p w:rsidR="00B454FB" w:rsidRPr="00D61C8A" w:rsidRDefault="00B454FB" w:rsidP="00B454FB">
      <w:pPr>
        <w:rPr>
          <w:rFonts w:ascii="Calibri" w:hAnsi="Calibri"/>
          <w:b/>
          <w:i/>
          <w:sz w:val="20"/>
          <w:szCs w:val="20"/>
        </w:rPr>
      </w:pPr>
      <w:r w:rsidRPr="00D61C8A">
        <w:rPr>
          <w:rFonts w:ascii="Calibri" w:hAnsi="Calibri"/>
          <w:b/>
          <w:i/>
          <w:sz w:val="20"/>
          <w:szCs w:val="20"/>
        </w:rPr>
        <w:t>Data dissemination</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 xml:space="preserve">Most of the reports mentioned above are available in English online at </w:t>
      </w:r>
      <w:hyperlink r:id="rId24" w:history="1">
        <w:r w:rsidRPr="00D61C8A">
          <w:rPr>
            <w:rStyle w:val="Hyperlink"/>
            <w:rFonts w:ascii="Calibri" w:hAnsi="Calibri"/>
            <w:sz w:val="20"/>
            <w:szCs w:val="20"/>
          </w:rPr>
          <w:t>http://www.inseconline.org/index.php?type=reports&amp;id=5&amp;lang=en</w:t>
        </w:r>
      </w:hyperlink>
      <w:r w:rsidRPr="00D61C8A">
        <w:rPr>
          <w:rFonts w:ascii="Calibri" w:hAnsi="Calibri"/>
          <w:sz w:val="20"/>
          <w:szCs w:val="20"/>
        </w:rPr>
        <w:t>, although monthly flash reports published in 2009 are not available online</w:t>
      </w: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 xml:space="preserve">Some monthly and bimonthly reports were available online in Nepali in 2006 and 2007; INSEC plans to publish the 2009 annual report </w:t>
      </w:r>
      <w:r>
        <w:rPr>
          <w:rFonts w:ascii="Calibri" w:hAnsi="Calibri"/>
          <w:sz w:val="20"/>
          <w:szCs w:val="20"/>
        </w:rPr>
        <w:t xml:space="preserve">online </w:t>
      </w:r>
      <w:r w:rsidRPr="00D61C8A">
        <w:rPr>
          <w:rFonts w:ascii="Calibri" w:hAnsi="Calibri"/>
          <w:sz w:val="20"/>
          <w:szCs w:val="20"/>
        </w:rPr>
        <w:t>in Nepali</w:t>
      </w: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 xml:space="preserve">The FPMA sends the updated quick form to UNICEF every </w:t>
      </w:r>
      <w:r>
        <w:rPr>
          <w:rFonts w:ascii="Calibri" w:hAnsi="Calibri"/>
          <w:sz w:val="20"/>
          <w:szCs w:val="20"/>
        </w:rPr>
        <w:t xml:space="preserve">time </w:t>
      </w:r>
      <w:r w:rsidRPr="00D61C8A">
        <w:rPr>
          <w:rFonts w:ascii="Calibri" w:hAnsi="Calibri"/>
          <w:sz w:val="20"/>
          <w:szCs w:val="20"/>
        </w:rPr>
        <w:t xml:space="preserve">a new incident occurs; he sends the database monthly and </w:t>
      </w:r>
      <w:r>
        <w:rPr>
          <w:rFonts w:ascii="Calibri" w:hAnsi="Calibri"/>
          <w:sz w:val="20"/>
          <w:szCs w:val="20"/>
        </w:rPr>
        <w:t>as needed by request</w:t>
      </w: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 xml:space="preserve">Reports are disseminated </w:t>
      </w:r>
      <w:r>
        <w:rPr>
          <w:rFonts w:ascii="Calibri" w:hAnsi="Calibri"/>
          <w:sz w:val="20"/>
          <w:szCs w:val="20"/>
        </w:rPr>
        <w:t>to MA stakeholders via</w:t>
      </w:r>
      <w:r w:rsidRPr="00D61C8A">
        <w:rPr>
          <w:rFonts w:ascii="Calibri" w:hAnsi="Calibri"/>
          <w:sz w:val="20"/>
          <w:szCs w:val="20"/>
        </w:rPr>
        <w:t xml:space="preserve"> the MAJWG</w:t>
      </w: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The FPMA presents recent findings at each MAJWG meeting; if he is u</w:t>
      </w:r>
      <w:r>
        <w:rPr>
          <w:rFonts w:ascii="Calibri" w:hAnsi="Calibri"/>
          <w:sz w:val="20"/>
          <w:szCs w:val="20"/>
        </w:rPr>
        <w:t xml:space="preserve">nable to attend, UNICEF </w:t>
      </w:r>
      <w:r w:rsidRPr="00D61C8A">
        <w:rPr>
          <w:rFonts w:ascii="Calibri" w:hAnsi="Calibri"/>
          <w:sz w:val="20"/>
          <w:szCs w:val="20"/>
        </w:rPr>
        <w:t>report</w:t>
      </w:r>
      <w:r>
        <w:rPr>
          <w:rFonts w:ascii="Calibri" w:hAnsi="Calibri"/>
          <w:sz w:val="20"/>
          <w:szCs w:val="20"/>
        </w:rPr>
        <w:t>s</w:t>
      </w:r>
      <w:r w:rsidRPr="00D61C8A">
        <w:rPr>
          <w:rFonts w:ascii="Calibri" w:hAnsi="Calibri"/>
          <w:sz w:val="20"/>
          <w:szCs w:val="20"/>
        </w:rPr>
        <w:t xml:space="preserve"> on </w:t>
      </w:r>
      <w:r>
        <w:rPr>
          <w:rFonts w:ascii="Calibri" w:hAnsi="Calibri"/>
          <w:sz w:val="20"/>
          <w:szCs w:val="20"/>
        </w:rPr>
        <w:t>hi</w:t>
      </w:r>
      <w:r w:rsidRPr="00D61C8A">
        <w:rPr>
          <w:rFonts w:ascii="Calibri" w:hAnsi="Calibri"/>
          <w:sz w:val="20"/>
          <w:szCs w:val="20"/>
        </w:rPr>
        <w:t>s behalf</w:t>
      </w:r>
    </w:p>
    <w:p w:rsidR="00B454FB" w:rsidRPr="00D61C8A" w:rsidRDefault="00B454FB" w:rsidP="00B454FB">
      <w:pPr>
        <w:pStyle w:val="ColorfulList-Accent11"/>
        <w:numPr>
          <w:ilvl w:val="0"/>
          <w:numId w:val="15"/>
        </w:numPr>
        <w:rPr>
          <w:rFonts w:ascii="Calibri" w:hAnsi="Calibri"/>
          <w:sz w:val="20"/>
          <w:szCs w:val="20"/>
        </w:rPr>
      </w:pPr>
      <w:r w:rsidRPr="00D61C8A">
        <w:rPr>
          <w:rFonts w:ascii="Calibri" w:hAnsi="Calibri"/>
          <w:sz w:val="20"/>
          <w:szCs w:val="20"/>
        </w:rPr>
        <w:t>Reports are never distributed in print format</w:t>
      </w:r>
      <w:r w:rsidRPr="00D61C8A">
        <w:rPr>
          <w:rStyle w:val="EndnoteReference"/>
          <w:rFonts w:ascii="Calibri" w:hAnsi="Calibri"/>
          <w:sz w:val="20"/>
          <w:szCs w:val="20"/>
        </w:rPr>
        <w:endnoteReference w:id="167"/>
      </w:r>
    </w:p>
    <w:p w:rsidR="00B454FB" w:rsidRDefault="00B454FB" w:rsidP="00B454FB">
      <w:pPr>
        <w:pStyle w:val="Heading5"/>
        <w:numPr>
          <w:ilvl w:val="0"/>
          <w:numId w:val="0"/>
        </w:numPr>
        <w:spacing w:before="0"/>
        <w:rPr>
          <w:rFonts w:ascii="Calibri" w:hAnsi="Calibri"/>
          <w:color w:val="auto"/>
          <w:sz w:val="20"/>
          <w:szCs w:val="20"/>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V.A.2.d (9)</w:t>
      </w:r>
      <w:r>
        <w:rPr>
          <w:rFonts w:ascii="Calibri" w:hAnsi="Calibri"/>
          <w:sz w:val="20"/>
          <w:szCs w:val="20"/>
        </w:rPr>
        <w:tab/>
      </w:r>
      <w:r>
        <w:rPr>
          <w:rFonts w:ascii="Calibri" w:hAnsi="Calibri"/>
          <w:sz w:val="20"/>
          <w:szCs w:val="20"/>
        </w:rPr>
        <w:tab/>
      </w:r>
      <w:r w:rsidRPr="00D61C8A">
        <w:rPr>
          <w:rFonts w:ascii="Calibri" w:hAnsi="Calibri"/>
          <w:sz w:val="20"/>
          <w:szCs w:val="20"/>
        </w:rPr>
        <w:t xml:space="preserve">Partners use data to inform </w:t>
      </w:r>
      <w:r>
        <w:rPr>
          <w:rFonts w:ascii="Calibri" w:hAnsi="Calibri"/>
          <w:sz w:val="20"/>
          <w:szCs w:val="20"/>
        </w:rPr>
        <w:t>MA</w:t>
      </w:r>
      <w:r w:rsidRPr="00D61C8A">
        <w:rPr>
          <w:rFonts w:ascii="Calibri" w:hAnsi="Calibri"/>
          <w:sz w:val="20"/>
          <w:szCs w:val="20"/>
        </w:rPr>
        <w:t xml:space="preserve"> activities</w:t>
      </w:r>
      <w:r>
        <w:rPr>
          <w:rFonts w:ascii="Calibri" w:hAnsi="Calibri"/>
          <w:sz w:val="20"/>
          <w:szCs w:val="20"/>
        </w:rPr>
        <w:t xml:space="preserve"> (s</w:t>
      </w:r>
      <w:r w:rsidRPr="00D61C8A">
        <w:rPr>
          <w:rFonts w:ascii="Calibri" w:hAnsi="Calibri"/>
          <w:sz w:val="20"/>
          <w:szCs w:val="20"/>
        </w:rPr>
        <w:t>ee Section V.A.</w:t>
      </w:r>
      <w:r>
        <w:rPr>
          <w:rFonts w:ascii="Calibri" w:hAnsi="Calibri"/>
          <w:sz w:val="20"/>
          <w:szCs w:val="20"/>
        </w:rPr>
        <w:t>1.</w:t>
      </w:r>
      <w:r w:rsidRPr="00D61C8A">
        <w:rPr>
          <w:rFonts w:ascii="Calibri" w:hAnsi="Calibri"/>
          <w:sz w:val="20"/>
          <w:szCs w:val="20"/>
        </w:rPr>
        <w:t>c for an explanation of data uses for MA</w:t>
      </w:r>
      <w:r>
        <w:rPr>
          <w:rFonts w:ascii="Calibri" w:hAnsi="Calibri"/>
          <w:sz w:val="20"/>
          <w:szCs w:val="20"/>
        </w:rPr>
        <w:t>)</w:t>
      </w:r>
      <w:r w:rsidRPr="00D61C8A">
        <w:rPr>
          <w:rFonts w:ascii="Calibri" w:hAnsi="Calibri"/>
          <w:sz w:val="20"/>
          <w:szCs w:val="20"/>
        </w:rPr>
        <w:t xml:space="preserve"> </w:t>
      </w:r>
    </w:p>
    <w:p w:rsidR="00B454FB" w:rsidRPr="00D61C8A" w:rsidRDefault="00B454FB" w:rsidP="00B454FB">
      <w:pPr>
        <w:rPr>
          <w:rFonts w:ascii="Calibri" w:hAnsi="Calibri"/>
          <w:sz w:val="20"/>
          <w:szCs w:val="20"/>
        </w:rPr>
      </w:pPr>
    </w:p>
    <w:p w:rsidR="00B454FB" w:rsidRDefault="00B454FB" w:rsidP="00B454FB">
      <w:pPr>
        <w:pStyle w:val="Heading4"/>
        <w:numPr>
          <w:ilvl w:val="0"/>
          <w:numId w:val="0"/>
        </w:numPr>
        <w:spacing w:before="0"/>
        <w:rPr>
          <w:rFonts w:ascii="Calibri" w:hAnsi="Calibri"/>
          <w:sz w:val="20"/>
          <w:szCs w:val="20"/>
        </w:rPr>
      </w:pPr>
      <w:r>
        <w:rPr>
          <w:rFonts w:ascii="Calibri" w:hAnsi="Calibri"/>
          <w:sz w:val="20"/>
          <w:szCs w:val="20"/>
        </w:rPr>
        <w:t>V.A.2.e</w:t>
      </w:r>
      <w:r>
        <w:rPr>
          <w:rFonts w:ascii="Calibri" w:hAnsi="Calibri"/>
          <w:sz w:val="20"/>
          <w:szCs w:val="20"/>
        </w:rPr>
        <w:tab/>
      </w:r>
      <w:r>
        <w:rPr>
          <w:rFonts w:ascii="Calibri" w:hAnsi="Calibri"/>
          <w:sz w:val="20"/>
          <w:szCs w:val="20"/>
        </w:rPr>
        <w:tab/>
      </w:r>
      <w:r w:rsidRPr="00D61C8A">
        <w:rPr>
          <w:rFonts w:ascii="Calibri" w:hAnsi="Calibri"/>
          <w:sz w:val="20"/>
          <w:szCs w:val="20"/>
        </w:rPr>
        <w:t>Communications</w:t>
      </w:r>
    </w:p>
    <w:p w:rsidR="00B454FB" w:rsidRPr="00344421" w:rsidRDefault="00B454FB" w:rsidP="00B454FB"/>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DRs in 65 districts have access to the Internet</w:t>
      </w:r>
      <w:r>
        <w:rPr>
          <w:rFonts w:ascii="Calibri" w:hAnsi="Calibri"/>
          <w:sz w:val="20"/>
          <w:szCs w:val="20"/>
        </w:rPr>
        <w:t xml:space="preserve"> and send their reports electronically</w:t>
      </w:r>
      <w:r w:rsidRPr="00D61C8A">
        <w:rPr>
          <w:rFonts w:ascii="Calibri" w:hAnsi="Calibri"/>
          <w:sz w:val="20"/>
          <w:szCs w:val="20"/>
        </w:rPr>
        <w:t>.  Of these</w:t>
      </w:r>
      <w:r>
        <w:rPr>
          <w:rFonts w:ascii="Calibri" w:hAnsi="Calibri"/>
          <w:sz w:val="20"/>
          <w:szCs w:val="20"/>
        </w:rPr>
        <w:t xml:space="preserve"> DRs</w:t>
      </w:r>
      <w:r w:rsidRPr="00D61C8A">
        <w:rPr>
          <w:rFonts w:ascii="Calibri" w:hAnsi="Calibri"/>
          <w:sz w:val="20"/>
          <w:szCs w:val="20"/>
        </w:rPr>
        <w:t>, 40 have constant acces</w:t>
      </w:r>
      <w:r>
        <w:rPr>
          <w:rFonts w:ascii="Calibri" w:hAnsi="Calibri"/>
          <w:sz w:val="20"/>
          <w:szCs w:val="20"/>
        </w:rPr>
        <w:t>s and 25 have occasional access</w:t>
      </w:r>
      <w:r w:rsidRPr="00D61C8A">
        <w:rPr>
          <w:rFonts w:ascii="Calibri" w:hAnsi="Calibri"/>
          <w:sz w:val="20"/>
          <w:szCs w:val="20"/>
        </w:rPr>
        <w:t>.</w:t>
      </w:r>
      <w:r w:rsidRPr="00D61C8A">
        <w:rPr>
          <w:rStyle w:val="EndnoteReference"/>
          <w:rFonts w:ascii="Calibri" w:hAnsi="Calibri"/>
          <w:sz w:val="20"/>
          <w:szCs w:val="20"/>
        </w:rPr>
        <w:endnoteReference w:id="168"/>
      </w:r>
      <w:r w:rsidRPr="00D61C8A">
        <w:rPr>
          <w:rFonts w:ascii="Calibri" w:hAnsi="Calibri"/>
          <w:sz w:val="20"/>
          <w:szCs w:val="20"/>
        </w:rPr>
        <w:t xml:space="preserve"> </w:t>
      </w:r>
    </w:p>
    <w:p w:rsidR="00B454FB" w:rsidRPr="00D61C8A" w:rsidRDefault="00B454FB" w:rsidP="00B454FB">
      <w:pPr>
        <w:pStyle w:val="ColorfulList-Accent11"/>
        <w:numPr>
          <w:ilvl w:val="0"/>
          <w:numId w:val="16"/>
        </w:numPr>
        <w:rPr>
          <w:rFonts w:ascii="Calibri" w:hAnsi="Calibri"/>
          <w:sz w:val="20"/>
          <w:szCs w:val="20"/>
        </w:rPr>
      </w:pPr>
      <w:r>
        <w:rPr>
          <w:rFonts w:ascii="Calibri" w:hAnsi="Calibri"/>
          <w:sz w:val="20"/>
          <w:szCs w:val="20"/>
        </w:rPr>
        <w:t>Ten DRs do not have Internet access;</w:t>
      </w:r>
      <w:r w:rsidRPr="00D61C8A">
        <w:rPr>
          <w:rFonts w:ascii="Calibri" w:hAnsi="Calibri"/>
          <w:sz w:val="20"/>
          <w:szCs w:val="20"/>
        </w:rPr>
        <w:t xml:space="preserve"> th</w:t>
      </w:r>
      <w:r>
        <w:rPr>
          <w:rFonts w:ascii="Calibri" w:hAnsi="Calibri"/>
          <w:sz w:val="20"/>
          <w:szCs w:val="20"/>
        </w:rPr>
        <w:t>ey</w:t>
      </w:r>
      <w:r w:rsidRPr="00D61C8A">
        <w:rPr>
          <w:rFonts w:ascii="Calibri" w:hAnsi="Calibri"/>
          <w:sz w:val="20"/>
          <w:szCs w:val="20"/>
        </w:rPr>
        <w:t xml:space="preserve"> fax or call in th</w:t>
      </w:r>
      <w:r>
        <w:rPr>
          <w:rFonts w:ascii="Calibri" w:hAnsi="Calibri"/>
          <w:sz w:val="20"/>
          <w:szCs w:val="20"/>
        </w:rPr>
        <w:t xml:space="preserve">eir data to the regional office personnel, who fill out </w:t>
      </w:r>
      <w:r w:rsidRPr="00D61C8A">
        <w:rPr>
          <w:rFonts w:ascii="Calibri" w:hAnsi="Calibri"/>
          <w:sz w:val="20"/>
          <w:szCs w:val="20"/>
        </w:rPr>
        <w:t xml:space="preserve">paper forms and send them to the central office </w:t>
      </w:r>
      <w:r>
        <w:rPr>
          <w:rFonts w:ascii="Calibri" w:hAnsi="Calibri"/>
          <w:sz w:val="20"/>
          <w:szCs w:val="20"/>
        </w:rPr>
        <w:t>by mail</w:t>
      </w:r>
      <w:r w:rsidRPr="00D61C8A">
        <w:rPr>
          <w:rStyle w:val="EndnoteReference"/>
          <w:rFonts w:ascii="Calibri" w:hAnsi="Calibri"/>
          <w:sz w:val="20"/>
          <w:szCs w:val="20"/>
        </w:rPr>
        <w:endnoteReference w:id="169"/>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Data forms were sent by post during the first year of operation of the surveillance system; since then, most districts have been sending forms electronically</w:t>
      </w:r>
      <w:r w:rsidRPr="00D61C8A">
        <w:rPr>
          <w:rStyle w:val="EndnoteReference"/>
          <w:rFonts w:ascii="Calibri" w:hAnsi="Calibri"/>
          <w:sz w:val="20"/>
          <w:szCs w:val="20"/>
        </w:rPr>
        <w:endnoteReference w:id="170"/>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All DRs have phones</w:t>
      </w:r>
      <w:r>
        <w:rPr>
          <w:rFonts w:ascii="Calibri" w:hAnsi="Calibri"/>
          <w:sz w:val="20"/>
          <w:szCs w:val="20"/>
        </w:rPr>
        <w:t xml:space="preserve"> but</w:t>
      </w:r>
      <w:r w:rsidRPr="00D61C8A">
        <w:rPr>
          <w:rFonts w:ascii="Calibri" w:hAnsi="Calibri"/>
          <w:sz w:val="20"/>
          <w:szCs w:val="20"/>
        </w:rPr>
        <w:t xml:space="preserve"> often experience poor </w:t>
      </w:r>
      <w:r>
        <w:rPr>
          <w:rFonts w:ascii="Calibri" w:hAnsi="Calibri"/>
          <w:sz w:val="20"/>
          <w:szCs w:val="20"/>
        </w:rPr>
        <w:t>reception</w:t>
      </w:r>
      <w:r w:rsidRPr="00D61C8A">
        <w:rPr>
          <w:rFonts w:ascii="Calibri" w:hAnsi="Calibri"/>
          <w:sz w:val="20"/>
          <w:szCs w:val="20"/>
        </w:rPr>
        <w:t xml:space="preserve">, especially in the hilly and mountain regions; when networks are not working properly it may take </w:t>
      </w:r>
      <w:r>
        <w:rPr>
          <w:rFonts w:ascii="Calibri" w:hAnsi="Calibri"/>
          <w:sz w:val="20"/>
          <w:szCs w:val="20"/>
        </w:rPr>
        <w:t xml:space="preserve">from </w:t>
      </w:r>
      <w:r w:rsidRPr="00D61C8A">
        <w:rPr>
          <w:rFonts w:ascii="Calibri" w:hAnsi="Calibri"/>
          <w:sz w:val="20"/>
          <w:szCs w:val="20"/>
        </w:rPr>
        <w:t xml:space="preserve">several days </w:t>
      </w:r>
      <w:r>
        <w:rPr>
          <w:rFonts w:ascii="Calibri" w:hAnsi="Calibri"/>
          <w:sz w:val="20"/>
          <w:szCs w:val="20"/>
        </w:rPr>
        <w:t>to</w:t>
      </w:r>
      <w:r w:rsidRPr="00D61C8A">
        <w:rPr>
          <w:rFonts w:ascii="Calibri" w:hAnsi="Calibri"/>
          <w:sz w:val="20"/>
          <w:szCs w:val="20"/>
        </w:rPr>
        <w:t xml:space="preserve"> a week to communicate</w:t>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All district, regional and central INSEC personnel are given INSEC diaries with names and phone numbers of all other INSEC personnel, representatives of partner organizations and Human Rights Yearbook DRs</w:t>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The FPMA in Kathmandu maintains constant contact with INSEC personnel in the field</w:t>
      </w:r>
      <w:r>
        <w:rPr>
          <w:rFonts w:ascii="Calibri" w:hAnsi="Calibri"/>
          <w:sz w:val="20"/>
          <w:szCs w:val="20"/>
        </w:rPr>
        <w:t>,</w:t>
      </w:r>
      <w:r w:rsidRPr="00D61C8A">
        <w:rPr>
          <w:rFonts w:ascii="Calibri" w:hAnsi="Calibri"/>
          <w:sz w:val="20"/>
          <w:szCs w:val="20"/>
        </w:rPr>
        <w:t xml:space="preserve"> communicat</w:t>
      </w:r>
      <w:r>
        <w:rPr>
          <w:rFonts w:ascii="Calibri" w:hAnsi="Calibri"/>
          <w:sz w:val="20"/>
          <w:szCs w:val="20"/>
        </w:rPr>
        <w:t>ing</w:t>
      </w:r>
      <w:r w:rsidRPr="00D61C8A">
        <w:rPr>
          <w:rFonts w:ascii="Calibri" w:hAnsi="Calibri"/>
          <w:sz w:val="20"/>
          <w:szCs w:val="20"/>
        </w:rPr>
        <w:t xml:space="preserve"> with regional personnel by telephone or e-mail almost </w:t>
      </w:r>
      <w:r>
        <w:rPr>
          <w:rFonts w:ascii="Calibri" w:hAnsi="Calibri"/>
          <w:sz w:val="20"/>
          <w:szCs w:val="20"/>
        </w:rPr>
        <w:t>daily</w:t>
      </w:r>
      <w:r w:rsidRPr="00D61C8A">
        <w:rPr>
          <w:rStyle w:val="EndnoteReference"/>
          <w:rFonts w:ascii="Calibri" w:hAnsi="Calibri"/>
          <w:sz w:val="20"/>
          <w:szCs w:val="20"/>
        </w:rPr>
        <w:endnoteReference w:id="171"/>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DRs communicate with regional centers before they leave to investigate incidents;</w:t>
      </w:r>
      <w:r w:rsidRPr="00D61C8A">
        <w:rPr>
          <w:rStyle w:val="EndnoteReference"/>
          <w:rFonts w:ascii="Calibri" w:hAnsi="Calibri"/>
          <w:sz w:val="20"/>
          <w:szCs w:val="20"/>
        </w:rPr>
        <w:endnoteReference w:id="172"/>
      </w:r>
      <w:r w:rsidRPr="00D61C8A">
        <w:rPr>
          <w:rFonts w:ascii="Calibri" w:hAnsi="Calibri"/>
          <w:sz w:val="20"/>
          <w:szCs w:val="20"/>
        </w:rPr>
        <w:t xml:space="preserve"> regional personnel follow up with DRs to ensure prompt data collection</w:t>
      </w:r>
      <w:r w:rsidRPr="00D61C8A">
        <w:rPr>
          <w:rStyle w:val="EndnoteReference"/>
          <w:rFonts w:ascii="Calibri" w:hAnsi="Calibri"/>
          <w:sz w:val="20"/>
          <w:szCs w:val="20"/>
        </w:rPr>
        <w:endnoteReference w:id="173"/>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DRs often copy the FPMA when they are e-mailing forms to regional offices</w:t>
      </w:r>
    </w:p>
    <w:p w:rsidR="00B454FB" w:rsidRPr="00D61C8A" w:rsidRDefault="00B454FB" w:rsidP="00B454FB">
      <w:pPr>
        <w:pStyle w:val="ColorfulList-Accent11"/>
        <w:numPr>
          <w:ilvl w:val="0"/>
          <w:numId w:val="16"/>
        </w:numPr>
        <w:rPr>
          <w:rFonts w:ascii="Calibri" w:hAnsi="Calibri"/>
          <w:sz w:val="20"/>
          <w:szCs w:val="20"/>
        </w:rPr>
      </w:pPr>
      <w:r w:rsidRPr="00D61C8A">
        <w:rPr>
          <w:rFonts w:ascii="Calibri" w:hAnsi="Calibri"/>
          <w:sz w:val="20"/>
          <w:szCs w:val="20"/>
        </w:rPr>
        <w:t>DRs meet twice a year at the INSEC regional and central offices; regional</w:t>
      </w:r>
      <w:r>
        <w:rPr>
          <w:rFonts w:ascii="Calibri" w:hAnsi="Calibri"/>
          <w:sz w:val="20"/>
          <w:szCs w:val="20"/>
        </w:rPr>
        <w:t xml:space="preserve"> personnel meet </w:t>
      </w:r>
      <w:r w:rsidRPr="00D61C8A">
        <w:rPr>
          <w:rFonts w:ascii="Calibri" w:hAnsi="Calibri"/>
          <w:sz w:val="20"/>
          <w:szCs w:val="20"/>
        </w:rPr>
        <w:t>twice a year</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V.A.2.f</w:t>
      </w:r>
      <w:r>
        <w:rPr>
          <w:rFonts w:ascii="Calibri" w:hAnsi="Calibri"/>
          <w:sz w:val="20"/>
          <w:szCs w:val="20"/>
        </w:rPr>
        <w:tab/>
      </w:r>
      <w:r>
        <w:rPr>
          <w:rFonts w:ascii="Calibri" w:hAnsi="Calibri"/>
          <w:sz w:val="20"/>
          <w:szCs w:val="20"/>
        </w:rPr>
        <w:tab/>
      </w:r>
      <w:r w:rsidRPr="00D61C8A">
        <w:rPr>
          <w:rFonts w:ascii="Calibri" w:hAnsi="Calibri"/>
          <w:sz w:val="20"/>
          <w:szCs w:val="20"/>
        </w:rPr>
        <w:t>Quality control</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17"/>
        </w:numPr>
        <w:rPr>
          <w:rFonts w:ascii="Calibri" w:hAnsi="Calibri"/>
          <w:b/>
          <w:sz w:val="20"/>
          <w:szCs w:val="20"/>
        </w:rPr>
      </w:pPr>
      <w:r w:rsidRPr="00D61C8A">
        <w:rPr>
          <w:rFonts w:ascii="Calibri" w:hAnsi="Calibri"/>
          <w:sz w:val="20"/>
          <w:szCs w:val="20"/>
        </w:rPr>
        <w:t xml:space="preserve">INSEC personnel ask questions </w:t>
      </w:r>
      <w:r>
        <w:rPr>
          <w:rFonts w:ascii="Calibri" w:hAnsi="Calibri"/>
          <w:sz w:val="20"/>
          <w:szCs w:val="20"/>
        </w:rPr>
        <w:t>if</w:t>
      </w:r>
      <w:r w:rsidRPr="00D61C8A">
        <w:rPr>
          <w:rFonts w:ascii="Calibri" w:hAnsi="Calibri"/>
          <w:sz w:val="20"/>
          <w:szCs w:val="20"/>
        </w:rPr>
        <w:t xml:space="preserve"> they are confused about data </w:t>
      </w:r>
      <w:r>
        <w:rPr>
          <w:rFonts w:ascii="Calibri" w:hAnsi="Calibri"/>
          <w:sz w:val="20"/>
          <w:szCs w:val="20"/>
        </w:rPr>
        <w:t>entry</w:t>
      </w:r>
      <w:r w:rsidRPr="00D61C8A">
        <w:rPr>
          <w:rFonts w:ascii="Calibri" w:hAnsi="Calibri"/>
          <w:sz w:val="20"/>
          <w:szCs w:val="20"/>
        </w:rPr>
        <w:t xml:space="preserve"> or if they have other concerns</w:t>
      </w:r>
    </w:p>
    <w:p w:rsidR="00B454FB" w:rsidRPr="00D61C8A" w:rsidRDefault="00B454FB" w:rsidP="00B454FB">
      <w:pPr>
        <w:pStyle w:val="ColorfulList-Accent11"/>
        <w:numPr>
          <w:ilvl w:val="1"/>
          <w:numId w:val="17"/>
        </w:numPr>
        <w:rPr>
          <w:rFonts w:ascii="Calibri" w:hAnsi="Calibri"/>
          <w:b/>
          <w:sz w:val="20"/>
          <w:szCs w:val="20"/>
        </w:rPr>
      </w:pPr>
      <w:r w:rsidRPr="00D61C8A">
        <w:rPr>
          <w:rFonts w:ascii="Calibri" w:hAnsi="Calibri"/>
          <w:sz w:val="20"/>
          <w:szCs w:val="20"/>
        </w:rPr>
        <w:t>DRs discuss concerns with regional personnel, who turn to central personnel if they cannot answer the questions themselves</w:t>
      </w:r>
    </w:p>
    <w:p w:rsidR="00B454FB" w:rsidRPr="00D61C8A" w:rsidRDefault="00B454FB" w:rsidP="00B454FB">
      <w:pPr>
        <w:pStyle w:val="ColorfulList-Accent11"/>
        <w:numPr>
          <w:ilvl w:val="1"/>
          <w:numId w:val="17"/>
        </w:numPr>
        <w:rPr>
          <w:rFonts w:ascii="Calibri" w:hAnsi="Calibri"/>
          <w:b/>
          <w:sz w:val="20"/>
          <w:szCs w:val="20"/>
        </w:rPr>
      </w:pPr>
      <w:r w:rsidRPr="00D61C8A">
        <w:rPr>
          <w:rFonts w:ascii="Calibri" w:hAnsi="Calibri"/>
          <w:sz w:val="20"/>
          <w:szCs w:val="20"/>
        </w:rPr>
        <w:lastRenderedPageBreak/>
        <w:t xml:space="preserve">When INSEC </w:t>
      </w:r>
      <w:r>
        <w:rPr>
          <w:rFonts w:ascii="Calibri" w:hAnsi="Calibri"/>
          <w:sz w:val="20"/>
          <w:szCs w:val="20"/>
        </w:rPr>
        <w:t xml:space="preserve">central </w:t>
      </w:r>
      <w:r w:rsidRPr="00D61C8A">
        <w:rPr>
          <w:rFonts w:ascii="Calibri" w:hAnsi="Calibri"/>
          <w:sz w:val="20"/>
          <w:szCs w:val="20"/>
        </w:rPr>
        <w:t xml:space="preserve">personnel </w:t>
      </w:r>
      <w:r>
        <w:rPr>
          <w:rFonts w:ascii="Calibri" w:hAnsi="Calibri"/>
          <w:sz w:val="20"/>
          <w:szCs w:val="20"/>
        </w:rPr>
        <w:t xml:space="preserve">cannot answer questions they </w:t>
      </w:r>
      <w:r w:rsidRPr="00D61C8A">
        <w:rPr>
          <w:rFonts w:ascii="Calibri" w:hAnsi="Calibri"/>
          <w:sz w:val="20"/>
          <w:szCs w:val="20"/>
        </w:rPr>
        <w:t>consult with UNICEF</w:t>
      </w:r>
      <w:r w:rsidRPr="00D61C8A">
        <w:rPr>
          <w:rStyle w:val="EndnoteReference"/>
          <w:rFonts w:ascii="Calibri" w:hAnsi="Calibri"/>
          <w:sz w:val="20"/>
          <w:szCs w:val="20"/>
        </w:rPr>
        <w:endnoteReference w:id="174"/>
      </w:r>
    </w:p>
    <w:p w:rsidR="00B454FB" w:rsidRPr="00D61C8A" w:rsidRDefault="00B454FB" w:rsidP="00B454FB">
      <w:pPr>
        <w:pStyle w:val="ColorfulList-Accent11"/>
        <w:numPr>
          <w:ilvl w:val="0"/>
          <w:numId w:val="17"/>
        </w:numPr>
        <w:rPr>
          <w:rFonts w:ascii="Calibri" w:hAnsi="Calibri"/>
          <w:b/>
          <w:sz w:val="20"/>
          <w:szCs w:val="20"/>
        </w:rPr>
      </w:pPr>
      <w:r w:rsidRPr="00D61C8A">
        <w:rPr>
          <w:rFonts w:ascii="Calibri" w:hAnsi="Calibri"/>
          <w:sz w:val="20"/>
          <w:szCs w:val="20"/>
        </w:rPr>
        <w:t>Data forms filled out by DRs are checked at the regional and central levels before being entered into the database</w:t>
      </w:r>
    </w:p>
    <w:p w:rsidR="00B454FB" w:rsidRPr="00D61C8A" w:rsidRDefault="00B454FB" w:rsidP="00B454FB">
      <w:pPr>
        <w:pStyle w:val="ColorfulList-Accent11"/>
        <w:numPr>
          <w:ilvl w:val="1"/>
          <w:numId w:val="17"/>
        </w:numPr>
        <w:rPr>
          <w:rFonts w:ascii="Calibri" w:hAnsi="Calibri"/>
          <w:sz w:val="20"/>
          <w:szCs w:val="20"/>
        </w:rPr>
      </w:pPr>
      <w:r w:rsidRPr="00D61C8A">
        <w:rPr>
          <w:rFonts w:ascii="Calibri" w:hAnsi="Calibri"/>
          <w:sz w:val="20"/>
          <w:szCs w:val="20"/>
        </w:rPr>
        <w:t>The FPMA follows up with the appropriate personnel by phone if any data fields are</w:t>
      </w:r>
      <w:r>
        <w:rPr>
          <w:rFonts w:ascii="Calibri" w:hAnsi="Calibri"/>
          <w:sz w:val="20"/>
          <w:szCs w:val="20"/>
        </w:rPr>
        <w:t xml:space="preserve"> missing, even </w:t>
      </w:r>
      <w:r w:rsidRPr="00D61C8A">
        <w:rPr>
          <w:rFonts w:ascii="Calibri" w:hAnsi="Calibri"/>
          <w:sz w:val="20"/>
          <w:szCs w:val="20"/>
        </w:rPr>
        <w:t>after office hours</w:t>
      </w:r>
      <w:r w:rsidRPr="00D61C8A">
        <w:rPr>
          <w:rStyle w:val="EndnoteReference"/>
          <w:rFonts w:ascii="Calibri" w:hAnsi="Calibri"/>
          <w:sz w:val="20"/>
          <w:szCs w:val="20"/>
        </w:rPr>
        <w:endnoteReference w:id="175"/>
      </w:r>
    </w:p>
    <w:p w:rsidR="00B454FB" w:rsidRPr="00D61C8A" w:rsidRDefault="00B454FB" w:rsidP="00B454FB">
      <w:pPr>
        <w:pStyle w:val="ColorfulList-Accent11"/>
        <w:numPr>
          <w:ilvl w:val="0"/>
          <w:numId w:val="18"/>
        </w:numPr>
        <w:rPr>
          <w:rFonts w:ascii="Calibri" w:hAnsi="Calibri"/>
          <w:sz w:val="20"/>
          <w:szCs w:val="20"/>
        </w:rPr>
      </w:pPr>
      <w:r w:rsidRPr="00D61C8A">
        <w:rPr>
          <w:rFonts w:ascii="Calibri" w:hAnsi="Calibri"/>
          <w:sz w:val="20"/>
          <w:szCs w:val="20"/>
        </w:rPr>
        <w:t>At the central level, only one person enters data into the database</w:t>
      </w:r>
      <w:r w:rsidRPr="00D61C8A">
        <w:rPr>
          <w:rStyle w:val="EndnoteReference"/>
          <w:rFonts w:ascii="Calibri" w:hAnsi="Calibri"/>
          <w:sz w:val="20"/>
          <w:szCs w:val="20"/>
        </w:rPr>
        <w:endnoteReference w:id="176"/>
      </w:r>
    </w:p>
    <w:p w:rsidR="00B454FB" w:rsidRPr="00D61C8A" w:rsidRDefault="00B454FB" w:rsidP="00B454FB">
      <w:pPr>
        <w:pStyle w:val="ColorfulList-Accent11"/>
        <w:numPr>
          <w:ilvl w:val="0"/>
          <w:numId w:val="18"/>
        </w:numPr>
        <w:rPr>
          <w:rFonts w:ascii="Calibri" w:hAnsi="Calibri"/>
          <w:sz w:val="20"/>
          <w:szCs w:val="20"/>
        </w:rPr>
      </w:pPr>
      <w:r w:rsidRPr="00D61C8A">
        <w:rPr>
          <w:rFonts w:ascii="Calibri" w:hAnsi="Calibri"/>
          <w:sz w:val="20"/>
          <w:szCs w:val="20"/>
        </w:rPr>
        <w:t>Because INSEConline data are published so quickly, changes to reports sometimes need to be made if original reports change or if additional information becomes available; if changes in data originally reported become apparent after data have already been published online, INSEConline personnel are notified of changes that need to be made</w:t>
      </w:r>
      <w:r w:rsidRPr="00D61C8A">
        <w:rPr>
          <w:rStyle w:val="EndnoteReference"/>
          <w:rFonts w:ascii="Calibri" w:hAnsi="Calibri"/>
          <w:sz w:val="20"/>
          <w:szCs w:val="20"/>
        </w:rPr>
        <w:endnoteReference w:id="177"/>
      </w:r>
    </w:p>
    <w:p w:rsidR="00B454FB" w:rsidRPr="00D61C8A" w:rsidRDefault="00B454FB" w:rsidP="00B454FB">
      <w:pPr>
        <w:pStyle w:val="ColorfulList-Accent11"/>
        <w:numPr>
          <w:ilvl w:val="0"/>
          <w:numId w:val="18"/>
        </w:numPr>
        <w:rPr>
          <w:rFonts w:ascii="Calibri" w:hAnsi="Calibri"/>
          <w:sz w:val="20"/>
          <w:szCs w:val="20"/>
        </w:rPr>
      </w:pPr>
      <w:r w:rsidRPr="00D61C8A">
        <w:rPr>
          <w:rFonts w:ascii="Calibri" w:hAnsi="Calibri"/>
          <w:sz w:val="20"/>
          <w:szCs w:val="20"/>
        </w:rPr>
        <w:t>At the end of each calendar year</w:t>
      </w:r>
      <w:r w:rsidR="00C84344">
        <w:rPr>
          <w:rFonts w:ascii="Calibri" w:hAnsi="Calibri"/>
          <w:sz w:val="20"/>
          <w:szCs w:val="20"/>
        </w:rPr>
        <w:t>,</w:t>
      </w:r>
      <w:r w:rsidRPr="00D61C8A">
        <w:rPr>
          <w:rFonts w:ascii="Calibri" w:hAnsi="Calibri"/>
          <w:sz w:val="20"/>
          <w:szCs w:val="20"/>
        </w:rPr>
        <w:t xml:space="preserve"> the INSEC central office conducts a final meeting, working closely w</w:t>
      </w:r>
      <w:r>
        <w:rPr>
          <w:rFonts w:ascii="Calibri" w:hAnsi="Calibri"/>
          <w:sz w:val="20"/>
          <w:szCs w:val="20"/>
        </w:rPr>
        <w:t xml:space="preserve">ith DOs to follow up on </w:t>
      </w:r>
      <w:r w:rsidRPr="00D61C8A">
        <w:rPr>
          <w:rFonts w:ascii="Calibri" w:hAnsi="Calibri"/>
          <w:sz w:val="20"/>
          <w:szCs w:val="20"/>
        </w:rPr>
        <w:t>cases with outstanding questions</w:t>
      </w:r>
    </w:p>
    <w:p w:rsidR="00B454FB" w:rsidRPr="00D61C8A" w:rsidRDefault="00B454FB" w:rsidP="00B454FB">
      <w:pPr>
        <w:pStyle w:val="ColorfulList-Accent11"/>
        <w:numPr>
          <w:ilvl w:val="0"/>
          <w:numId w:val="18"/>
        </w:numPr>
        <w:rPr>
          <w:rFonts w:ascii="Calibri" w:hAnsi="Calibri"/>
          <w:sz w:val="20"/>
          <w:szCs w:val="20"/>
        </w:rPr>
      </w:pPr>
      <w:r w:rsidRPr="00D61C8A">
        <w:rPr>
          <w:rFonts w:ascii="Calibri" w:hAnsi="Calibri"/>
          <w:sz w:val="20"/>
          <w:szCs w:val="20"/>
        </w:rPr>
        <w:t xml:space="preserve">Field visits were built into the original surveillance system to </w:t>
      </w:r>
      <w:r>
        <w:rPr>
          <w:rFonts w:ascii="Calibri" w:hAnsi="Calibri"/>
          <w:sz w:val="20"/>
          <w:szCs w:val="20"/>
        </w:rPr>
        <w:t>en</w:t>
      </w:r>
      <w:r w:rsidRPr="00D61C8A">
        <w:rPr>
          <w:rFonts w:ascii="Calibri" w:hAnsi="Calibri"/>
          <w:sz w:val="20"/>
          <w:szCs w:val="20"/>
        </w:rPr>
        <w:t>sure that collected data were complete and accurate</w:t>
      </w:r>
      <w:r w:rsidRPr="00D61C8A">
        <w:rPr>
          <w:rStyle w:val="EndnoteReference"/>
          <w:rFonts w:ascii="Calibri" w:hAnsi="Calibri"/>
          <w:b/>
          <w:sz w:val="20"/>
          <w:szCs w:val="20"/>
        </w:rPr>
        <w:endnoteReference w:id="178"/>
      </w:r>
    </w:p>
    <w:p w:rsidR="00B454FB" w:rsidRPr="00D61C8A" w:rsidRDefault="00B454FB" w:rsidP="00B454FB">
      <w:pPr>
        <w:pStyle w:val="ColorfulList-Accent11"/>
        <w:numPr>
          <w:ilvl w:val="1"/>
          <w:numId w:val="18"/>
        </w:numPr>
        <w:rPr>
          <w:rFonts w:ascii="Calibri" w:hAnsi="Calibri"/>
          <w:sz w:val="20"/>
          <w:szCs w:val="20"/>
        </w:rPr>
      </w:pPr>
      <w:r w:rsidRPr="00D61C8A">
        <w:rPr>
          <w:rFonts w:ascii="Calibri" w:hAnsi="Calibri"/>
          <w:sz w:val="20"/>
          <w:szCs w:val="20"/>
        </w:rPr>
        <w:t xml:space="preserve">In 2006, quality control field visits took place every two months to meet with </w:t>
      </w:r>
      <w:r>
        <w:rPr>
          <w:rFonts w:ascii="Calibri" w:hAnsi="Calibri"/>
          <w:sz w:val="20"/>
          <w:szCs w:val="20"/>
        </w:rPr>
        <w:t>injured individuals and informers and review</w:t>
      </w:r>
      <w:r w:rsidRPr="00D61C8A">
        <w:rPr>
          <w:rFonts w:ascii="Calibri" w:hAnsi="Calibri"/>
          <w:sz w:val="20"/>
          <w:szCs w:val="20"/>
        </w:rPr>
        <w:t xml:space="preserve"> data quality</w:t>
      </w:r>
      <w:r w:rsidRPr="00D61C8A">
        <w:rPr>
          <w:rStyle w:val="EndnoteReference"/>
          <w:rFonts w:ascii="Calibri" w:hAnsi="Calibri"/>
          <w:sz w:val="20"/>
          <w:szCs w:val="20"/>
        </w:rPr>
        <w:endnoteReference w:id="179"/>
      </w:r>
    </w:p>
    <w:p w:rsidR="00B454FB" w:rsidRPr="00D61C8A" w:rsidRDefault="00B454FB" w:rsidP="00B454FB">
      <w:pPr>
        <w:pStyle w:val="ColorfulList-Accent11"/>
        <w:numPr>
          <w:ilvl w:val="1"/>
          <w:numId w:val="18"/>
        </w:numPr>
        <w:rPr>
          <w:rFonts w:ascii="Calibri" w:hAnsi="Calibri"/>
          <w:sz w:val="20"/>
          <w:szCs w:val="20"/>
        </w:rPr>
      </w:pPr>
      <w:r w:rsidRPr="00D61C8A">
        <w:rPr>
          <w:rFonts w:ascii="Calibri" w:hAnsi="Calibri"/>
          <w:sz w:val="20"/>
          <w:szCs w:val="20"/>
        </w:rPr>
        <w:t>Field visits confirmed data on 17 (38</w:t>
      </w:r>
      <w:r>
        <w:rPr>
          <w:rFonts w:ascii="Calibri" w:hAnsi="Calibri"/>
          <w:sz w:val="20"/>
          <w:szCs w:val="20"/>
        </w:rPr>
        <w:t xml:space="preserve"> </w:t>
      </w:r>
      <w:r w:rsidRPr="00D61C8A">
        <w:rPr>
          <w:rFonts w:ascii="Calibri" w:hAnsi="Calibri"/>
          <w:sz w:val="20"/>
          <w:szCs w:val="20"/>
        </w:rPr>
        <w:t>%) of 45 casualties recorded by the surveillance system between June and October 2006</w:t>
      </w:r>
      <w:r w:rsidRPr="00D61C8A">
        <w:rPr>
          <w:rStyle w:val="EndnoteReference"/>
          <w:rFonts w:ascii="Calibri" w:hAnsi="Calibri"/>
          <w:sz w:val="20"/>
          <w:szCs w:val="20"/>
        </w:rPr>
        <w:endnoteReference w:id="180"/>
      </w:r>
    </w:p>
    <w:p w:rsidR="00B454FB" w:rsidRPr="00D61C8A" w:rsidRDefault="00B454FB" w:rsidP="00B454FB">
      <w:pPr>
        <w:pStyle w:val="ColorfulList-Accent11"/>
        <w:numPr>
          <w:ilvl w:val="1"/>
          <w:numId w:val="18"/>
        </w:numPr>
        <w:rPr>
          <w:rFonts w:ascii="Calibri" w:hAnsi="Calibri"/>
          <w:sz w:val="20"/>
          <w:szCs w:val="20"/>
        </w:rPr>
      </w:pPr>
      <w:r w:rsidRPr="00D61C8A">
        <w:rPr>
          <w:rFonts w:ascii="Calibri" w:hAnsi="Calibri"/>
          <w:sz w:val="20"/>
          <w:szCs w:val="20"/>
        </w:rPr>
        <w:t>Field visits continue at this time; in April 2010, for example, the FPMA visited Humla, Kailali and Baitadi districts for quality control checks</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V.A.2.g</w:t>
      </w:r>
      <w:r>
        <w:rPr>
          <w:rFonts w:ascii="Calibri" w:hAnsi="Calibri"/>
          <w:sz w:val="20"/>
          <w:szCs w:val="20"/>
        </w:rPr>
        <w:tab/>
      </w:r>
      <w:r>
        <w:rPr>
          <w:rFonts w:ascii="Calibri" w:hAnsi="Calibri"/>
          <w:sz w:val="20"/>
          <w:szCs w:val="20"/>
        </w:rPr>
        <w:tab/>
      </w:r>
      <w:r w:rsidRPr="00D61C8A">
        <w:rPr>
          <w:rFonts w:ascii="Calibri" w:hAnsi="Calibri"/>
          <w:sz w:val="20"/>
          <w:szCs w:val="20"/>
        </w:rPr>
        <w:t>Consent, confidentiality and security concerns</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DRs ask respondents for consent to participate prior to administering the data collection form</w:t>
      </w:r>
    </w:p>
    <w:p w:rsidR="00B454FB" w:rsidRPr="00D61C8A"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 xml:space="preserve">A question on the data collection form asks whether the </w:t>
      </w:r>
      <w:r>
        <w:rPr>
          <w:rFonts w:ascii="Calibri" w:hAnsi="Calibri"/>
          <w:sz w:val="20"/>
          <w:szCs w:val="20"/>
        </w:rPr>
        <w:t>injured individual or his/her family will allow</w:t>
      </w:r>
      <w:r w:rsidRPr="00D61C8A">
        <w:rPr>
          <w:rFonts w:ascii="Calibri" w:hAnsi="Calibri"/>
          <w:sz w:val="20"/>
          <w:szCs w:val="20"/>
        </w:rPr>
        <w:t xml:space="preserve"> publication of </w:t>
      </w:r>
      <w:r>
        <w:rPr>
          <w:rFonts w:ascii="Calibri" w:hAnsi="Calibri"/>
          <w:sz w:val="20"/>
          <w:szCs w:val="20"/>
        </w:rPr>
        <w:t>the injured individual</w:t>
      </w:r>
      <w:r w:rsidRPr="00D61C8A">
        <w:rPr>
          <w:rFonts w:ascii="Calibri" w:hAnsi="Calibri"/>
          <w:sz w:val="20"/>
          <w:szCs w:val="20"/>
        </w:rPr>
        <w:t>’s name; permission has been given in 100</w:t>
      </w:r>
      <w:r>
        <w:rPr>
          <w:rFonts w:ascii="Calibri" w:hAnsi="Calibri"/>
          <w:sz w:val="20"/>
          <w:szCs w:val="20"/>
        </w:rPr>
        <w:t xml:space="preserve"> </w:t>
      </w:r>
      <w:r w:rsidRPr="00D61C8A">
        <w:rPr>
          <w:rFonts w:ascii="Calibri" w:hAnsi="Calibri"/>
          <w:sz w:val="20"/>
          <w:szCs w:val="20"/>
        </w:rPr>
        <w:t>% of cases</w:t>
      </w:r>
    </w:p>
    <w:p w:rsidR="00B454FB" w:rsidRDefault="00B454FB" w:rsidP="00B454FB">
      <w:pPr>
        <w:pStyle w:val="ColorfulList-Accent11"/>
        <w:numPr>
          <w:ilvl w:val="0"/>
          <w:numId w:val="46"/>
        </w:numPr>
        <w:rPr>
          <w:rFonts w:ascii="Calibri" w:hAnsi="Calibri"/>
          <w:sz w:val="20"/>
          <w:szCs w:val="20"/>
        </w:rPr>
      </w:pPr>
      <w:r>
        <w:rPr>
          <w:rFonts w:ascii="Calibri" w:hAnsi="Calibri"/>
          <w:sz w:val="20"/>
          <w:szCs w:val="20"/>
        </w:rPr>
        <w:t>Injured individual</w:t>
      </w:r>
      <w:r w:rsidRPr="00D61C8A">
        <w:rPr>
          <w:rFonts w:ascii="Calibri" w:hAnsi="Calibri"/>
          <w:sz w:val="20"/>
          <w:szCs w:val="20"/>
        </w:rPr>
        <w:t>s benefit from reporting to INSEC by receiving referrals to treatment services</w:t>
      </w:r>
    </w:p>
    <w:p w:rsidR="00B454FB" w:rsidRPr="00C96764"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 xml:space="preserve">INSEC is not aware of any risks faced by </w:t>
      </w:r>
      <w:r>
        <w:rPr>
          <w:rFonts w:ascii="Calibri" w:hAnsi="Calibri"/>
          <w:sz w:val="20"/>
          <w:szCs w:val="20"/>
        </w:rPr>
        <w:t>injured individual</w:t>
      </w:r>
      <w:r w:rsidRPr="00D61C8A">
        <w:rPr>
          <w:rFonts w:ascii="Calibri" w:hAnsi="Calibri"/>
          <w:sz w:val="20"/>
          <w:szCs w:val="20"/>
        </w:rPr>
        <w:t>s due to reporting</w:t>
      </w:r>
    </w:p>
    <w:p w:rsidR="00B454FB" w:rsidRPr="00D61C8A"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DRs may face risk when investigating incidents</w:t>
      </w:r>
      <w:r>
        <w:rPr>
          <w:rFonts w:ascii="Calibri" w:hAnsi="Calibri"/>
          <w:sz w:val="20"/>
          <w:szCs w:val="20"/>
        </w:rPr>
        <w:t>;</w:t>
      </w:r>
      <w:r w:rsidRPr="00D61C8A">
        <w:rPr>
          <w:rFonts w:ascii="Calibri" w:hAnsi="Calibri"/>
          <w:sz w:val="20"/>
          <w:szCs w:val="20"/>
        </w:rPr>
        <w:t xml:space="preserve"> they attempt to minimize </w:t>
      </w:r>
      <w:r>
        <w:rPr>
          <w:rFonts w:ascii="Calibri" w:hAnsi="Calibri"/>
          <w:sz w:val="20"/>
          <w:szCs w:val="20"/>
        </w:rPr>
        <w:t xml:space="preserve">this </w:t>
      </w:r>
      <w:r w:rsidRPr="00D61C8A">
        <w:rPr>
          <w:rFonts w:ascii="Calibri" w:hAnsi="Calibri"/>
          <w:sz w:val="20"/>
          <w:szCs w:val="20"/>
        </w:rPr>
        <w:t xml:space="preserve">risk by visiting incident areas with human rights defenders, journalists, and </w:t>
      </w:r>
      <w:r>
        <w:rPr>
          <w:rFonts w:ascii="Calibri" w:hAnsi="Calibri"/>
          <w:sz w:val="20"/>
          <w:szCs w:val="20"/>
        </w:rPr>
        <w:t xml:space="preserve">government </w:t>
      </w:r>
      <w:r w:rsidRPr="00D61C8A">
        <w:rPr>
          <w:rFonts w:ascii="Calibri" w:hAnsi="Calibri"/>
          <w:sz w:val="20"/>
          <w:szCs w:val="20"/>
        </w:rPr>
        <w:t>security personnel</w:t>
      </w:r>
    </w:p>
    <w:p w:rsidR="00B454FB" w:rsidRPr="00D61C8A"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 xml:space="preserve">INSEC publishes names of injured and killed individuals and DRs; the FPMA does not believe that DRs or </w:t>
      </w:r>
      <w:r>
        <w:rPr>
          <w:rFonts w:ascii="Calibri" w:hAnsi="Calibri"/>
          <w:sz w:val="20"/>
          <w:szCs w:val="20"/>
        </w:rPr>
        <w:t>injured individual</w:t>
      </w:r>
      <w:r w:rsidRPr="00D61C8A">
        <w:rPr>
          <w:rFonts w:ascii="Calibri" w:hAnsi="Calibri"/>
          <w:sz w:val="20"/>
          <w:szCs w:val="20"/>
        </w:rPr>
        <w:t>s face any risk as a result</w:t>
      </w:r>
    </w:p>
    <w:p w:rsidR="00B454FB" w:rsidRPr="00D61C8A" w:rsidRDefault="00B454FB" w:rsidP="00B454FB">
      <w:pPr>
        <w:pStyle w:val="ColorfulList-Accent11"/>
        <w:numPr>
          <w:ilvl w:val="0"/>
          <w:numId w:val="46"/>
        </w:numPr>
        <w:rPr>
          <w:rFonts w:ascii="Calibri" w:hAnsi="Calibri"/>
          <w:sz w:val="20"/>
          <w:szCs w:val="20"/>
        </w:rPr>
      </w:pPr>
      <w:r w:rsidRPr="00D61C8A">
        <w:rPr>
          <w:rFonts w:ascii="Calibri" w:hAnsi="Calibri"/>
          <w:sz w:val="20"/>
          <w:szCs w:val="20"/>
        </w:rPr>
        <w:t>The FPMA maintains the database in Kathmandu</w:t>
      </w:r>
    </w:p>
    <w:p w:rsidR="00B454FB" w:rsidRPr="00D61C8A" w:rsidRDefault="00B454FB" w:rsidP="00B454FB">
      <w:pPr>
        <w:pStyle w:val="ColorfulList-Accent11"/>
        <w:numPr>
          <w:ilvl w:val="1"/>
          <w:numId w:val="46"/>
        </w:numPr>
        <w:rPr>
          <w:rFonts w:ascii="Calibri" w:hAnsi="Calibri"/>
          <w:sz w:val="20"/>
          <w:szCs w:val="20"/>
        </w:rPr>
      </w:pPr>
      <w:r w:rsidRPr="00D61C8A">
        <w:rPr>
          <w:rFonts w:ascii="Calibri" w:hAnsi="Calibri"/>
          <w:sz w:val="20"/>
          <w:szCs w:val="20"/>
        </w:rPr>
        <w:t>Both the INSEC office computer where the database is kept and the database file itself are protected by passwords</w:t>
      </w:r>
    </w:p>
    <w:p w:rsidR="00B454FB" w:rsidRPr="00D61C8A" w:rsidRDefault="00B454FB" w:rsidP="00B454FB">
      <w:pPr>
        <w:pStyle w:val="ColorfulList-Accent11"/>
        <w:numPr>
          <w:ilvl w:val="1"/>
          <w:numId w:val="46"/>
        </w:numPr>
        <w:rPr>
          <w:rFonts w:ascii="Calibri" w:hAnsi="Calibri"/>
          <w:sz w:val="20"/>
          <w:szCs w:val="20"/>
        </w:rPr>
      </w:pPr>
      <w:r w:rsidRPr="00D61C8A">
        <w:rPr>
          <w:rFonts w:ascii="Calibri" w:hAnsi="Calibri"/>
          <w:sz w:val="20"/>
          <w:szCs w:val="20"/>
        </w:rPr>
        <w:t>The password is removed from the database file when it is sent to UNICEF via e-mail</w:t>
      </w:r>
      <w:r w:rsidRPr="00D61C8A">
        <w:rPr>
          <w:rStyle w:val="EndnoteReference"/>
          <w:rFonts w:ascii="Calibri" w:hAnsi="Calibri"/>
          <w:sz w:val="20"/>
          <w:szCs w:val="20"/>
        </w:rPr>
        <w:endnoteReference w:id="181"/>
      </w:r>
    </w:p>
    <w:p w:rsidR="00B454FB" w:rsidRPr="00D61C8A" w:rsidRDefault="00B454FB" w:rsidP="00B454FB">
      <w:pPr>
        <w:pStyle w:val="ColorfulList-Accent11"/>
        <w:numPr>
          <w:ilvl w:val="1"/>
          <w:numId w:val="46"/>
        </w:numPr>
        <w:rPr>
          <w:rFonts w:ascii="Calibri" w:hAnsi="Calibri"/>
          <w:sz w:val="20"/>
          <w:szCs w:val="20"/>
        </w:rPr>
      </w:pPr>
      <w:r w:rsidRPr="00D61C8A">
        <w:rPr>
          <w:rFonts w:ascii="Calibri" w:hAnsi="Calibri"/>
          <w:sz w:val="20"/>
          <w:szCs w:val="20"/>
        </w:rPr>
        <w:t xml:space="preserve">The FPMA backs up the database in five locations: his </w:t>
      </w:r>
      <w:r>
        <w:rPr>
          <w:rFonts w:ascii="Calibri" w:hAnsi="Calibri"/>
          <w:sz w:val="20"/>
          <w:szCs w:val="20"/>
        </w:rPr>
        <w:t xml:space="preserve">office computer, </w:t>
      </w:r>
      <w:r w:rsidRPr="00D61C8A">
        <w:rPr>
          <w:rFonts w:ascii="Calibri" w:hAnsi="Calibri"/>
          <w:sz w:val="20"/>
          <w:szCs w:val="20"/>
        </w:rPr>
        <w:t>laptop computer, flash drive, server and home computer</w:t>
      </w:r>
      <w:r w:rsidRPr="00D61C8A">
        <w:rPr>
          <w:rStyle w:val="EndnoteReference"/>
          <w:rFonts w:ascii="Calibri" w:hAnsi="Calibri"/>
          <w:sz w:val="20"/>
          <w:szCs w:val="20"/>
        </w:rPr>
        <w:endnoteReference w:id="182"/>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V.A.2.h</w:t>
      </w:r>
      <w:r>
        <w:rPr>
          <w:rFonts w:ascii="Calibri" w:hAnsi="Calibri"/>
          <w:sz w:val="20"/>
          <w:szCs w:val="20"/>
        </w:rPr>
        <w:tab/>
      </w:r>
      <w:r>
        <w:rPr>
          <w:rFonts w:ascii="Calibri" w:hAnsi="Calibri"/>
          <w:sz w:val="20"/>
          <w:szCs w:val="20"/>
        </w:rPr>
        <w:tab/>
      </w:r>
      <w:r w:rsidRPr="00D61C8A">
        <w:rPr>
          <w:rFonts w:ascii="Calibri" w:hAnsi="Calibri"/>
          <w:sz w:val="20"/>
          <w:szCs w:val="20"/>
        </w:rPr>
        <w:t>Integration with other systems</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19"/>
        </w:numPr>
        <w:rPr>
          <w:rFonts w:ascii="Calibri" w:hAnsi="Calibri"/>
          <w:sz w:val="20"/>
          <w:szCs w:val="20"/>
        </w:rPr>
      </w:pPr>
      <w:r w:rsidRPr="00D61C8A">
        <w:rPr>
          <w:rFonts w:ascii="Calibri" w:hAnsi="Calibri"/>
          <w:sz w:val="20"/>
          <w:szCs w:val="20"/>
        </w:rPr>
        <w:t xml:space="preserve">DRs collect information on </w:t>
      </w:r>
      <w:r>
        <w:rPr>
          <w:rFonts w:ascii="Calibri" w:hAnsi="Calibri"/>
          <w:sz w:val="20"/>
          <w:szCs w:val="20"/>
        </w:rPr>
        <w:t xml:space="preserve">VAE injuries, </w:t>
      </w:r>
      <w:r w:rsidRPr="00D61C8A">
        <w:rPr>
          <w:rFonts w:ascii="Calibri" w:hAnsi="Calibri"/>
          <w:sz w:val="20"/>
          <w:szCs w:val="20"/>
        </w:rPr>
        <w:t xml:space="preserve">the </w:t>
      </w:r>
      <w:r w:rsidR="00C84344">
        <w:rPr>
          <w:rFonts w:ascii="Calibri" w:hAnsi="Calibri"/>
          <w:sz w:val="20"/>
          <w:szCs w:val="20"/>
        </w:rPr>
        <w:t xml:space="preserve">Resolution </w:t>
      </w:r>
      <w:r w:rsidRPr="00D61C8A">
        <w:rPr>
          <w:rFonts w:ascii="Calibri" w:hAnsi="Calibri"/>
          <w:sz w:val="20"/>
          <w:szCs w:val="20"/>
        </w:rPr>
        <w:t>1612 grave violations (see note on pag</w:t>
      </w:r>
      <w:r>
        <w:rPr>
          <w:rFonts w:ascii="Calibri" w:hAnsi="Calibri"/>
          <w:sz w:val="20"/>
          <w:szCs w:val="20"/>
        </w:rPr>
        <w:t>e 23)</w:t>
      </w:r>
      <w:r w:rsidRPr="00D61C8A">
        <w:rPr>
          <w:rFonts w:ascii="Calibri" w:hAnsi="Calibri"/>
          <w:sz w:val="20"/>
          <w:szCs w:val="20"/>
        </w:rPr>
        <w:t>, and other human rights violations via separate data collection forms but using the same overall reporting mechanism</w:t>
      </w:r>
    </w:p>
    <w:p w:rsidR="00B454FB" w:rsidRPr="00D61C8A" w:rsidRDefault="00B454FB" w:rsidP="00B454FB">
      <w:pPr>
        <w:pStyle w:val="ColorfulList-Accent11"/>
        <w:numPr>
          <w:ilvl w:val="1"/>
          <w:numId w:val="19"/>
        </w:numPr>
        <w:rPr>
          <w:rFonts w:ascii="Calibri" w:hAnsi="Calibri"/>
          <w:sz w:val="20"/>
          <w:szCs w:val="20"/>
        </w:rPr>
      </w:pPr>
      <w:r w:rsidRPr="00D61C8A">
        <w:rPr>
          <w:rFonts w:ascii="Calibri" w:hAnsi="Calibri"/>
          <w:sz w:val="20"/>
          <w:szCs w:val="20"/>
        </w:rPr>
        <w:t>This streamlining of systems avoids duplication of effort and allows for sharing of training, pay and other resources</w:t>
      </w:r>
    </w:p>
    <w:p w:rsidR="00B454FB" w:rsidRPr="00D61C8A" w:rsidRDefault="00B454FB" w:rsidP="00B454FB">
      <w:pPr>
        <w:pStyle w:val="ColorfulList-Accent11"/>
        <w:numPr>
          <w:ilvl w:val="0"/>
          <w:numId w:val="19"/>
        </w:numPr>
        <w:rPr>
          <w:rFonts w:ascii="Calibri" w:hAnsi="Calibri"/>
          <w:sz w:val="20"/>
          <w:szCs w:val="20"/>
        </w:rPr>
      </w:pPr>
      <w:r w:rsidRPr="00D61C8A">
        <w:rPr>
          <w:rFonts w:ascii="Calibri" w:hAnsi="Calibri"/>
          <w:sz w:val="20"/>
          <w:szCs w:val="20"/>
        </w:rPr>
        <w:t xml:space="preserve">Data gathered by the surveillance system </w:t>
      </w:r>
      <w:r>
        <w:rPr>
          <w:rFonts w:ascii="Calibri" w:hAnsi="Calibri"/>
          <w:sz w:val="20"/>
          <w:szCs w:val="20"/>
        </w:rPr>
        <w:t>are</w:t>
      </w:r>
      <w:r w:rsidRPr="00D61C8A">
        <w:rPr>
          <w:rFonts w:ascii="Calibri" w:hAnsi="Calibri"/>
          <w:sz w:val="20"/>
          <w:szCs w:val="20"/>
        </w:rPr>
        <w:t xml:space="preserve"> used for many purposes (see Section V.A.1.c)</w:t>
      </w:r>
    </w:p>
    <w:p w:rsidR="00B454FB" w:rsidRPr="00D61C8A" w:rsidRDefault="00B454FB" w:rsidP="00B454FB">
      <w:pPr>
        <w:pStyle w:val="ColorfulList-Accent11"/>
        <w:numPr>
          <w:ilvl w:val="0"/>
          <w:numId w:val="19"/>
        </w:numPr>
        <w:rPr>
          <w:rFonts w:ascii="Calibri" w:hAnsi="Calibri"/>
          <w:sz w:val="20"/>
          <w:szCs w:val="20"/>
        </w:rPr>
      </w:pPr>
      <w:r w:rsidRPr="00D61C8A">
        <w:rPr>
          <w:rFonts w:ascii="Calibri" w:hAnsi="Calibri"/>
          <w:sz w:val="20"/>
          <w:szCs w:val="20"/>
        </w:rPr>
        <w:t>UNICEF and INSEC established the Surveillance System on Intentional Explosion, Small Arms in 2009</w:t>
      </w:r>
      <w:r w:rsidRPr="00D61C8A">
        <w:rPr>
          <w:rStyle w:val="EndnoteReference"/>
          <w:rFonts w:ascii="Calibri" w:hAnsi="Calibri"/>
          <w:sz w:val="20"/>
          <w:szCs w:val="20"/>
        </w:rPr>
        <w:endnoteReference w:id="183"/>
      </w:r>
    </w:p>
    <w:p w:rsidR="00B454FB" w:rsidRPr="00D61C8A" w:rsidRDefault="00B454FB" w:rsidP="00B454FB">
      <w:pPr>
        <w:pStyle w:val="ColorfulList-Accent11"/>
        <w:numPr>
          <w:ilvl w:val="1"/>
          <w:numId w:val="19"/>
        </w:numPr>
        <w:rPr>
          <w:rFonts w:ascii="Calibri" w:hAnsi="Calibri"/>
          <w:sz w:val="20"/>
          <w:szCs w:val="20"/>
        </w:rPr>
      </w:pPr>
      <w:r w:rsidRPr="00D61C8A">
        <w:rPr>
          <w:rFonts w:ascii="Calibri" w:hAnsi="Calibri"/>
          <w:sz w:val="20"/>
          <w:szCs w:val="20"/>
        </w:rPr>
        <w:t>This system captures incidents caused by intentional</w:t>
      </w:r>
      <w:r>
        <w:rPr>
          <w:rFonts w:ascii="Calibri" w:hAnsi="Calibri"/>
          <w:sz w:val="20"/>
          <w:szCs w:val="20"/>
        </w:rPr>
        <w:t>ly</w:t>
      </w:r>
      <w:r w:rsidRPr="00D61C8A">
        <w:rPr>
          <w:rFonts w:ascii="Calibri" w:hAnsi="Calibri"/>
          <w:sz w:val="20"/>
          <w:szCs w:val="20"/>
        </w:rPr>
        <w:t xml:space="preserve"> (command</w:t>
      </w:r>
      <w:r>
        <w:rPr>
          <w:rFonts w:ascii="Calibri" w:hAnsi="Calibri"/>
          <w:sz w:val="20"/>
          <w:szCs w:val="20"/>
        </w:rPr>
        <w:t>-</w:t>
      </w:r>
      <w:r w:rsidRPr="00D61C8A">
        <w:rPr>
          <w:rFonts w:ascii="Calibri" w:hAnsi="Calibri"/>
          <w:sz w:val="20"/>
          <w:szCs w:val="20"/>
        </w:rPr>
        <w:t>) detonated ED based on secondary sources such as historical INSEC data and media reports</w:t>
      </w:r>
      <w:r w:rsidRPr="00D61C8A">
        <w:rPr>
          <w:rStyle w:val="EndnoteReference"/>
          <w:rFonts w:ascii="Calibri" w:hAnsi="Calibri"/>
          <w:sz w:val="20"/>
          <w:szCs w:val="20"/>
        </w:rPr>
        <w:endnoteReference w:id="184"/>
      </w:r>
    </w:p>
    <w:p w:rsidR="00B454FB" w:rsidRPr="00D61C8A" w:rsidRDefault="00B454FB" w:rsidP="00B454FB">
      <w:pPr>
        <w:pStyle w:val="ColorfulList-Accent11"/>
        <w:numPr>
          <w:ilvl w:val="1"/>
          <w:numId w:val="19"/>
        </w:numPr>
        <w:rPr>
          <w:rFonts w:ascii="Calibri" w:hAnsi="Calibri"/>
          <w:sz w:val="20"/>
          <w:szCs w:val="20"/>
        </w:rPr>
      </w:pPr>
      <w:r w:rsidRPr="00D61C8A">
        <w:rPr>
          <w:rFonts w:ascii="Calibri" w:hAnsi="Calibri"/>
          <w:sz w:val="20"/>
          <w:szCs w:val="20"/>
        </w:rPr>
        <w:t>In 2009, data collected on intentional explosions by UNICEF were cross-checked with the INSEC VAE database to avoid duplicate reporting</w:t>
      </w:r>
      <w:r w:rsidRPr="00D61C8A">
        <w:rPr>
          <w:rStyle w:val="EndnoteReference"/>
          <w:rFonts w:ascii="Calibri" w:hAnsi="Calibri"/>
          <w:sz w:val="20"/>
          <w:szCs w:val="20"/>
        </w:rPr>
        <w:endnoteReference w:id="185"/>
      </w:r>
    </w:p>
    <w:p w:rsidR="00B454FB" w:rsidRPr="00D61C8A" w:rsidRDefault="00B454FB" w:rsidP="00B454FB">
      <w:pPr>
        <w:pStyle w:val="ColorfulList-Accent11"/>
        <w:numPr>
          <w:ilvl w:val="0"/>
          <w:numId w:val="19"/>
        </w:numPr>
        <w:rPr>
          <w:rFonts w:ascii="Calibri" w:hAnsi="Calibri"/>
          <w:sz w:val="20"/>
          <w:szCs w:val="20"/>
        </w:rPr>
      </w:pPr>
      <w:r w:rsidRPr="00D61C8A">
        <w:rPr>
          <w:rFonts w:ascii="Calibri" w:hAnsi="Calibri"/>
          <w:sz w:val="20"/>
          <w:szCs w:val="20"/>
        </w:rPr>
        <w:t>UNICEF is encouraging greater cooperation with groups that collect data on non-civilian injuries</w:t>
      </w:r>
    </w:p>
    <w:p w:rsidR="00B454FB" w:rsidRPr="00D61C8A" w:rsidRDefault="00B454FB" w:rsidP="00B454FB">
      <w:pPr>
        <w:pStyle w:val="ColorfulList-Accent11"/>
        <w:numPr>
          <w:ilvl w:val="1"/>
          <w:numId w:val="19"/>
        </w:numPr>
        <w:rPr>
          <w:rFonts w:ascii="Calibri" w:hAnsi="Calibri"/>
          <w:sz w:val="20"/>
          <w:szCs w:val="20"/>
        </w:rPr>
      </w:pPr>
      <w:r w:rsidRPr="00D61C8A">
        <w:rPr>
          <w:rFonts w:ascii="Calibri" w:hAnsi="Calibri"/>
          <w:sz w:val="20"/>
          <w:szCs w:val="20"/>
        </w:rPr>
        <w:t>At a meeting of the MAJWG in December 2008, the NA, APF and Nepal Police agreed to provide INSEC with data on their casualties from 2008 onward</w:t>
      </w:r>
      <w:r w:rsidRPr="00D61C8A">
        <w:rPr>
          <w:rStyle w:val="EndnoteReference"/>
          <w:rFonts w:ascii="Calibri" w:hAnsi="Calibri"/>
          <w:sz w:val="20"/>
          <w:szCs w:val="20"/>
        </w:rPr>
        <w:endnoteReference w:id="186"/>
      </w:r>
    </w:p>
    <w:p w:rsidR="00B454FB" w:rsidRPr="00D61C8A" w:rsidRDefault="00B454FB" w:rsidP="00B454FB">
      <w:pPr>
        <w:pStyle w:val="ColorfulList-Accent11"/>
        <w:numPr>
          <w:ilvl w:val="1"/>
          <w:numId w:val="19"/>
        </w:numPr>
        <w:rPr>
          <w:rFonts w:ascii="Calibri" w:hAnsi="Calibri"/>
          <w:sz w:val="20"/>
          <w:szCs w:val="20"/>
        </w:rPr>
      </w:pPr>
      <w:r w:rsidRPr="00D61C8A">
        <w:rPr>
          <w:rFonts w:ascii="Calibri" w:hAnsi="Calibri"/>
          <w:sz w:val="20"/>
          <w:szCs w:val="20"/>
        </w:rPr>
        <w:t>INSEC casualty data have been provided to the NA and the reporting form has been integrated into the Information Management System for Mine Action.</w:t>
      </w:r>
      <w:r>
        <w:rPr>
          <w:rStyle w:val="FootnoteReference"/>
          <w:rFonts w:ascii="Calibri" w:hAnsi="Calibri"/>
          <w:sz w:val="20"/>
          <w:szCs w:val="20"/>
        </w:rPr>
        <w:footnoteReference w:id="8"/>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V.A.2.i</w:t>
      </w:r>
      <w:r>
        <w:rPr>
          <w:rFonts w:ascii="Calibri" w:hAnsi="Calibri"/>
          <w:sz w:val="20"/>
          <w:szCs w:val="20"/>
        </w:rPr>
        <w:tab/>
      </w:r>
      <w:r>
        <w:rPr>
          <w:rFonts w:ascii="Calibri" w:hAnsi="Calibri"/>
          <w:sz w:val="20"/>
          <w:szCs w:val="20"/>
        </w:rPr>
        <w:tab/>
      </w:r>
      <w:r w:rsidRPr="00D61C8A">
        <w:rPr>
          <w:rFonts w:ascii="Calibri" w:hAnsi="Calibri"/>
          <w:sz w:val="20"/>
          <w:szCs w:val="20"/>
        </w:rPr>
        <w:t>Resources used to operate the surveillance system</w:t>
      </w:r>
    </w:p>
    <w:p w:rsidR="00B454FB" w:rsidRPr="00D61C8A" w:rsidRDefault="00B454FB" w:rsidP="00B454FB">
      <w:pPr>
        <w:spacing w:line="276" w:lineRule="auto"/>
        <w:rPr>
          <w:rFonts w:ascii="Calibri" w:hAnsi="Calibri"/>
          <w:sz w:val="20"/>
          <w:szCs w:val="20"/>
          <w:highlight w:val="yellow"/>
        </w:rPr>
      </w:pPr>
    </w:p>
    <w:p w:rsidR="00B454FB" w:rsidRPr="00D61C8A" w:rsidRDefault="00B454FB" w:rsidP="00B454FB">
      <w:pPr>
        <w:rPr>
          <w:rFonts w:ascii="Calibri" w:hAnsi="Calibri"/>
          <w:sz w:val="20"/>
          <w:szCs w:val="20"/>
        </w:rPr>
      </w:pPr>
      <w:r w:rsidRPr="00D61C8A">
        <w:rPr>
          <w:rFonts w:ascii="Calibri" w:hAnsi="Calibri"/>
          <w:sz w:val="20"/>
          <w:szCs w:val="20"/>
        </w:rPr>
        <w:t>Resources required to operate the surveillance system fall into three categories:</w:t>
      </w:r>
    </w:p>
    <w:p w:rsidR="00B454FB" w:rsidRPr="00D61C8A" w:rsidRDefault="00B454FB" w:rsidP="00B454FB">
      <w:pPr>
        <w:rPr>
          <w:rFonts w:ascii="Calibri" w:hAnsi="Calibri"/>
          <w:b/>
          <w:sz w:val="20"/>
          <w:szCs w:val="20"/>
        </w:rPr>
      </w:pPr>
    </w:p>
    <w:p w:rsidR="00B454FB" w:rsidRPr="00FF3B88" w:rsidRDefault="00B454FB" w:rsidP="00B454FB">
      <w:pPr>
        <w:rPr>
          <w:rFonts w:ascii="Calibri" w:hAnsi="Calibri"/>
          <w:b/>
          <w:sz w:val="20"/>
          <w:szCs w:val="20"/>
        </w:rPr>
      </w:pPr>
      <w:r w:rsidRPr="00D61C8A">
        <w:rPr>
          <w:rFonts w:ascii="Calibri" w:hAnsi="Calibri"/>
          <w:b/>
          <w:sz w:val="20"/>
          <w:szCs w:val="20"/>
        </w:rPr>
        <w:t>Fi</w:t>
      </w:r>
      <w:r w:rsidRPr="00FF3B88">
        <w:rPr>
          <w:rFonts w:ascii="Calibri" w:hAnsi="Calibri"/>
          <w:b/>
          <w:sz w:val="20"/>
          <w:szCs w:val="20"/>
        </w:rPr>
        <w:t>nancial resources</w:t>
      </w:r>
    </w:p>
    <w:p w:rsidR="00B454FB" w:rsidRPr="009108AC" w:rsidRDefault="00B454FB" w:rsidP="00B454FB">
      <w:pPr>
        <w:pStyle w:val="ColorfulList-Accent11"/>
        <w:numPr>
          <w:ilvl w:val="0"/>
          <w:numId w:val="54"/>
        </w:numPr>
        <w:rPr>
          <w:rFonts w:ascii="Calibri" w:hAnsi="Calibri"/>
          <w:sz w:val="20"/>
          <w:szCs w:val="20"/>
        </w:rPr>
      </w:pPr>
      <w:r w:rsidRPr="00537EE0">
        <w:rPr>
          <w:rFonts w:ascii="Calibri" w:hAnsi="Calibri"/>
          <w:sz w:val="20"/>
          <w:szCs w:val="20"/>
        </w:rPr>
        <w:t>According to INSEC, 523,150 Nepalese rupees (NPR) were spent on VAE data collection and surveillance system orientation between September 2009 and June 2010.  During this period, 52 individuals were injured in VAE incidents in Nepal.  Thus, it is possible to estimate that INSEC spends an average of (NPR 523,150 ÷ 52) NPR 10,061 (134.95 U.S. dollars (USD) given the exchange rate of 74.55 NPR per USD at the time of writing) to capture each injury.</w:t>
      </w:r>
    </w:p>
    <w:p w:rsidR="00B454FB" w:rsidRPr="00D61C8A" w:rsidRDefault="00B454FB" w:rsidP="00B454FB">
      <w:pPr>
        <w:pStyle w:val="ColorfulList-Accent11"/>
        <w:numPr>
          <w:ilvl w:val="0"/>
          <w:numId w:val="54"/>
        </w:numPr>
        <w:rPr>
          <w:rFonts w:ascii="Calibri" w:hAnsi="Calibri"/>
          <w:b/>
          <w:sz w:val="20"/>
          <w:szCs w:val="20"/>
        </w:rPr>
      </w:pPr>
      <w:r w:rsidRPr="00D61C8A">
        <w:rPr>
          <w:rFonts w:ascii="Calibri" w:hAnsi="Calibri"/>
          <w:sz w:val="20"/>
          <w:szCs w:val="20"/>
        </w:rPr>
        <w:t>Funding has been provided by UNICEF and HI</w:t>
      </w:r>
      <w:r w:rsidRPr="00D61C8A">
        <w:rPr>
          <w:rStyle w:val="EndnoteReference"/>
          <w:rFonts w:ascii="Calibri" w:hAnsi="Calibri"/>
          <w:sz w:val="20"/>
          <w:szCs w:val="20"/>
        </w:rPr>
        <w:endnoteReference w:id="187"/>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Technical assistance</w:t>
      </w:r>
    </w:p>
    <w:p w:rsidR="00B454FB" w:rsidRPr="00D61C8A" w:rsidRDefault="00B454FB" w:rsidP="00B454FB">
      <w:pPr>
        <w:pStyle w:val="ColorfulList-Accent11"/>
        <w:numPr>
          <w:ilvl w:val="0"/>
          <w:numId w:val="55"/>
        </w:numPr>
        <w:rPr>
          <w:rFonts w:ascii="Calibri" w:hAnsi="Calibri"/>
          <w:b/>
          <w:sz w:val="20"/>
          <w:szCs w:val="20"/>
        </w:rPr>
      </w:pPr>
      <w:r w:rsidRPr="00D61C8A">
        <w:rPr>
          <w:rFonts w:ascii="Calibri" w:hAnsi="Calibri" w:cs="Arial"/>
          <w:color w:val="000000"/>
          <w:sz w:val="20"/>
          <w:szCs w:val="20"/>
        </w:rPr>
        <w:t>INSEC DRs are trained in interview techniques, dat</w:t>
      </w:r>
      <w:r>
        <w:rPr>
          <w:rFonts w:ascii="Calibri" w:hAnsi="Calibri" w:cs="Arial"/>
          <w:color w:val="000000"/>
          <w:sz w:val="20"/>
          <w:szCs w:val="20"/>
        </w:rPr>
        <w:t xml:space="preserve">a collection, </w:t>
      </w:r>
      <w:r w:rsidRPr="00D61C8A">
        <w:rPr>
          <w:rFonts w:ascii="Calibri" w:hAnsi="Calibri" w:cs="Arial"/>
          <w:color w:val="000000"/>
          <w:sz w:val="20"/>
          <w:szCs w:val="20"/>
        </w:rPr>
        <w:t>ED</w:t>
      </w:r>
      <w:r>
        <w:rPr>
          <w:rFonts w:ascii="Calibri" w:hAnsi="Calibri" w:cs="Arial"/>
          <w:color w:val="000000"/>
          <w:sz w:val="20"/>
          <w:szCs w:val="20"/>
        </w:rPr>
        <w:t xml:space="preserve"> identification</w:t>
      </w:r>
      <w:r w:rsidRPr="00D61C8A">
        <w:rPr>
          <w:rFonts w:ascii="Calibri" w:hAnsi="Calibri" w:cs="Arial"/>
          <w:color w:val="000000"/>
          <w:sz w:val="20"/>
          <w:szCs w:val="20"/>
        </w:rPr>
        <w:t>, safe beha</w:t>
      </w:r>
      <w:r>
        <w:rPr>
          <w:rFonts w:ascii="Calibri" w:hAnsi="Calibri" w:cs="Arial"/>
          <w:color w:val="000000"/>
          <w:sz w:val="20"/>
          <w:szCs w:val="20"/>
        </w:rPr>
        <w:t>viors and referral of injured individual</w:t>
      </w:r>
      <w:r w:rsidRPr="00D61C8A">
        <w:rPr>
          <w:rFonts w:ascii="Calibri" w:hAnsi="Calibri" w:cs="Arial"/>
          <w:color w:val="000000"/>
          <w:sz w:val="20"/>
          <w:szCs w:val="20"/>
        </w:rPr>
        <w:t>s</w:t>
      </w:r>
    </w:p>
    <w:p w:rsidR="00B454FB" w:rsidRPr="00D61C8A" w:rsidRDefault="00B454FB" w:rsidP="00B454FB">
      <w:pPr>
        <w:pStyle w:val="ColorfulList-Accent11"/>
        <w:numPr>
          <w:ilvl w:val="0"/>
          <w:numId w:val="55"/>
        </w:numPr>
        <w:rPr>
          <w:rFonts w:ascii="Calibri" w:hAnsi="Calibri"/>
          <w:b/>
          <w:sz w:val="20"/>
          <w:szCs w:val="20"/>
        </w:rPr>
      </w:pPr>
      <w:r>
        <w:rPr>
          <w:rFonts w:ascii="Calibri" w:hAnsi="Calibri"/>
          <w:sz w:val="20"/>
          <w:szCs w:val="20"/>
        </w:rPr>
        <w:t>Separate</w:t>
      </w:r>
      <w:r w:rsidRPr="00D61C8A">
        <w:rPr>
          <w:rFonts w:ascii="Calibri" w:hAnsi="Calibri"/>
          <w:sz w:val="20"/>
          <w:szCs w:val="20"/>
        </w:rPr>
        <w:t xml:space="preserve"> data collection refresh</w:t>
      </w:r>
      <w:r>
        <w:rPr>
          <w:rFonts w:ascii="Calibri" w:hAnsi="Calibri"/>
          <w:sz w:val="20"/>
          <w:szCs w:val="20"/>
        </w:rPr>
        <w:t>er trainings have not been conducted in the past</w:t>
      </w:r>
      <w:r w:rsidRPr="00D61C8A">
        <w:rPr>
          <w:rFonts w:ascii="Calibri" w:hAnsi="Calibri"/>
          <w:sz w:val="20"/>
          <w:szCs w:val="20"/>
        </w:rPr>
        <w:t xml:space="preserve">, but INSEC incorporates hour-long sessions on </w:t>
      </w:r>
      <w:r>
        <w:rPr>
          <w:rFonts w:ascii="Calibri" w:hAnsi="Calibri"/>
          <w:sz w:val="20"/>
          <w:szCs w:val="20"/>
        </w:rPr>
        <w:t>MA</w:t>
      </w:r>
      <w:r w:rsidRPr="00D61C8A">
        <w:rPr>
          <w:rFonts w:ascii="Calibri" w:hAnsi="Calibri"/>
          <w:sz w:val="20"/>
          <w:szCs w:val="20"/>
        </w:rPr>
        <w:t xml:space="preserve"> and data collection in its other trainings.</w:t>
      </w:r>
      <w:r w:rsidRPr="00D61C8A">
        <w:rPr>
          <w:rStyle w:val="EndnoteReference"/>
          <w:rFonts w:ascii="Calibri" w:hAnsi="Calibri"/>
          <w:sz w:val="20"/>
          <w:szCs w:val="20"/>
        </w:rPr>
        <w:endnoteReference w:id="188"/>
      </w:r>
    </w:p>
    <w:p w:rsidR="00B454FB" w:rsidRPr="00D61C8A" w:rsidRDefault="00B454FB" w:rsidP="00B454FB">
      <w:pPr>
        <w:pStyle w:val="ColorfulList-Accent11"/>
        <w:numPr>
          <w:ilvl w:val="0"/>
          <w:numId w:val="55"/>
        </w:numPr>
        <w:contextualSpacing w:val="0"/>
        <w:rPr>
          <w:rFonts w:ascii="Calibri" w:hAnsi="Calibri"/>
          <w:b/>
          <w:bCs/>
          <w:sz w:val="20"/>
          <w:szCs w:val="20"/>
        </w:rPr>
      </w:pPr>
      <w:r>
        <w:rPr>
          <w:rFonts w:ascii="Calibri" w:hAnsi="Calibri"/>
          <w:sz w:val="20"/>
          <w:szCs w:val="20"/>
        </w:rPr>
        <w:t>In addition to initial data collection training provided to INSEC personnel, HI has provided technical assistance on an as-needed basis</w:t>
      </w:r>
      <w:r w:rsidRPr="00D61C8A">
        <w:rPr>
          <w:rFonts w:ascii="Calibri" w:hAnsi="Calibri"/>
          <w:sz w:val="20"/>
          <w:szCs w:val="20"/>
        </w:rPr>
        <w:t xml:space="preserve"> </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Technology resources</w:t>
      </w:r>
    </w:p>
    <w:p w:rsidR="00B454FB" w:rsidRPr="00D61C8A" w:rsidRDefault="00B454FB" w:rsidP="00B454FB">
      <w:pPr>
        <w:pStyle w:val="ColorfulList-Accent11"/>
        <w:numPr>
          <w:ilvl w:val="0"/>
          <w:numId w:val="56"/>
        </w:numPr>
        <w:rPr>
          <w:rStyle w:val="CommentReference"/>
          <w:rFonts w:ascii="Calibri" w:hAnsi="Calibri"/>
        </w:rPr>
      </w:pPr>
      <w:r w:rsidRPr="00D61C8A">
        <w:rPr>
          <w:rStyle w:val="CommentReference"/>
          <w:rFonts w:ascii="Calibri" w:hAnsi="Calibri"/>
          <w:sz w:val="20"/>
          <w:szCs w:val="20"/>
        </w:rPr>
        <w:t xml:space="preserve">Central and regional INSEC offices </w:t>
      </w:r>
      <w:r>
        <w:rPr>
          <w:rStyle w:val="CommentReference"/>
          <w:rFonts w:ascii="Calibri" w:hAnsi="Calibri"/>
          <w:sz w:val="20"/>
          <w:szCs w:val="20"/>
        </w:rPr>
        <w:t>use</w:t>
      </w:r>
      <w:r w:rsidRPr="00D61C8A">
        <w:rPr>
          <w:rStyle w:val="CommentReference"/>
          <w:rFonts w:ascii="Calibri" w:hAnsi="Calibri"/>
          <w:sz w:val="20"/>
          <w:szCs w:val="20"/>
        </w:rPr>
        <w:t xml:space="preserve"> INSEC computers and </w:t>
      </w:r>
      <w:r>
        <w:rPr>
          <w:rStyle w:val="CommentReference"/>
          <w:rFonts w:ascii="Calibri" w:hAnsi="Calibri"/>
          <w:sz w:val="20"/>
          <w:szCs w:val="20"/>
        </w:rPr>
        <w:t>tele</w:t>
      </w:r>
      <w:r w:rsidRPr="00D61C8A">
        <w:rPr>
          <w:rStyle w:val="CommentReference"/>
          <w:rFonts w:ascii="Calibri" w:hAnsi="Calibri"/>
          <w:sz w:val="20"/>
          <w:szCs w:val="20"/>
        </w:rPr>
        <w:t>phones</w:t>
      </w:r>
    </w:p>
    <w:p w:rsidR="00B454FB" w:rsidRPr="00D61C8A" w:rsidRDefault="00B454FB" w:rsidP="00B454FB">
      <w:pPr>
        <w:pStyle w:val="ColorfulList-Accent11"/>
        <w:numPr>
          <w:ilvl w:val="0"/>
          <w:numId w:val="56"/>
        </w:numPr>
        <w:rPr>
          <w:rStyle w:val="CommentReference"/>
          <w:rFonts w:ascii="Calibri" w:hAnsi="Calibri"/>
        </w:rPr>
      </w:pPr>
      <w:r w:rsidRPr="00D61C8A">
        <w:rPr>
          <w:rStyle w:val="CommentReference"/>
          <w:rFonts w:ascii="Calibri" w:hAnsi="Calibri"/>
          <w:sz w:val="20"/>
          <w:szCs w:val="20"/>
        </w:rPr>
        <w:t xml:space="preserve">DRs use their own computers and </w:t>
      </w:r>
      <w:r>
        <w:rPr>
          <w:rStyle w:val="CommentReference"/>
          <w:rFonts w:ascii="Calibri" w:hAnsi="Calibri"/>
          <w:sz w:val="20"/>
          <w:szCs w:val="20"/>
        </w:rPr>
        <w:t>tele</w:t>
      </w:r>
      <w:r w:rsidRPr="00D61C8A">
        <w:rPr>
          <w:rStyle w:val="CommentReference"/>
          <w:rFonts w:ascii="Calibri" w:hAnsi="Calibri"/>
          <w:sz w:val="20"/>
          <w:szCs w:val="20"/>
        </w:rPr>
        <w:t>phones</w:t>
      </w:r>
      <w:r>
        <w:rPr>
          <w:rStyle w:val="CommentReference"/>
          <w:rFonts w:ascii="Calibri" w:hAnsi="Calibri"/>
          <w:sz w:val="20"/>
          <w:szCs w:val="20"/>
        </w:rPr>
        <w:t xml:space="preserve"> for reporting </w:t>
      </w:r>
    </w:p>
    <w:p w:rsidR="00B454FB" w:rsidRPr="00D61C8A" w:rsidRDefault="00B454FB" w:rsidP="00B454FB">
      <w:pPr>
        <w:rPr>
          <w:rFonts w:ascii="Calibri" w:hAnsi="Calibri"/>
          <w:sz w:val="20"/>
          <w:szCs w:val="20"/>
        </w:rPr>
      </w:pPr>
    </w:p>
    <w:p w:rsidR="00B454FB" w:rsidRPr="00D61C8A" w:rsidRDefault="00B454FB" w:rsidP="00B454FB">
      <w:pPr>
        <w:pStyle w:val="Heading2"/>
        <w:numPr>
          <w:ilvl w:val="0"/>
          <w:numId w:val="0"/>
        </w:numPr>
        <w:spacing w:before="0"/>
        <w:rPr>
          <w:rFonts w:ascii="Calibri" w:hAnsi="Calibri"/>
        </w:rPr>
      </w:pPr>
      <w:r>
        <w:rPr>
          <w:rFonts w:ascii="Calibri" w:hAnsi="Calibri"/>
        </w:rPr>
        <w:t>V.B</w:t>
      </w:r>
      <w:r>
        <w:rPr>
          <w:rFonts w:ascii="Calibri" w:hAnsi="Calibri"/>
        </w:rPr>
        <w:tab/>
      </w:r>
      <w:r>
        <w:rPr>
          <w:rFonts w:ascii="Calibri" w:hAnsi="Calibri"/>
        </w:rPr>
        <w:tab/>
      </w:r>
      <w:r w:rsidRPr="00D61C8A">
        <w:rPr>
          <w:rFonts w:ascii="Calibri" w:hAnsi="Calibri"/>
        </w:rPr>
        <w:t>Evaluation of the surveillance system</w:t>
      </w:r>
    </w:p>
    <w:p w:rsidR="00B454FB" w:rsidRPr="00D61C8A" w:rsidRDefault="00B454FB" w:rsidP="00B454FB">
      <w:pPr>
        <w:rPr>
          <w:rFonts w:ascii="Calibri" w:hAnsi="Calibri"/>
        </w:rPr>
      </w:pPr>
    </w:p>
    <w:p w:rsidR="00B454FB" w:rsidRDefault="00B454FB" w:rsidP="00B454FB">
      <w:pPr>
        <w:spacing w:line="276" w:lineRule="auto"/>
        <w:rPr>
          <w:rFonts w:ascii="Calibri" w:eastAsia="Cambria" w:hAnsi="Calibri"/>
          <w:sz w:val="20"/>
          <w:szCs w:val="20"/>
        </w:rPr>
      </w:pPr>
      <w:r>
        <w:rPr>
          <w:rFonts w:ascii="Calibri" w:eastAsia="Cambria" w:hAnsi="Calibri"/>
          <w:sz w:val="20"/>
          <w:szCs w:val="20"/>
        </w:rPr>
        <w:t>In</w:t>
      </w:r>
      <w:r w:rsidRPr="00D61C8A">
        <w:rPr>
          <w:rFonts w:ascii="Calibri" w:eastAsia="Cambria" w:hAnsi="Calibri"/>
          <w:sz w:val="20"/>
          <w:szCs w:val="20"/>
        </w:rPr>
        <w:t xml:space="preserve"> this </w:t>
      </w:r>
      <w:r>
        <w:rPr>
          <w:rFonts w:ascii="Calibri" w:eastAsia="Cambria" w:hAnsi="Calibri"/>
          <w:sz w:val="20"/>
          <w:szCs w:val="20"/>
        </w:rPr>
        <w:t>section</w:t>
      </w:r>
      <w:r w:rsidRPr="00D61C8A">
        <w:rPr>
          <w:rFonts w:ascii="Calibri" w:eastAsia="Cambria" w:hAnsi="Calibri"/>
          <w:sz w:val="20"/>
          <w:szCs w:val="20"/>
        </w:rPr>
        <w:t xml:space="preserve"> of the evaluation the surveillance system is assessed on the basis of usefulness (Section V.B.1) and nine system attributes: simplicity, flexibility, data quality, acceptability, sensitivity, predictive value positive, representativeness, timeliness, and stability (Sections V.B.2.a-i).  In boxes at the top of each section, attributes are defined according to the CDC</w:t>
      </w:r>
      <w:r>
        <w:rPr>
          <w:rFonts w:ascii="Calibri" w:eastAsia="Cambria" w:hAnsi="Calibri"/>
          <w:sz w:val="20"/>
          <w:szCs w:val="20"/>
        </w:rPr>
        <w:t>’s</w:t>
      </w:r>
      <w:r w:rsidRPr="00D61C8A">
        <w:rPr>
          <w:rFonts w:ascii="Calibri" w:eastAsia="Cambria" w:hAnsi="Calibri"/>
          <w:sz w:val="20"/>
          <w:szCs w:val="20"/>
        </w:rPr>
        <w:t xml:space="preserve"> </w:t>
      </w:r>
      <w:r w:rsidRPr="00D61C8A">
        <w:rPr>
          <w:rFonts w:ascii="Calibri" w:eastAsia="Cambria" w:hAnsi="Calibri"/>
          <w:i/>
          <w:sz w:val="20"/>
          <w:szCs w:val="20"/>
        </w:rPr>
        <w:t>Updated guidelines for evaluating public health surveillance systems</w:t>
      </w:r>
      <w:r w:rsidRPr="00D61C8A">
        <w:rPr>
          <w:rFonts w:ascii="Calibri" w:eastAsia="Cambria" w:hAnsi="Calibri"/>
          <w:sz w:val="20"/>
          <w:szCs w:val="20"/>
        </w:rPr>
        <w:t xml:space="preserve"> and an explanation of the measurement of each attribute is provided.  These boxes are followed by lists of </w:t>
      </w:r>
      <w:r>
        <w:rPr>
          <w:rFonts w:ascii="Calibri" w:eastAsia="Cambria" w:hAnsi="Calibri"/>
          <w:sz w:val="20"/>
          <w:szCs w:val="20"/>
        </w:rPr>
        <w:t>four types of observations made by the evaluation team:</w:t>
      </w:r>
    </w:p>
    <w:p w:rsidR="00B454FB" w:rsidRPr="00444994"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Successes</w:t>
      </w:r>
      <w:r>
        <w:rPr>
          <w:rFonts w:ascii="Calibri" w:eastAsia="Cambria" w:hAnsi="Calibri"/>
          <w:sz w:val="20"/>
          <w:szCs w:val="20"/>
        </w:rPr>
        <w:t xml:space="preserve"> achieved by the surveillance system;</w:t>
      </w:r>
    </w:p>
    <w:p w:rsidR="00B454FB" w:rsidRPr="00444994"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Challenges</w:t>
      </w:r>
      <w:r>
        <w:rPr>
          <w:rFonts w:ascii="Calibri" w:eastAsia="Cambria" w:hAnsi="Calibri"/>
          <w:sz w:val="20"/>
          <w:szCs w:val="20"/>
        </w:rPr>
        <w:t xml:space="preserve"> facing the surveillance system;</w:t>
      </w:r>
    </w:p>
    <w:p w:rsidR="00B454FB" w:rsidRPr="00444994" w:rsidRDefault="00B454FB" w:rsidP="00B454FB">
      <w:pPr>
        <w:numPr>
          <w:ilvl w:val="0"/>
          <w:numId w:val="94"/>
        </w:numPr>
        <w:spacing w:line="276" w:lineRule="auto"/>
        <w:rPr>
          <w:rFonts w:ascii="Calibri" w:eastAsia="Cambria" w:hAnsi="Calibri"/>
          <w:i/>
          <w:sz w:val="20"/>
          <w:szCs w:val="20"/>
        </w:rPr>
      </w:pPr>
      <w:r>
        <w:rPr>
          <w:rFonts w:ascii="Calibri" w:eastAsia="Cambria" w:hAnsi="Calibri"/>
          <w:sz w:val="20"/>
          <w:szCs w:val="20"/>
        </w:rPr>
        <w:t>Potential successes or challenges of the surveillance system (</w:t>
      </w:r>
      <w:r w:rsidRPr="005674AF">
        <w:rPr>
          <w:rFonts w:ascii="Calibri" w:eastAsia="Cambria" w:hAnsi="Calibri"/>
          <w:b/>
          <w:sz w:val="20"/>
          <w:szCs w:val="20"/>
        </w:rPr>
        <w:t>Unknowns</w:t>
      </w:r>
      <w:r>
        <w:rPr>
          <w:rFonts w:ascii="Calibri" w:eastAsia="Cambria" w:hAnsi="Calibri"/>
          <w:sz w:val="20"/>
          <w:szCs w:val="20"/>
        </w:rPr>
        <w:t>) that may need further attention in the future; and</w:t>
      </w:r>
    </w:p>
    <w:p w:rsidR="00B454FB" w:rsidRPr="00444994"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Recommendations</w:t>
      </w:r>
      <w:r>
        <w:rPr>
          <w:rFonts w:ascii="Calibri" w:eastAsia="Cambria" w:hAnsi="Calibri"/>
          <w:sz w:val="20"/>
          <w:szCs w:val="20"/>
        </w:rPr>
        <w:t xml:space="preserve"> for improvement of the surveillance system.</w:t>
      </w:r>
    </w:p>
    <w:p w:rsidR="00B454FB" w:rsidRPr="00D61C8A" w:rsidRDefault="00B454FB" w:rsidP="00B454FB">
      <w:pPr>
        <w:spacing w:line="276" w:lineRule="auto"/>
        <w:rPr>
          <w:rFonts w:ascii="Calibri" w:eastAsia="Cambria" w:hAnsi="Calibri"/>
          <w:i/>
          <w:sz w:val="20"/>
          <w:szCs w:val="20"/>
        </w:rPr>
      </w:pPr>
      <w:r w:rsidRPr="00D61C8A">
        <w:rPr>
          <w:rFonts w:ascii="Calibri" w:eastAsia="Cambria" w:hAnsi="Calibri"/>
          <w:sz w:val="20"/>
          <w:szCs w:val="20"/>
        </w:rPr>
        <w:t>Recommendations are summarized in Section V.C.</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V.B.1</w:t>
      </w:r>
      <w:r>
        <w:rPr>
          <w:rFonts w:ascii="Calibri" w:hAnsi="Calibri"/>
          <w:sz w:val="20"/>
          <w:szCs w:val="20"/>
        </w:rPr>
        <w:tab/>
      </w:r>
      <w:r>
        <w:rPr>
          <w:rFonts w:ascii="Calibri" w:hAnsi="Calibri"/>
          <w:sz w:val="20"/>
          <w:szCs w:val="20"/>
        </w:rPr>
        <w:tab/>
      </w:r>
      <w:r w:rsidRPr="00D61C8A">
        <w:rPr>
          <w:rFonts w:ascii="Calibri" w:hAnsi="Calibri"/>
          <w:sz w:val="20"/>
          <w:szCs w:val="20"/>
        </w:rPr>
        <w:t>Usefulness</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“A public health surveillance system is useful if it contributes to the prevention and control of adverse health-related events, including an improved understanding of the public health implications of such events…In addition, data from a surveillance system can be useful in contributing to performance measures, including health indicators that are used in needs assessments and accountability systems.”</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An assessment of usefulness should include a review of the objectives of the system and the system’s effect on policy decisions and programs to control negative health outcomes.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Default="00B454FB" w:rsidP="00B454FB">
      <w:pPr>
        <w:pStyle w:val="ColorfulList-Accent11"/>
        <w:numPr>
          <w:ilvl w:val="0"/>
          <w:numId w:val="80"/>
        </w:numPr>
        <w:spacing w:line="276" w:lineRule="auto"/>
        <w:rPr>
          <w:rFonts w:ascii="Calibri" w:eastAsia="Cambria" w:hAnsi="Calibri"/>
          <w:b/>
          <w:sz w:val="20"/>
          <w:szCs w:val="20"/>
        </w:rPr>
      </w:pPr>
      <w:r w:rsidRPr="00D61C8A">
        <w:rPr>
          <w:rFonts w:ascii="Calibri" w:eastAsia="Cambria" w:hAnsi="Calibri"/>
          <w:sz w:val="20"/>
          <w:szCs w:val="20"/>
        </w:rPr>
        <w:t>The system is fulfilling all three objectives stated in its reports:</w:t>
      </w:r>
      <w:r w:rsidRPr="00D61C8A">
        <w:rPr>
          <w:rStyle w:val="EndnoteReference"/>
          <w:rFonts w:ascii="Calibri" w:hAnsi="Calibri"/>
          <w:sz w:val="20"/>
          <w:szCs w:val="20"/>
        </w:rPr>
        <w:endnoteReference w:id="189"/>
      </w:r>
    </w:p>
    <w:p w:rsidR="00B454FB" w:rsidRDefault="00B454FB" w:rsidP="00B454FB">
      <w:pPr>
        <w:pStyle w:val="ColorfulList-Accent11"/>
        <w:numPr>
          <w:ilvl w:val="1"/>
          <w:numId w:val="80"/>
        </w:numPr>
        <w:spacing w:line="276" w:lineRule="auto"/>
        <w:rPr>
          <w:rFonts w:ascii="Calibri" w:eastAsia="Cambria" w:hAnsi="Calibri"/>
          <w:b/>
          <w:sz w:val="20"/>
          <w:szCs w:val="20"/>
        </w:rPr>
      </w:pPr>
      <w:r w:rsidRPr="005F0918">
        <w:rPr>
          <w:rFonts w:ascii="Calibri" w:eastAsia="Cambria" w:hAnsi="Calibri"/>
          <w:b/>
          <w:sz w:val="20"/>
          <w:szCs w:val="20"/>
        </w:rPr>
        <w:t>Stated Objective 1: Collect information about civilian casualties of unintentional explosions in all districts of Nepal.</w:t>
      </w:r>
      <w:r w:rsidRPr="005F0918">
        <w:rPr>
          <w:rFonts w:ascii="Calibri" w:eastAsia="Cambria" w:hAnsi="Calibri"/>
          <w:sz w:val="20"/>
          <w:szCs w:val="20"/>
        </w:rPr>
        <w:t xml:space="preserve">  Fulfillment of this objective is aided by a clearly defined case definition; use of active (rather than passive) surveillance; </w:t>
      </w:r>
      <w:r w:rsidRPr="005F0918">
        <w:rPr>
          <w:rFonts w:ascii="Calibri" w:eastAsia="Cambria" w:hAnsi="Calibri"/>
          <w:sz w:val="20"/>
          <w:szCs w:val="20"/>
        </w:rPr>
        <w:lastRenderedPageBreak/>
        <w:t>high coverage by INSEC DRs and their partner networks; and constant communication between the district, regional and central levels of the INSEC system.</w:t>
      </w:r>
    </w:p>
    <w:p w:rsidR="00B454FB" w:rsidRDefault="00B454FB" w:rsidP="00B454FB">
      <w:pPr>
        <w:pStyle w:val="ColorfulList-Accent11"/>
        <w:numPr>
          <w:ilvl w:val="1"/>
          <w:numId w:val="80"/>
        </w:numPr>
        <w:spacing w:line="276" w:lineRule="auto"/>
        <w:rPr>
          <w:rFonts w:ascii="Calibri" w:eastAsia="Cambria" w:hAnsi="Calibri"/>
          <w:b/>
          <w:sz w:val="20"/>
          <w:szCs w:val="20"/>
        </w:rPr>
      </w:pPr>
      <w:r w:rsidRPr="005F0918">
        <w:rPr>
          <w:rFonts w:ascii="Calibri" w:eastAsia="Cambria" w:hAnsi="Calibri"/>
          <w:b/>
          <w:sz w:val="20"/>
          <w:szCs w:val="20"/>
        </w:rPr>
        <w:t>Stated Objective 2: Create links between casualties and VA agencies.</w:t>
      </w:r>
      <w:r w:rsidRPr="005F0918">
        <w:rPr>
          <w:rFonts w:ascii="Calibri" w:eastAsia="Cambria" w:hAnsi="Calibri"/>
          <w:sz w:val="20"/>
          <w:szCs w:val="20"/>
        </w:rPr>
        <w:t xml:space="preserve">  Fulfillment of this objective is achieved  through a standard referral process and follow-up.  Injured individuals are referred to VA services by INSEC DRs, usually by managing treatment through HI, HimRights, ICRC, NCBL and other organizations. </w:t>
      </w:r>
      <w:r w:rsidRPr="005F0918">
        <w:rPr>
          <w:rFonts w:ascii="Calibri" w:hAnsi="Calibri"/>
          <w:sz w:val="20"/>
          <w:szCs w:val="20"/>
        </w:rPr>
        <w:t xml:space="preserve"> </w:t>
      </w:r>
      <w:r w:rsidRPr="005F0918">
        <w:rPr>
          <w:rFonts w:ascii="Calibri" w:eastAsia="Cambria" w:hAnsi="Calibri"/>
          <w:sz w:val="20"/>
          <w:szCs w:val="20"/>
        </w:rPr>
        <w:t xml:space="preserve">DRs who cannot provide referrals to adequate services at the district level consult with INSEC regional personnel, who consult with INSEC central personnel if they, too, are unable to provide adequate referrals.  INSEC personnel monitor the situation of </w:t>
      </w:r>
      <w:r w:rsidRPr="005F0918">
        <w:rPr>
          <w:rFonts w:ascii="Calibri" w:hAnsi="Calibri"/>
          <w:sz w:val="20"/>
          <w:szCs w:val="20"/>
        </w:rPr>
        <w:t>injured individual</w:t>
      </w:r>
      <w:r w:rsidRPr="005F0918">
        <w:rPr>
          <w:rFonts w:ascii="Calibri" w:eastAsia="Cambria" w:hAnsi="Calibri"/>
          <w:sz w:val="20"/>
          <w:szCs w:val="20"/>
        </w:rPr>
        <w:t xml:space="preserve">s at hospitals and health posts and </w:t>
      </w:r>
      <w:r w:rsidR="00327ABA">
        <w:rPr>
          <w:rFonts w:ascii="Calibri" w:eastAsia="Cambria" w:hAnsi="Calibri"/>
          <w:sz w:val="20"/>
          <w:szCs w:val="20"/>
        </w:rPr>
        <w:t>advocate with</w:t>
      </w:r>
      <w:r w:rsidRPr="005F0918">
        <w:rPr>
          <w:rFonts w:ascii="Calibri" w:eastAsia="Cambria" w:hAnsi="Calibri"/>
          <w:sz w:val="20"/>
          <w:szCs w:val="20"/>
        </w:rPr>
        <w:t xml:space="preserve"> the government to provide treatment as needed.  HI, one of the principal VA providers in Nepal, participated in the development of the surveillance system and continues to be highly involved at this time.</w:t>
      </w:r>
    </w:p>
    <w:p w:rsidR="00B454FB" w:rsidRDefault="00B454FB" w:rsidP="00B454FB">
      <w:pPr>
        <w:pStyle w:val="ColorfulList-Accent11"/>
        <w:numPr>
          <w:ilvl w:val="1"/>
          <w:numId w:val="80"/>
        </w:numPr>
        <w:spacing w:line="276" w:lineRule="auto"/>
        <w:rPr>
          <w:rFonts w:ascii="Calibri" w:eastAsia="Cambria" w:hAnsi="Calibri"/>
          <w:b/>
          <w:sz w:val="20"/>
          <w:szCs w:val="20"/>
        </w:rPr>
      </w:pPr>
      <w:r w:rsidRPr="005F0918">
        <w:rPr>
          <w:rFonts w:ascii="Calibri" w:eastAsia="Cambria" w:hAnsi="Calibri"/>
          <w:b/>
          <w:sz w:val="20"/>
          <w:szCs w:val="20"/>
        </w:rPr>
        <w:t xml:space="preserve">Stated Objective 3: Disseminate reliable information on incidents to MA stakeholders to improve VA and MRE.  </w:t>
      </w:r>
      <w:r w:rsidRPr="005F0918">
        <w:rPr>
          <w:rFonts w:ascii="Calibri" w:eastAsia="Cambria" w:hAnsi="Calibri"/>
          <w:sz w:val="20"/>
          <w:szCs w:val="20"/>
        </w:rPr>
        <w:t xml:space="preserve">Reliable information is disseminated via reports, which are easily accessible on the Internet and distributed through the MAJWG.  This allows data to be used to address a wide range of MA issues.  </w:t>
      </w:r>
    </w:p>
    <w:p w:rsidR="00B454FB" w:rsidRDefault="00B454FB" w:rsidP="00B454FB">
      <w:pPr>
        <w:pStyle w:val="ColorfulList-Accent11"/>
        <w:numPr>
          <w:ilvl w:val="2"/>
          <w:numId w:val="80"/>
        </w:numPr>
        <w:spacing w:line="276" w:lineRule="auto"/>
        <w:rPr>
          <w:rFonts w:ascii="Calibri" w:eastAsia="Cambria" w:hAnsi="Calibri"/>
          <w:b/>
          <w:sz w:val="20"/>
          <w:szCs w:val="20"/>
        </w:rPr>
      </w:pPr>
      <w:r w:rsidRPr="005F0918">
        <w:rPr>
          <w:rFonts w:ascii="Calibri" w:eastAsia="Cambria" w:hAnsi="Calibri"/>
          <w:sz w:val="20"/>
          <w:szCs w:val="20"/>
        </w:rPr>
        <w:t xml:space="preserve">HI receives referrals directly from INSEC, allowing injured individuals to access services more quickly.  </w:t>
      </w:r>
    </w:p>
    <w:p w:rsidR="00B454FB" w:rsidRDefault="00B454FB" w:rsidP="00B454FB">
      <w:pPr>
        <w:pStyle w:val="ColorfulList-Accent11"/>
        <w:numPr>
          <w:ilvl w:val="2"/>
          <w:numId w:val="80"/>
        </w:numPr>
        <w:spacing w:line="276" w:lineRule="auto"/>
        <w:rPr>
          <w:rFonts w:ascii="Calibri" w:eastAsia="Cambria" w:hAnsi="Calibri"/>
          <w:b/>
          <w:sz w:val="20"/>
          <w:szCs w:val="20"/>
        </w:rPr>
      </w:pPr>
      <w:r w:rsidRPr="005F0918">
        <w:rPr>
          <w:rFonts w:ascii="Calibri" w:eastAsia="Cambria" w:hAnsi="Calibri"/>
          <w:sz w:val="20"/>
          <w:szCs w:val="20"/>
        </w:rPr>
        <w:t xml:space="preserve">UNICEF uses constantly updated INSEC data to target communities where injuries have occurred with emergency MRE and to improve MRE messages based on demographic and behavioral risk and protective factors.  Data about injured individuals’ MRE experience and knowledge of incident locations can be used to assess where additional MRE is needed and whether current MRE messaging is successful.  </w:t>
      </w:r>
    </w:p>
    <w:p w:rsidR="00B454FB" w:rsidRPr="005F0918" w:rsidRDefault="00B454FB" w:rsidP="00B454FB">
      <w:pPr>
        <w:pStyle w:val="ColorfulList-Accent11"/>
        <w:numPr>
          <w:ilvl w:val="0"/>
          <w:numId w:val="80"/>
        </w:numPr>
        <w:spacing w:line="276" w:lineRule="auto"/>
        <w:rPr>
          <w:rFonts w:ascii="Calibri" w:eastAsia="Cambria" w:hAnsi="Calibri"/>
          <w:b/>
          <w:sz w:val="20"/>
          <w:szCs w:val="20"/>
        </w:rPr>
      </w:pPr>
      <w:r w:rsidRPr="005F0918">
        <w:rPr>
          <w:rFonts w:ascii="Calibri" w:eastAsia="Cambria" w:hAnsi="Calibri"/>
          <w:sz w:val="20"/>
          <w:szCs w:val="20"/>
        </w:rPr>
        <w:t>Data from the surveillance system are used to guide and improve many additional MA activities (see Section V.A.1.c).</w:t>
      </w:r>
    </w:p>
    <w:p w:rsidR="00B454FB" w:rsidRPr="00E03848" w:rsidRDefault="00B454FB" w:rsidP="00B454FB">
      <w:pPr>
        <w:pStyle w:val="ColorfulList-Accent11"/>
        <w:spacing w:line="276" w:lineRule="auto"/>
        <w:ind w:left="0"/>
        <w:rPr>
          <w:rFonts w:ascii="Calibri" w:eastAsia="Cambria" w:hAnsi="Calibri"/>
          <w:sz w:val="20"/>
          <w:szCs w:val="20"/>
        </w:rPr>
      </w:pPr>
    </w:p>
    <w:p w:rsidR="00B454FB"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D61C8A" w:rsidRDefault="00B454FB" w:rsidP="00B454FB">
      <w:pPr>
        <w:numPr>
          <w:ilvl w:val="0"/>
          <w:numId w:val="81"/>
        </w:numPr>
        <w:spacing w:line="276" w:lineRule="auto"/>
        <w:rPr>
          <w:rFonts w:ascii="Calibri" w:eastAsia="Cambria" w:hAnsi="Calibri"/>
          <w:b/>
          <w:sz w:val="20"/>
          <w:szCs w:val="20"/>
        </w:rPr>
      </w:pPr>
      <w:r w:rsidRPr="00D61C8A">
        <w:rPr>
          <w:rFonts w:ascii="Calibri" w:eastAsia="Cambria" w:hAnsi="Calibri"/>
          <w:sz w:val="20"/>
          <w:szCs w:val="20"/>
        </w:rPr>
        <w:t xml:space="preserve">Reports are usually available in </w:t>
      </w:r>
      <w:r>
        <w:rPr>
          <w:rFonts w:ascii="Calibri" w:eastAsia="Cambria" w:hAnsi="Calibri"/>
          <w:sz w:val="20"/>
          <w:szCs w:val="20"/>
        </w:rPr>
        <w:t>English only</w:t>
      </w:r>
      <w:r w:rsidRPr="00D61C8A">
        <w:rPr>
          <w:rFonts w:ascii="Calibri" w:eastAsia="Cambria" w:hAnsi="Calibri"/>
          <w:sz w:val="20"/>
          <w:szCs w:val="20"/>
        </w:rPr>
        <w:t>, although INSEC plans to publish the 2009 annual report in Nepali</w:t>
      </w:r>
      <w:r>
        <w:rPr>
          <w:rFonts w:ascii="Calibri" w:eastAsia="Cambria" w:hAnsi="Calibri"/>
          <w:sz w:val="20"/>
          <w:szCs w:val="20"/>
        </w:rPr>
        <w:t>.</w:t>
      </w:r>
    </w:p>
    <w:p w:rsidR="00B454FB" w:rsidRPr="00695A2C" w:rsidRDefault="00B454FB" w:rsidP="00B454FB">
      <w:pPr>
        <w:numPr>
          <w:ilvl w:val="0"/>
          <w:numId w:val="81"/>
        </w:numPr>
        <w:spacing w:line="276" w:lineRule="auto"/>
        <w:rPr>
          <w:rFonts w:ascii="Calibri" w:eastAsia="Cambria" w:hAnsi="Calibri"/>
          <w:b/>
          <w:sz w:val="20"/>
          <w:szCs w:val="20"/>
        </w:rPr>
      </w:pPr>
      <w:r w:rsidRPr="00D61C8A">
        <w:rPr>
          <w:rFonts w:ascii="Calibri" w:hAnsi="Calibri"/>
          <w:sz w:val="20"/>
          <w:szCs w:val="20"/>
        </w:rPr>
        <w:t xml:space="preserve">Inconsistency in </w:t>
      </w:r>
      <w:r>
        <w:rPr>
          <w:rFonts w:ascii="Calibri" w:hAnsi="Calibri"/>
          <w:sz w:val="20"/>
          <w:szCs w:val="20"/>
        </w:rPr>
        <w:t>report</w:t>
      </w:r>
      <w:r w:rsidRPr="00D61C8A">
        <w:rPr>
          <w:rFonts w:ascii="Calibri" w:hAnsi="Calibri"/>
          <w:sz w:val="20"/>
          <w:szCs w:val="20"/>
        </w:rPr>
        <w:t xml:space="preserve"> naming o</w:t>
      </w:r>
      <w:r>
        <w:rPr>
          <w:rFonts w:ascii="Calibri" w:hAnsi="Calibri"/>
          <w:sz w:val="20"/>
          <w:szCs w:val="20"/>
        </w:rPr>
        <w:t>n the INSEConline</w:t>
      </w:r>
      <w:r w:rsidRPr="00D61C8A">
        <w:rPr>
          <w:rFonts w:ascii="Calibri" w:hAnsi="Calibri"/>
          <w:sz w:val="20"/>
          <w:szCs w:val="20"/>
        </w:rPr>
        <w:t xml:space="preserve"> website makes it difficult for the viewer to understand which reports are available</w:t>
      </w:r>
      <w:r>
        <w:rPr>
          <w:rFonts w:ascii="Calibri" w:hAnsi="Calibri"/>
          <w:sz w:val="20"/>
          <w:szCs w:val="20"/>
        </w:rPr>
        <w:t>.</w:t>
      </w:r>
    </w:p>
    <w:p w:rsidR="00B454FB" w:rsidRPr="00D61C8A" w:rsidRDefault="00B454FB" w:rsidP="00B454FB">
      <w:pPr>
        <w:numPr>
          <w:ilvl w:val="0"/>
          <w:numId w:val="81"/>
        </w:numPr>
        <w:spacing w:line="276" w:lineRule="auto"/>
        <w:rPr>
          <w:rFonts w:ascii="Calibri" w:eastAsia="Cambria" w:hAnsi="Calibri"/>
          <w:b/>
          <w:sz w:val="20"/>
          <w:szCs w:val="20"/>
        </w:rPr>
      </w:pPr>
      <w:r w:rsidRPr="00D61C8A">
        <w:rPr>
          <w:rFonts w:ascii="Calibri" w:eastAsia="Cambria" w:hAnsi="Calibri"/>
          <w:sz w:val="20"/>
          <w:szCs w:val="20"/>
        </w:rPr>
        <w:t>In comparison with other health problems among the people of Nepal, VAE injuries are extremely rare.  According to the World Health Organization, perinatal conditions, lower respiratory infections and seven diseases account for the top nine causes of mortality in Nepal.  Injuries from all causes did account for eight and 10 % of deaths in Nepal during 2002 and 2004, respectively, but the leading causes among these deaths were road traffic incidents, occupational injuries and burns.</w:t>
      </w:r>
      <w:r w:rsidRPr="00D61C8A">
        <w:rPr>
          <w:rFonts w:ascii="Calibri" w:eastAsia="Cambria" w:hAnsi="Calibri"/>
          <w:sz w:val="20"/>
          <w:vertAlign w:val="superscript"/>
        </w:rPr>
        <w:endnoteReference w:id="190"/>
      </w:r>
      <w:r w:rsidRPr="00D61C8A">
        <w:rPr>
          <w:rFonts w:ascii="Calibri" w:eastAsia="Cambria" w:hAnsi="Calibri"/>
          <w:sz w:val="20"/>
          <w:szCs w:val="20"/>
        </w:rPr>
        <w:t xml:space="preserve">  The relative rarity of VAE injury does not detract from the severity of individual cases; </w:t>
      </w:r>
      <w:r>
        <w:rPr>
          <w:rFonts w:ascii="Calibri" w:eastAsia="Cambria" w:hAnsi="Calibri"/>
          <w:sz w:val="20"/>
          <w:szCs w:val="20"/>
        </w:rPr>
        <w:t xml:space="preserve">such injuries result in high disability-adjusted life year rates and </w:t>
      </w:r>
      <w:r w:rsidRPr="00D61C8A">
        <w:rPr>
          <w:rFonts w:ascii="Calibri" w:eastAsia="Cambria" w:hAnsi="Calibri"/>
          <w:sz w:val="20"/>
          <w:szCs w:val="20"/>
        </w:rPr>
        <w:t xml:space="preserve">significant physical, mental, social and economic costs for injured individuals, their families and their communities.  </w:t>
      </w:r>
      <w:r>
        <w:rPr>
          <w:rFonts w:ascii="Calibri" w:eastAsia="Cambria" w:hAnsi="Calibri"/>
          <w:sz w:val="20"/>
          <w:szCs w:val="20"/>
        </w:rPr>
        <w:t>It is troubling that so many ED injuries in Nepal occur among children, as injuries among the young result in higher potential years of life lost.  However</w:t>
      </w:r>
      <w:r w:rsidRPr="00D61C8A">
        <w:rPr>
          <w:rFonts w:ascii="Calibri" w:eastAsia="Cambria" w:hAnsi="Calibri"/>
          <w:sz w:val="20"/>
          <w:szCs w:val="20"/>
        </w:rPr>
        <w:t xml:space="preserve">, the rarity of such injuries must be considered when examining the financial and organizational costs of </w:t>
      </w:r>
      <w:r>
        <w:rPr>
          <w:rFonts w:ascii="Calibri" w:eastAsia="Cambria" w:hAnsi="Calibri"/>
          <w:sz w:val="20"/>
          <w:szCs w:val="20"/>
        </w:rPr>
        <w:t>conducting VAE-specific surveillance</w:t>
      </w:r>
      <w:r w:rsidRPr="00D61C8A">
        <w:rPr>
          <w:rFonts w:ascii="Calibri" w:eastAsia="Cambria" w:hAnsi="Calibri"/>
          <w:sz w:val="20"/>
          <w:szCs w:val="20"/>
        </w:rPr>
        <w:t>.</w:t>
      </w:r>
    </w:p>
    <w:p w:rsidR="00B454FB" w:rsidRPr="00D61C8A" w:rsidRDefault="00B454FB" w:rsidP="00B454FB">
      <w:pPr>
        <w:pStyle w:val="ColorfulList-Accent11"/>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D61C8A" w:rsidRDefault="00B454FB" w:rsidP="00B454FB">
      <w:pPr>
        <w:numPr>
          <w:ilvl w:val="0"/>
          <w:numId w:val="81"/>
        </w:numPr>
        <w:spacing w:line="276" w:lineRule="auto"/>
        <w:rPr>
          <w:rFonts w:ascii="Calibri" w:eastAsia="Cambria" w:hAnsi="Calibri"/>
          <w:b/>
          <w:sz w:val="20"/>
          <w:szCs w:val="20"/>
        </w:rPr>
      </w:pPr>
      <w:r w:rsidRPr="00D61C8A">
        <w:rPr>
          <w:rFonts w:ascii="Calibri" w:hAnsi="Calibri"/>
          <w:sz w:val="20"/>
          <w:szCs w:val="20"/>
        </w:rPr>
        <w:t>Timeliness of reporting suffered in 2009</w:t>
      </w:r>
      <w:r>
        <w:rPr>
          <w:rFonts w:ascii="Calibri" w:hAnsi="Calibri"/>
          <w:sz w:val="20"/>
          <w:szCs w:val="20"/>
        </w:rPr>
        <w:t xml:space="preserve"> due to</w:t>
      </w:r>
      <w:r w:rsidRPr="00D61C8A">
        <w:rPr>
          <w:rFonts w:ascii="Calibri" w:hAnsi="Calibri"/>
          <w:sz w:val="20"/>
          <w:szCs w:val="20"/>
        </w:rPr>
        <w:t xml:space="preserve"> a personnel change </w:t>
      </w:r>
      <w:r>
        <w:rPr>
          <w:rFonts w:ascii="Calibri" w:hAnsi="Calibri"/>
          <w:sz w:val="20"/>
          <w:szCs w:val="20"/>
        </w:rPr>
        <w:t>in</w:t>
      </w:r>
      <w:r w:rsidRPr="00D61C8A">
        <w:rPr>
          <w:rFonts w:ascii="Calibri" w:hAnsi="Calibri"/>
          <w:sz w:val="20"/>
          <w:szCs w:val="20"/>
        </w:rPr>
        <w:t xml:space="preserve"> INSEC’s central office; INSEC</w:t>
      </w:r>
      <w:r>
        <w:rPr>
          <w:rFonts w:ascii="Calibri" w:hAnsi="Calibri"/>
          <w:sz w:val="20"/>
          <w:szCs w:val="20"/>
        </w:rPr>
        <w:t>’s commitment to publish</w:t>
      </w:r>
      <w:r w:rsidRPr="00D61C8A">
        <w:rPr>
          <w:rFonts w:ascii="Calibri" w:hAnsi="Calibri"/>
          <w:sz w:val="20"/>
          <w:szCs w:val="20"/>
        </w:rPr>
        <w:t xml:space="preserve"> quarterly and annual reports in th</w:t>
      </w:r>
      <w:r>
        <w:rPr>
          <w:rFonts w:ascii="Calibri" w:hAnsi="Calibri"/>
          <w:sz w:val="20"/>
          <w:szCs w:val="20"/>
        </w:rPr>
        <w:t>e future may address this issue.</w:t>
      </w:r>
    </w:p>
    <w:p w:rsidR="00B454FB" w:rsidRPr="00D61C8A" w:rsidRDefault="00B454FB" w:rsidP="00B454FB">
      <w:pPr>
        <w:numPr>
          <w:ilvl w:val="0"/>
          <w:numId w:val="81"/>
        </w:numPr>
        <w:spacing w:line="276" w:lineRule="auto"/>
        <w:rPr>
          <w:rFonts w:ascii="Calibri" w:eastAsia="Cambria" w:hAnsi="Calibri"/>
          <w:b/>
          <w:sz w:val="20"/>
          <w:szCs w:val="20"/>
        </w:rPr>
      </w:pPr>
      <w:r>
        <w:rPr>
          <w:rFonts w:ascii="Calibri" w:hAnsi="Calibri"/>
          <w:sz w:val="20"/>
          <w:szCs w:val="20"/>
        </w:rPr>
        <w:t xml:space="preserve">Unavailability of reports in print, though </w:t>
      </w:r>
      <w:r w:rsidR="00C84344">
        <w:rPr>
          <w:rFonts w:ascii="Calibri" w:hAnsi="Calibri"/>
          <w:sz w:val="20"/>
          <w:szCs w:val="20"/>
        </w:rPr>
        <w:t xml:space="preserve">electronic versions are </w:t>
      </w:r>
      <w:r>
        <w:rPr>
          <w:rFonts w:ascii="Calibri" w:hAnsi="Calibri"/>
          <w:sz w:val="20"/>
          <w:szCs w:val="20"/>
        </w:rPr>
        <w:t xml:space="preserve">cheaper and more environmentally friendly, </w:t>
      </w:r>
      <w:r w:rsidRPr="00D61C8A">
        <w:rPr>
          <w:rFonts w:ascii="Calibri" w:hAnsi="Calibri"/>
          <w:sz w:val="20"/>
          <w:szCs w:val="20"/>
        </w:rPr>
        <w:t>may limit readership</w:t>
      </w:r>
      <w:r>
        <w:rPr>
          <w:rFonts w:ascii="Calibri" w:hAnsi="Calibri"/>
          <w:sz w:val="20"/>
          <w:szCs w:val="20"/>
        </w:rPr>
        <w:t>.</w:t>
      </w:r>
    </w:p>
    <w:p w:rsidR="00B454FB" w:rsidRDefault="00B454FB" w:rsidP="00B454FB">
      <w:pPr>
        <w:numPr>
          <w:ilvl w:val="0"/>
          <w:numId w:val="81"/>
        </w:numPr>
        <w:spacing w:line="276" w:lineRule="auto"/>
        <w:rPr>
          <w:rFonts w:ascii="Calibri" w:eastAsia="Cambria" w:hAnsi="Calibri"/>
          <w:sz w:val="20"/>
          <w:szCs w:val="20"/>
        </w:rPr>
      </w:pPr>
      <w:r w:rsidRPr="00D61C8A">
        <w:rPr>
          <w:rFonts w:ascii="Calibri" w:eastAsia="Cambria" w:hAnsi="Calibri"/>
          <w:sz w:val="20"/>
          <w:szCs w:val="20"/>
        </w:rPr>
        <w:t xml:space="preserve">UNMAT has expressed a need for the development of a standardized response mechanism through which the </w:t>
      </w:r>
      <w:r>
        <w:rPr>
          <w:rFonts w:ascii="Calibri" w:eastAsia="Cambria" w:hAnsi="Calibri"/>
          <w:sz w:val="20"/>
          <w:szCs w:val="20"/>
        </w:rPr>
        <w:t xml:space="preserve">government </w:t>
      </w:r>
      <w:r w:rsidRPr="00D61C8A">
        <w:rPr>
          <w:rFonts w:ascii="Calibri" w:eastAsia="Cambria" w:hAnsi="Calibri"/>
          <w:sz w:val="20"/>
          <w:szCs w:val="20"/>
        </w:rPr>
        <w:t>security forces would clear newly found ED quickly in locations previously unknown to be dangerous; such a mechanism would benefit from consistent VAE injury surveillance system updates.</w:t>
      </w:r>
    </w:p>
    <w:p w:rsidR="00B454FB" w:rsidRDefault="00B454FB" w:rsidP="00B454FB">
      <w:pPr>
        <w:numPr>
          <w:ilvl w:val="0"/>
          <w:numId w:val="81"/>
        </w:numPr>
        <w:spacing w:line="276" w:lineRule="auto"/>
        <w:rPr>
          <w:rFonts w:ascii="Calibri" w:eastAsia="Cambria" w:hAnsi="Calibri"/>
          <w:sz w:val="20"/>
          <w:szCs w:val="20"/>
        </w:rPr>
      </w:pPr>
      <w:r w:rsidRPr="00CB4454">
        <w:rPr>
          <w:rFonts w:ascii="Calibri" w:hAnsi="Calibri"/>
          <w:sz w:val="20"/>
          <w:szCs w:val="20"/>
        </w:rPr>
        <w:t>The current version of INSEC’s stated objectives for the surveillance system include</w:t>
      </w:r>
      <w:r>
        <w:rPr>
          <w:rFonts w:ascii="Calibri" w:hAnsi="Calibri"/>
          <w:sz w:val="20"/>
          <w:szCs w:val="20"/>
        </w:rPr>
        <w:t>s</w:t>
      </w:r>
      <w:r w:rsidRPr="00CB4454">
        <w:rPr>
          <w:rFonts w:ascii="Calibri" w:hAnsi="Calibri"/>
          <w:sz w:val="20"/>
          <w:szCs w:val="20"/>
        </w:rPr>
        <w:t xml:space="preserve"> provision of data to improve collection of injury information; links between </w:t>
      </w:r>
      <w:r>
        <w:rPr>
          <w:rFonts w:ascii="Calibri" w:hAnsi="Calibri"/>
          <w:sz w:val="20"/>
          <w:szCs w:val="20"/>
        </w:rPr>
        <w:t>injured individual</w:t>
      </w:r>
      <w:r w:rsidRPr="00CB4454">
        <w:rPr>
          <w:rFonts w:ascii="Calibri" w:hAnsi="Calibri"/>
          <w:sz w:val="20"/>
          <w:szCs w:val="20"/>
        </w:rPr>
        <w:t xml:space="preserve">s and </w:t>
      </w:r>
      <w:r w:rsidR="00C84344">
        <w:rPr>
          <w:rFonts w:ascii="Calibri" w:hAnsi="Calibri"/>
          <w:sz w:val="20"/>
          <w:szCs w:val="20"/>
        </w:rPr>
        <w:t>VA</w:t>
      </w:r>
      <w:r w:rsidRPr="00CB4454">
        <w:rPr>
          <w:rFonts w:ascii="Calibri" w:hAnsi="Calibri"/>
          <w:sz w:val="20"/>
          <w:szCs w:val="20"/>
        </w:rPr>
        <w:t>; and improvement of VA and MRE.  It does not include some additional activities that are already making use of data from the surveillance system, including clearance activities and advocacy</w:t>
      </w:r>
      <w:r>
        <w:rPr>
          <w:rFonts w:ascii="Calibri" w:hAnsi="Calibri"/>
          <w:sz w:val="20"/>
          <w:szCs w:val="20"/>
        </w:rPr>
        <w:t xml:space="preserve"> (see Section V.A.1.c)</w:t>
      </w:r>
      <w:r w:rsidRPr="00CB4454">
        <w:rPr>
          <w:rFonts w:ascii="Calibri" w:hAnsi="Calibri"/>
          <w:sz w:val="20"/>
          <w:szCs w:val="20"/>
        </w:rPr>
        <w:t xml:space="preserve">.  </w:t>
      </w:r>
    </w:p>
    <w:p w:rsidR="00B454FB" w:rsidRPr="004E54B9" w:rsidRDefault="00B454FB" w:rsidP="00B454FB">
      <w:pPr>
        <w:pStyle w:val="ColorfulList-Accent11"/>
        <w:spacing w:line="276" w:lineRule="auto"/>
        <w:ind w:left="360"/>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Pr>
          <w:rFonts w:ascii="Calibri" w:eastAsia="Cambria" w:hAnsi="Calibri"/>
          <w:b/>
          <w:sz w:val="20"/>
          <w:szCs w:val="20"/>
        </w:rPr>
        <w:br w:type="page"/>
      </w:r>
      <w:r w:rsidRPr="00D61C8A">
        <w:rPr>
          <w:rFonts w:ascii="Calibri" w:eastAsia="Cambria" w:hAnsi="Calibri"/>
          <w:b/>
          <w:sz w:val="20"/>
          <w:szCs w:val="20"/>
        </w:rPr>
        <w:lastRenderedPageBreak/>
        <w:t>Recommendations</w:t>
      </w:r>
    </w:p>
    <w:p w:rsidR="00B454FB" w:rsidRDefault="00B454FB" w:rsidP="00B454FB">
      <w:pPr>
        <w:numPr>
          <w:ilvl w:val="0"/>
          <w:numId w:val="81"/>
        </w:numPr>
        <w:spacing w:line="276" w:lineRule="auto"/>
        <w:rPr>
          <w:rFonts w:ascii="Calibri" w:eastAsia="Cambria" w:hAnsi="Calibri"/>
          <w:sz w:val="20"/>
          <w:szCs w:val="20"/>
        </w:rPr>
      </w:pPr>
      <w:r w:rsidRPr="00CB4454">
        <w:rPr>
          <w:rFonts w:ascii="Calibri" w:eastAsia="Cambria" w:hAnsi="Calibri"/>
          <w:sz w:val="20"/>
          <w:szCs w:val="20"/>
        </w:rPr>
        <w:t xml:space="preserve">Clarify the naming of reports </w:t>
      </w:r>
      <w:r w:rsidRPr="00D61C8A">
        <w:rPr>
          <w:rFonts w:ascii="Calibri" w:eastAsia="Cambria" w:hAnsi="Calibri"/>
          <w:sz w:val="20"/>
          <w:szCs w:val="20"/>
        </w:rPr>
        <w:t xml:space="preserve">posted </w:t>
      </w:r>
      <w:r>
        <w:rPr>
          <w:rFonts w:ascii="Calibri" w:eastAsia="Cambria" w:hAnsi="Calibri"/>
          <w:sz w:val="20"/>
          <w:szCs w:val="20"/>
        </w:rPr>
        <w:t>on the</w:t>
      </w:r>
      <w:r w:rsidRPr="00D61C8A">
        <w:rPr>
          <w:rFonts w:ascii="Calibri" w:eastAsia="Cambria" w:hAnsi="Calibri"/>
          <w:sz w:val="20"/>
          <w:szCs w:val="20"/>
        </w:rPr>
        <w:t xml:space="preserve"> INSEConline</w:t>
      </w:r>
      <w:r>
        <w:rPr>
          <w:rFonts w:ascii="Calibri" w:eastAsia="Cambria" w:hAnsi="Calibri"/>
          <w:sz w:val="20"/>
          <w:szCs w:val="20"/>
        </w:rPr>
        <w:t xml:space="preserve"> website</w:t>
      </w:r>
      <w:r w:rsidRPr="00CB4454">
        <w:rPr>
          <w:rFonts w:ascii="Calibri" w:eastAsia="Cambria" w:hAnsi="Calibri"/>
          <w:sz w:val="20"/>
          <w:szCs w:val="20"/>
        </w:rPr>
        <w:t>; this will increase the usability of the reports and encourage more users to return to the site.</w:t>
      </w:r>
    </w:p>
    <w:p w:rsidR="00B454FB" w:rsidRPr="00CB4454" w:rsidRDefault="00B454FB" w:rsidP="00B454FB">
      <w:pPr>
        <w:numPr>
          <w:ilvl w:val="0"/>
          <w:numId w:val="81"/>
        </w:numPr>
        <w:spacing w:line="276" w:lineRule="auto"/>
        <w:rPr>
          <w:rFonts w:ascii="Calibri" w:eastAsia="Cambria" w:hAnsi="Calibri"/>
          <w:sz w:val="20"/>
          <w:szCs w:val="20"/>
        </w:rPr>
      </w:pPr>
      <w:r w:rsidRPr="00CB4454">
        <w:rPr>
          <w:rFonts w:ascii="Calibri" w:hAnsi="Calibri"/>
          <w:sz w:val="20"/>
          <w:szCs w:val="20"/>
        </w:rPr>
        <w:t xml:space="preserve">Consider making reports available in some other format, as individuals without access to the Internet </w:t>
      </w:r>
      <w:r>
        <w:rPr>
          <w:rFonts w:ascii="Calibri" w:hAnsi="Calibri"/>
          <w:sz w:val="20"/>
          <w:szCs w:val="20"/>
        </w:rPr>
        <w:t>do</w:t>
      </w:r>
      <w:r w:rsidRPr="00CB4454">
        <w:rPr>
          <w:rFonts w:ascii="Calibri" w:hAnsi="Calibri"/>
          <w:sz w:val="20"/>
          <w:szCs w:val="20"/>
        </w:rPr>
        <w:t xml:space="preserve"> not have access to reports online.  If UNICEF and INSEC do not wish to publish reports elsewhere, they may consider using other media to inform the public about the availability of the online reports.</w:t>
      </w:r>
    </w:p>
    <w:p w:rsidR="00B454FB" w:rsidRPr="00CB4454" w:rsidRDefault="00B454FB" w:rsidP="00B454FB">
      <w:pPr>
        <w:numPr>
          <w:ilvl w:val="0"/>
          <w:numId w:val="81"/>
        </w:numPr>
        <w:spacing w:line="276" w:lineRule="auto"/>
        <w:rPr>
          <w:rFonts w:ascii="Calibri" w:eastAsia="Cambria" w:hAnsi="Calibri"/>
          <w:sz w:val="20"/>
          <w:szCs w:val="20"/>
        </w:rPr>
      </w:pPr>
      <w:r w:rsidRPr="00D61C8A">
        <w:rPr>
          <w:rFonts w:ascii="Calibri" w:eastAsia="Cambria" w:hAnsi="Calibri"/>
          <w:sz w:val="20"/>
          <w:szCs w:val="20"/>
        </w:rPr>
        <w:t xml:space="preserve">Collaborate with NA personnel who prioritize areas for demining and clearance to </w:t>
      </w:r>
      <w:r>
        <w:rPr>
          <w:rFonts w:ascii="Calibri" w:eastAsia="Cambria" w:hAnsi="Calibri"/>
          <w:sz w:val="20"/>
          <w:szCs w:val="20"/>
        </w:rPr>
        <w:t>en</w:t>
      </w:r>
      <w:r w:rsidRPr="00D61C8A">
        <w:rPr>
          <w:rFonts w:ascii="Calibri" w:eastAsia="Cambria" w:hAnsi="Calibri"/>
          <w:sz w:val="20"/>
          <w:szCs w:val="20"/>
        </w:rPr>
        <w:t>sure that injury data are being considered during the selection of priority areas.</w:t>
      </w:r>
    </w:p>
    <w:p w:rsidR="00B454FB" w:rsidRPr="007E43C7" w:rsidRDefault="00B454FB" w:rsidP="00B454FB">
      <w:pPr>
        <w:numPr>
          <w:ilvl w:val="0"/>
          <w:numId w:val="81"/>
        </w:numPr>
        <w:spacing w:line="276" w:lineRule="auto"/>
        <w:rPr>
          <w:rFonts w:ascii="Calibri" w:eastAsia="Cambria" w:hAnsi="Calibri"/>
          <w:sz w:val="20"/>
          <w:szCs w:val="20"/>
        </w:rPr>
      </w:pPr>
      <w:r w:rsidRPr="00D61C8A">
        <w:rPr>
          <w:rFonts w:ascii="Calibri" w:eastAsia="Cambria" w:hAnsi="Calibri"/>
          <w:sz w:val="20"/>
          <w:szCs w:val="20"/>
        </w:rPr>
        <w:t xml:space="preserve">Encourage the development of a standardized response mechanism </w:t>
      </w:r>
      <w:r>
        <w:rPr>
          <w:rFonts w:ascii="Calibri" w:eastAsia="Cambria" w:hAnsi="Calibri"/>
          <w:sz w:val="20"/>
          <w:szCs w:val="20"/>
        </w:rPr>
        <w:t xml:space="preserve">by which VAE injury surveillance system data can be used </w:t>
      </w:r>
      <w:r w:rsidRPr="00D61C8A">
        <w:rPr>
          <w:rFonts w:ascii="Calibri" w:eastAsia="Cambria" w:hAnsi="Calibri"/>
          <w:sz w:val="20"/>
          <w:szCs w:val="20"/>
        </w:rPr>
        <w:t xml:space="preserve">to clear newly found ED </w:t>
      </w:r>
      <w:r>
        <w:rPr>
          <w:rFonts w:ascii="Calibri" w:eastAsia="Cambria" w:hAnsi="Calibri"/>
          <w:sz w:val="20"/>
          <w:szCs w:val="20"/>
        </w:rPr>
        <w:t>in a timely manner</w:t>
      </w:r>
      <w:r w:rsidRPr="00D61C8A">
        <w:rPr>
          <w:rFonts w:ascii="Calibri" w:eastAsia="Cambria" w:hAnsi="Calibri"/>
          <w:sz w:val="20"/>
          <w:szCs w:val="20"/>
        </w:rPr>
        <w:t>.</w:t>
      </w:r>
      <w:r>
        <w:rPr>
          <w:rFonts w:ascii="Calibri" w:eastAsia="Cambria" w:hAnsi="Calibri"/>
          <w:sz w:val="20"/>
          <w:szCs w:val="20"/>
        </w:rPr>
        <w:t xml:space="preserve">  At this time, INSEC data reach the NA via UNICEF and UNMAT; this new mechanism </w:t>
      </w:r>
      <w:r w:rsidRPr="005F0918">
        <w:rPr>
          <w:rFonts w:ascii="Calibri" w:hAnsi="Calibri"/>
          <w:sz w:val="20"/>
          <w:szCs w:val="20"/>
        </w:rPr>
        <w:t>would</w:t>
      </w:r>
      <w:r>
        <w:rPr>
          <w:rFonts w:ascii="Calibri" w:eastAsia="Cambria" w:hAnsi="Calibri"/>
          <w:sz w:val="20"/>
          <w:szCs w:val="20"/>
        </w:rPr>
        <w:t xml:space="preserve"> accelerate the flow of data by sending updates directly from INSEC to the NA.</w:t>
      </w:r>
    </w:p>
    <w:p w:rsidR="00B454FB" w:rsidRDefault="00B454FB" w:rsidP="00B454FB">
      <w:pPr>
        <w:numPr>
          <w:ilvl w:val="0"/>
          <w:numId w:val="81"/>
        </w:numPr>
        <w:spacing w:line="276" w:lineRule="auto"/>
        <w:rPr>
          <w:rFonts w:ascii="Calibri" w:eastAsia="Cambria" w:hAnsi="Calibri"/>
          <w:sz w:val="20"/>
          <w:szCs w:val="20"/>
        </w:rPr>
      </w:pPr>
      <w:r>
        <w:rPr>
          <w:rFonts w:ascii="Calibri" w:hAnsi="Calibri"/>
          <w:sz w:val="20"/>
          <w:szCs w:val="20"/>
        </w:rPr>
        <w:t>C</w:t>
      </w:r>
      <w:r w:rsidRPr="00CB4454">
        <w:rPr>
          <w:rFonts w:ascii="Calibri" w:hAnsi="Calibri"/>
          <w:sz w:val="20"/>
          <w:szCs w:val="20"/>
        </w:rPr>
        <w:t xml:space="preserve">onsider expanding the </w:t>
      </w:r>
      <w:r>
        <w:rPr>
          <w:rFonts w:ascii="Calibri" w:hAnsi="Calibri"/>
          <w:sz w:val="20"/>
          <w:szCs w:val="20"/>
        </w:rPr>
        <w:t xml:space="preserve">surveillance system </w:t>
      </w:r>
      <w:r w:rsidRPr="00CB4454">
        <w:rPr>
          <w:rFonts w:ascii="Calibri" w:hAnsi="Calibri"/>
          <w:sz w:val="20"/>
          <w:szCs w:val="20"/>
        </w:rPr>
        <w:t xml:space="preserve">objectives to link data collection with all pillars of </w:t>
      </w:r>
      <w:r>
        <w:rPr>
          <w:rFonts w:ascii="Calibri" w:hAnsi="Calibri"/>
          <w:sz w:val="20"/>
          <w:szCs w:val="20"/>
        </w:rPr>
        <w:t>MA</w:t>
      </w:r>
      <w:r w:rsidRPr="00CB4454">
        <w:rPr>
          <w:rFonts w:ascii="Calibri" w:hAnsi="Calibri"/>
          <w:sz w:val="20"/>
          <w:szCs w:val="20"/>
        </w:rPr>
        <w:t>.</w:t>
      </w:r>
      <w:r>
        <w:rPr>
          <w:rFonts w:ascii="Calibri" w:eastAsia="Cambria" w:hAnsi="Calibri"/>
          <w:sz w:val="20"/>
          <w:szCs w:val="20"/>
          <w:highlight w:val="yellow"/>
        </w:rPr>
        <w:t xml:space="preserve"> </w:t>
      </w:r>
    </w:p>
    <w:p w:rsidR="00B454FB" w:rsidRPr="002A2A2E" w:rsidRDefault="00B454FB" w:rsidP="00B454FB">
      <w:pPr>
        <w:numPr>
          <w:ilvl w:val="0"/>
          <w:numId w:val="81"/>
        </w:numPr>
        <w:spacing w:line="276" w:lineRule="auto"/>
        <w:rPr>
          <w:rFonts w:ascii="Calibri" w:eastAsia="Cambria" w:hAnsi="Calibri"/>
          <w:sz w:val="20"/>
          <w:szCs w:val="20"/>
        </w:rPr>
      </w:pPr>
      <w:r w:rsidRPr="002A2A2E">
        <w:rPr>
          <w:rFonts w:ascii="Calibri" w:eastAsia="Cambria" w:hAnsi="Calibri"/>
          <w:sz w:val="20"/>
          <w:szCs w:val="20"/>
        </w:rPr>
        <w:t xml:space="preserve">Reconsider the current level of resource expenditure on VAE injury surveillance, especially if VAE injuries continue to </w:t>
      </w:r>
      <w:r>
        <w:rPr>
          <w:rFonts w:ascii="Calibri" w:eastAsia="Cambria" w:hAnsi="Calibri"/>
          <w:sz w:val="20"/>
          <w:szCs w:val="20"/>
        </w:rPr>
        <w:t>decrease in incidence</w:t>
      </w:r>
      <w:r w:rsidRPr="002A2A2E">
        <w:rPr>
          <w:rFonts w:ascii="Calibri" w:eastAsia="Cambria" w:hAnsi="Calibri"/>
          <w:sz w:val="20"/>
          <w:szCs w:val="20"/>
        </w:rPr>
        <w:t xml:space="preserve">.  It may be possible to </w:t>
      </w:r>
      <w:r w:rsidRPr="002A2A2E">
        <w:rPr>
          <w:rFonts w:ascii="Calibri" w:hAnsi="Calibri"/>
          <w:sz w:val="20"/>
          <w:szCs w:val="20"/>
        </w:rPr>
        <w:t>collaborate with the Ministry of Health, World Health Organization or other partners to establish an all-cause injury surveillance system, which could result in better use of limited resources.  Support already exists among some Nepali medical personnel for the establishment of such a system.</w:t>
      </w:r>
    </w:p>
    <w:p w:rsidR="00B454FB" w:rsidRPr="00D61C8A" w:rsidRDefault="00B454FB" w:rsidP="00B454FB">
      <w:pPr>
        <w:spacing w:line="276" w:lineRule="auto"/>
        <w:rPr>
          <w:rFonts w:ascii="Calibri"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V.B.2</w:t>
      </w:r>
      <w:r>
        <w:rPr>
          <w:rFonts w:ascii="Calibri" w:hAnsi="Calibri"/>
          <w:sz w:val="20"/>
          <w:szCs w:val="20"/>
        </w:rPr>
        <w:tab/>
      </w:r>
      <w:r>
        <w:rPr>
          <w:rFonts w:ascii="Calibri" w:hAnsi="Calibri"/>
          <w:sz w:val="20"/>
          <w:szCs w:val="20"/>
        </w:rPr>
        <w:tab/>
      </w:r>
      <w:r w:rsidRPr="00D61C8A">
        <w:rPr>
          <w:rFonts w:ascii="Calibri" w:hAnsi="Calibri"/>
          <w:sz w:val="20"/>
          <w:szCs w:val="20"/>
        </w:rPr>
        <w:t>Description of surveillance system attributes</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V.B.2.a</w:t>
      </w:r>
      <w:r>
        <w:rPr>
          <w:rFonts w:ascii="Calibri" w:hAnsi="Calibri"/>
          <w:sz w:val="20"/>
          <w:szCs w:val="20"/>
        </w:rPr>
        <w:tab/>
      </w:r>
      <w:r>
        <w:rPr>
          <w:rFonts w:ascii="Calibri" w:hAnsi="Calibri"/>
          <w:sz w:val="20"/>
          <w:szCs w:val="20"/>
        </w:rPr>
        <w:tab/>
      </w:r>
      <w:r w:rsidRPr="00D61C8A">
        <w:rPr>
          <w:rFonts w:ascii="Calibri" w:hAnsi="Calibri"/>
          <w:sz w:val="20"/>
          <w:szCs w:val="20"/>
        </w:rPr>
        <w:t>Simplicity</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“The simplicity of a public health surveillance system refers to both its structure and ease of operation.  Surveillance systems should be as simple as possible while still meeting their objectives.”</w:t>
      </w:r>
      <w:r w:rsidRPr="00784EE1">
        <w:rPr>
          <w:rStyle w:val="EndnoteReference"/>
          <w:rFonts w:ascii="Calibri" w:eastAsia="Cambria" w:hAnsi="Calibri"/>
          <w:sz w:val="20"/>
          <w:szCs w:val="20"/>
        </w:rPr>
        <w:endnoteReference w:id="191"/>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Simplicity can be assessed by creating a chart describing the flow of data and the lines of response in a surveillance system and by evaluating the case definition; number of partner organizations and integration with other systems; collection, management, analysis and dissemination of data; and training and maintenance requirements.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Default="00B454FB" w:rsidP="00B454FB">
      <w:pPr>
        <w:numPr>
          <w:ilvl w:val="0"/>
          <w:numId w:val="81"/>
        </w:numPr>
        <w:spacing w:line="276" w:lineRule="auto"/>
        <w:rPr>
          <w:rFonts w:ascii="Calibri" w:hAnsi="Calibri"/>
          <w:sz w:val="20"/>
          <w:szCs w:val="20"/>
        </w:rPr>
      </w:pPr>
      <w:r w:rsidRPr="005F0918">
        <w:rPr>
          <w:rFonts w:ascii="Calibri" w:hAnsi="Calibri"/>
          <w:sz w:val="20"/>
          <w:szCs w:val="20"/>
        </w:rPr>
        <w:t>The structure of this surveillance system is simple; it does contain multiple (district, regional, and central) levels of data transfer, but all steps are housed within the same organization (INSEC) and activities at eac</w:t>
      </w:r>
      <w:r>
        <w:rPr>
          <w:rFonts w:ascii="Calibri" w:hAnsi="Calibri"/>
          <w:sz w:val="20"/>
          <w:szCs w:val="20"/>
        </w:rPr>
        <w:t>h step are clearly delineated.</w:t>
      </w:r>
    </w:p>
    <w:p w:rsidR="00B454FB" w:rsidRPr="005F0918" w:rsidRDefault="00B454FB" w:rsidP="00B454FB">
      <w:pPr>
        <w:numPr>
          <w:ilvl w:val="0"/>
          <w:numId w:val="81"/>
        </w:numPr>
        <w:spacing w:line="276" w:lineRule="auto"/>
        <w:rPr>
          <w:rFonts w:ascii="Calibri" w:hAnsi="Calibri"/>
          <w:sz w:val="20"/>
          <w:szCs w:val="20"/>
        </w:rPr>
      </w:pPr>
      <w:r w:rsidRPr="005F0918">
        <w:rPr>
          <w:rFonts w:ascii="Calibri" w:hAnsi="Calibri"/>
          <w:sz w:val="20"/>
          <w:szCs w:val="20"/>
        </w:rPr>
        <w:t>The case definition is clearly defined and easy for INSEC DRs and partners with little medical or technical knowledge to apply</w:t>
      </w:r>
      <w:r>
        <w:rPr>
          <w:rFonts w:ascii="Calibri" w:hAnsi="Calibri"/>
          <w:sz w:val="20"/>
          <w:szCs w:val="20"/>
        </w:rPr>
        <w:t>.</w:t>
      </w:r>
    </w:p>
    <w:p w:rsidR="00B454FB" w:rsidRPr="005F0918" w:rsidRDefault="00B454FB" w:rsidP="00B454FB">
      <w:pPr>
        <w:numPr>
          <w:ilvl w:val="0"/>
          <w:numId w:val="81"/>
        </w:numPr>
        <w:spacing w:line="276" w:lineRule="auto"/>
        <w:rPr>
          <w:rFonts w:ascii="Calibri" w:hAnsi="Calibri"/>
          <w:sz w:val="20"/>
          <w:szCs w:val="20"/>
        </w:rPr>
      </w:pPr>
      <w:r w:rsidRPr="005F0918">
        <w:rPr>
          <w:rFonts w:ascii="Calibri" w:hAnsi="Calibri"/>
          <w:sz w:val="20"/>
          <w:szCs w:val="20"/>
        </w:rPr>
        <w:t>The data collection form is clear and easy to use, allowing information on injured individual demographics and incident details to be collected in a timely manner</w:t>
      </w:r>
      <w:r>
        <w:rPr>
          <w:rFonts w:ascii="Calibri" w:hAnsi="Calibri"/>
          <w:sz w:val="20"/>
          <w:szCs w:val="20"/>
        </w:rPr>
        <w:t>.</w:t>
      </w:r>
    </w:p>
    <w:p w:rsidR="00B454FB" w:rsidRDefault="00B454FB" w:rsidP="00B454FB">
      <w:pPr>
        <w:numPr>
          <w:ilvl w:val="0"/>
          <w:numId w:val="81"/>
        </w:numPr>
        <w:spacing w:line="276" w:lineRule="auto"/>
        <w:rPr>
          <w:rFonts w:ascii="Calibri" w:hAnsi="Calibri"/>
          <w:sz w:val="20"/>
          <w:szCs w:val="20"/>
        </w:rPr>
      </w:pPr>
      <w:r w:rsidRPr="005F0918">
        <w:rPr>
          <w:rFonts w:ascii="Calibri" w:hAnsi="Calibri"/>
          <w:sz w:val="20"/>
          <w:szCs w:val="20"/>
        </w:rPr>
        <w:t>Follow-up is not necessary unless data elements are missing following case investigation by the DR (in approximately 10 % of cases)</w:t>
      </w:r>
      <w:r>
        <w:rPr>
          <w:rFonts w:ascii="Calibri" w:hAnsi="Calibri"/>
          <w:sz w:val="20"/>
          <w:szCs w:val="20"/>
        </w:rPr>
        <w:t>.</w:t>
      </w:r>
    </w:p>
    <w:p w:rsidR="00B454FB" w:rsidRPr="005F0918" w:rsidRDefault="00B454FB" w:rsidP="00B454FB">
      <w:pPr>
        <w:numPr>
          <w:ilvl w:val="0"/>
          <w:numId w:val="81"/>
        </w:numPr>
        <w:spacing w:line="276" w:lineRule="auto"/>
        <w:rPr>
          <w:rFonts w:ascii="Calibri" w:hAnsi="Calibri"/>
          <w:sz w:val="20"/>
          <w:szCs w:val="20"/>
        </w:rPr>
      </w:pPr>
      <w:r w:rsidRPr="005F0918">
        <w:rPr>
          <w:rFonts w:ascii="Calibri" w:hAnsi="Calibri"/>
          <w:sz w:val="20"/>
          <w:szCs w:val="20"/>
        </w:rPr>
        <w:t>The system is well integrated with other surveillance systems (see Section V.A.2.h)</w:t>
      </w:r>
      <w:r>
        <w:rPr>
          <w:rFonts w:ascii="Calibri" w:hAnsi="Calibri"/>
          <w:sz w:val="20"/>
          <w:szCs w:val="20"/>
        </w:rPr>
        <w:t>.</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C14BE9" w:rsidRDefault="00B454FB" w:rsidP="00B454FB">
      <w:pPr>
        <w:numPr>
          <w:ilvl w:val="0"/>
          <w:numId w:val="81"/>
        </w:numPr>
        <w:spacing w:line="276" w:lineRule="auto"/>
        <w:rPr>
          <w:rFonts w:ascii="Calibri" w:hAnsi="Calibri"/>
          <w:sz w:val="20"/>
          <w:szCs w:val="20"/>
        </w:rPr>
      </w:pPr>
      <w:r w:rsidRPr="00C14BE9">
        <w:rPr>
          <w:rFonts w:ascii="Calibri" w:hAnsi="Calibri"/>
          <w:sz w:val="20"/>
          <w:szCs w:val="20"/>
        </w:rPr>
        <w:t xml:space="preserve">The terrain, infrastructure, weather and political situation present some challenges to travel and communication necessary for maintenance of </w:t>
      </w:r>
      <w:r>
        <w:rPr>
          <w:rFonts w:ascii="Calibri" w:hAnsi="Calibri"/>
          <w:sz w:val="20"/>
          <w:szCs w:val="20"/>
        </w:rPr>
        <w:t>an active</w:t>
      </w:r>
      <w:r w:rsidRPr="00C14BE9">
        <w:rPr>
          <w:rFonts w:ascii="Calibri" w:hAnsi="Calibri"/>
          <w:sz w:val="20"/>
          <w:szCs w:val="20"/>
        </w:rPr>
        <w:t xml:space="preserve"> surveillance system</w:t>
      </w:r>
      <w:r>
        <w:rPr>
          <w:rFonts w:ascii="Calibri" w:hAnsi="Calibri"/>
          <w:sz w:val="20"/>
          <w:szCs w:val="20"/>
        </w:rPr>
        <w:t>.</w:t>
      </w:r>
    </w:p>
    <w:p w:rsidR="00B454FB" w:rsidRPr="00C14BE9"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Data fields on the data collection form do not fully correspond with data entry fields in the database</w:t>
      </w:r>
      <w:r>
        <w:rPr>
          <w:rFonts w:ascii="Calibri" w:hAnsi="Calibri"/>
          <w:sz w:val="20"/>
          <w:szCs w:val="20"/>
        </w:rPr>
        <w:t>.</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The FPMA spends extra time backing up the database in multiple locations</w:t>
      </w:r>
      <w:r>
        <w:rPr>
          <w:rFonts w:ascii="Calibri" w:hAnsi="Calibri"/>
          <w:sz w:val="20"/>
          <w:szCs w:val="20"/>
        </w:rPr>
        <w:t>.</w:t>
      </w:r>
    </w:p>
    <w:p w:rsidR="00B454FB" w:rsidRPr="00D61C8A" w:rsidRDefault="00B454FB" w:rsidP="00B454FB">
      <w:pPr>
        <w:spacing w:line="276" w:lineRule="auto"/>
        <w:rPr>
          <w:rFonts w:ascii="Calibri" w:eastAsia="Cambria" w:hAnsi="Calibri"/>
          <w:b/>
          <w:sz w:val="20"/>
          <w:szCs w:val="20"/>
        </w:rPr>
      </w:pPr>
    </w:p>
    <w:p w:rsidR="00B454FB" w:rsidRPr="00A61924"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Recom</w:t>
      </w:r>
      <w:r w:rsidRPr="00A61924">
        <w:rPr>
          <w:rFonts w:ascii="Calibri" w:eastAsia="Cambria" w:hAnsi="Calibri"/>
          <w:b/>
          <w:sz w:val="20"/>
          <w:szCs w:val="20"/>
        </w:rPr>
        <w:t>mendations</w:t>
      </w:r>
    </w:p>
    <w:p w:rsidR="00B454FB" w:rsidRPr="00C14BE9" w:rsidRDefault="00B454FB" w:rsidP="00B454FB">
      <w:pPr>
        <w:numPr>
          <w:ilvl w:val="0"/>
          <w:numId w:val="81"/>
        </w:numPr>
        <w:spacing w:line="276" w:lineRule="auto"/>
        <w:rPr>
          <w:rFonts w:ascii="Calibri" w:hAnsi="Calibri"/>
          <w:sz w:val="20"/>
          <w:szCs w:val="20"/>
        </w:rPr>
      </w:pPr>
      <w:r w:rsidRPr="00C14BE9">
        <w:rPr>
          <w:rFonts w:ascii="Calibri" w:hAnsi="Calibri"/>
          <w:sz w:val="20"/>
          <w:szCs w:val="20"/>
        </w:rPr>
        <w:t>Address discrepancies between the data collection form and the database.</w:t>
      </w:r>
    </w:p>
    <w:p w:rsidR="00B454FB" w:rsidRPr="00C14BE9" w:rsidRDefault="00B454FB" w:rsidP="00B454FB">
      <w:pPr>
        <w:numPr>
          <w:ilvl w:val="0"/>
          <w:numId w:val="81"/>
        </w:numPr>
        <w:spacing w:line="276" w:lineRule="auto"/>
        <w:rPr>
          <w:rFonts w:ascii="Calibri" w:hAnsi="Calibri"/>
          <w:sz w:val="20"/>
          <w:szCs w:val="20"/>
        </w:rPr>
      </w:pPr>
      <w:r w:rsidRPr="00C14BE9">
        <w:rPr>
          <w:rFonts w:ascii="Calibri" w:hAnsi="Calibri"/>
          <w:sz w:val="20"/>
          <w:szCs w:val="20"/>
        </w:rPr>
        <w:lastRenderedPageBreak/>
        <w:t>Consider storage of the database on a secure online data storage system such as Dropbox</w:t>
      </w:r>
      <w:r w:rsidRPr="00800CEF">
        <w:rPr>
          <w:rFonts w:ascii="Calibri" w:hAnsi="Calibri"/>
          <w:sz w:val="20"/>
          <w:szCs w:val="20"/>
          <w:vertAlign w:val="superscript"/>
        </w:rPr>
        <w:footnoteReference w:id="9"/>
      </w:r>
      <w:r w:rsidRPr="00C14BE9">
        <w:rPr>
          <w:rFonts w:ascii="Calibri" w:hAnsi="Calibri"/>
          <w:sz w:val="20"/>
          <w:szCs w:val="20"/>
        </w:rPr>
        <w:t xml:space="preserve"> or a designated File Transfer Protocol (FTP) site.  Storing the database on such a system would allow the FPMA to control access to the file and save time currently spent saving the database in multiple locations.</w:t>
      </w:r>
    </w:p>
    <w:p w:rsidR="00B454FB" w:rsidRPr="00A61924" w:rsidRDefault="00B454FB" w:rsidP="00B454FB">
      <w:pPr>
        <w:pStyle w:val="ColorfulList-Accent11"/>
        <w:spacing w:line="276" w:lineRule="auto"/>
        <w:ind w:left="0"/>
        <w:rPr>
          <w:rFonts w:ascii="Calibri" w:eastAsia="Cambria" w:hAnsi="Calibri"/>
          <w:b/>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V.B.2.b</w:t>
      </w:r>
      <w:r>
        <w:rPr>
          <w:rFonts w:ascii="Calibri" w:hAnsi="Calibri"/>
          <w:sz w:val="20"/>
          <w:szCs w:val="20"/>
        </w:rPr>
        <w:tab/>
      </w:r>
      <w:r>
        <w:rPr>
          <w:rFonts w:ascii="Calibri" w:hAnsi="Calibri"/>
          <w:sz w:val="20"/>
          <w:szCs w:val="20"/>
        </w:rPr>
        <w:tab/>
      </w:r>
      <w:r w:rsidRPr="00D61C8A">
        <w:rPr>
          <w:rFonts w:ascii="Calibri" w:hAnsi="Calibri"/>
          <w:sz w:val="20"/>
          <w:szCs w:val="20"/>
        </w:rPr>
        <w:t>Flexibility</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“A flexible public health surveillance system can adapt to changing information needs or operating conditions with little additional time, personnel, or allocated funds.  Flexible systems can accommodate, for example, new health-related events, changes in case definitions or technology, and variations in funding or reporting sources…[S]ystems that use standard data formats…can be easily integrated with other systems and thus might be considered flexible.”</w:t>
      </w:r>
      <w:r w:rsidRPr="00784EE1">
        <w:rPr>
          <w:rStyle w:val="EndnoteReference"/>
          <w:rFonts w:ascii="Calibri" w:eastAsia="Cambria" w:hAnsi="Calibri"/>
          <w:sz w:val="20"/>
          <w:szCs w:val="20"/>
        </w:rPr>
        <w:endnoteReference w:id="192"/>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Flexibility is best evaluated retrospectively by observing how a system has responded to a new demand; the design and workings of a system can also be examined.  Simpler systems might be more flexible.</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 xml:space="preserve">Integration of VAE injury surveillance into previously existing </w:t>
      </w:r>
      <w:r>
        <w:rPr>
          <w:rFonts w:ascii="Calibri" w:hAnsi="Calibri"/>
          <w:sz w:val="20"/>
          <w:szCs w:val="20"/>
        </w:rPr>
        <w:t xml:space="preserve">INSEC </w:t>
      </w:r>
      <w:r w:rsidRPr="00D61C8A">
        <w:rPr>
          <w:rFonts w:ascii="Calibri" w:hAnsi="Calibri"/>
          <w:sz w:val="20"/>
          <w:szCs w:val="20"/>
        </w:rPr>
        <w:t xml:space="preserve">surveillance </w:t>
      </w:r>
      <w:r>
        <w:rPr>
          <w:rFonts w:ascii="Calibri" w:hAnsi="Calibri"/>
          <w:sz w:val="20"/>
          <w:szCs w:val="20"/>
        </w:rPr>
        <w:t xml:space="preserve">systems </w:t>
      </w:r>
      <w:r w:rsidRPr="00D61C8A">
        <w:rPr>
          <w:rFonts w:ascii="Calibri" w:hAnsi="Calibri"/>
          <w:sz w:val="20"/>
          <w:szCs w:val="20"/>
        </w:rPr>
        <w:t xml:space="preserve">for 1612 and other </w:t>
      </w:r>
      <w:r>
        <w:rPr>
          <w:rFonts w:ascii="Calibri" w:hAnsi="Calibri"/>
          <w:sz w:val="20"/>
          <w:szCs w:val="20"/>
        </w:rPr>
        <w:t xml:space="preserve">human rights </w:t>
      </w:r>
      <w:r w:rsidRPr="00D61C8A">
        <w:rPr>
          <w:rFonts w:ascii="Calibri" w:hAnsi="Calibri"/>
          <w:sz w:val="20"/>
          <w:szCs w:val="20"/>
        </w:rPr>
        <w:t>violations</w:t>
      </w:r>
      <w:r>
        <w:rPr>
          <w:rFonts w:ascii="Calibri" w:hAnsi="Calibri"/>
          <w:sz w:val="20"/>
          <w:szCs w:val="20"/>
        </w:rPr>
        <w:t xml:space="preserve"> shows that the </w:t>
      </w:r>
      <w:r w:rsidRPr="00D61C8A">
        <w:rPr>
          <w:rFonts w:ascii="Calibri" w:hAnsi="Calibri"/>
          <w:sz w:val="20"/>
          <w:szCs w:val="20"/>
        </w:rPr>
        <w:t xml:space="preserve">system </w:t>
      </w:r>
      <w:r>
        <w:rPr>
          <w:rFonts w:ascii="Calibri" w:hAnsi="Calibri"/>
          <w:sz w:val="20"/>
          <w:szCs w:val="20"/>
        </w:rPr>
        <w:t>design is</w:t>
      </w:r>
      <w:r w:rsidRPr="00D61C8A">
        <w:rPr>
          <w:rFonts w:ascii="Calibri" w:hAnsi="Calibri"/>
          <w:sz w:val="20"/>
          <w:szCs w:val="20"/>
        </w:rPr>
        <w:t xml:space="preserve"> capable of changing to accommodate collection of additional information.</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The surveillance system has proven flexible when case definitions have changed in the past (see Section V.A.2.a)</w:t>
      </w:r>
      <w:r>
        <w:rPr>
          <w:rFonts w:ascii="Calibri" w:hAnsi="Calibri"/>
          <w:sz w:val="20"/>
          <w:szCs w:val="20"/>
        </w:rPr>
        <w:t>.</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The system has accommodated change</w:t>
      </w:r>
      <w:r>
        <w:rPr>
          <w:rFonts w:ascii="Calibri" w:hAnsi="Calibri"/>
          <w:sz w:val="20"/>
          <w:szCs w:val="20"/>
        </w:rPr>
        <w:t>s</w:t>
      </w:r>
      <w:r w:rsidRPr="00D61C8A">
        <w:rPr>
          <w:rFonts w:ascii="Calibri" w:hAnsi="Calibri"/>
          <w:sz w:val="20"/>
          <w:szCs w:val="20"/>
        </w:rPr>
        <w:t xml:space="preserve"> in technology; as more districts have gained Internet access, more forms have been sent electronically.  The regional and central offices have expressed interest in entering data at the regional level, indicating a willingness to evolve with technology (data quality concerns about this possibility are addressed in Section V.B.</w:t>
      </w:r>
      <w:r>
        <w:rPr>
          <w:rFonts w:ascii="Calibri" w:hAnsi="Calibri"/>
          <w:sz w:val="20"/>
          <w:szCs w:val="20"/>
        </w:rPr>
        <w:t>2.c</w:t>
      </w:r>
      <w:r w:rsidRPr="00D61C8A">
        <w:rPr>
          <w:rFonts w:ascii="Calibri" w:hAnsi="Calibri"/>
          <w:sz w:val="20"/>
          <w:szCs w:val="20"/>
        </w:rPr>
        <w:t>)</w:t>
      </w:r>
      <w:r>
        <w:rPr>
          <w:rFonts w:ascii="Calibri" w:hAnsi="Calibri"/>
          <w:sz w:val="20"/>
          <w:szCs w:val="20"/>
        </w:rPr>
        <w:t>.</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 xml:space="preserve">Methods of communication remain flexible in situations in which electronic communication is </w:t>
      </w:r>
      <w:r>
        <w:rPr>
          <w:rFonts w:ascii="Calibri" w:hAnsi="Calibri"/>
          <w:sz w:val="20"/>
          <w:szCs w:val="20"/>
        </w:rPr>
        <w:t>limited.</w:t>
      </w:r>
    </w:p>
    <w:p w:rsidR="00B454FB" w:rsidRPr="00D61C8A" w:rsidRDefault="00B454FB" w:rsidP="00B454FB">
      <w:pPr>
        <w:numPr>
          <w:ilvl w:val="0"/>
          <w:numId w:val="81"/>
        </w:numPr>
        <w:spacing w:line="276" w:lineRule="auto"/>
        <w:rPr>
          <w:rFonts w:ascii="Calibri" w:hAnsi="Calibri"/>
          <w:sz w:val="20"/>
          <w:szCs w:val="20"/>
        </w:rPr>
      </w:pPr>
      <w:r w:rsidRPr="00D61C8A">
        <w:rPr>
          <w:rFonts w:ascii="Calibri" w:hAnsi="Calibri"/>
          <w:sz w:val="20"/>
          <w:szCs w:val="20"/>
        </w:rPr>
        <w:t>DRs meet with INSEC reg</w:t>
      </w:r>
      <w:r>
        <w:rPr>
          <w:rFonts w:ascii="Calibri" w:hAnsi="Calibri"/>
          <w:sz w:val="20"/>
          <w:szCs w:val="20"/>
        </w:rPr>
        <w:t xml:space="preserve">ional and central offices and regional personnel </w:t>
      </w:r>
      <w:r w:rsidRPr="00D61C8A">
        <w:rPr>
          <w:rFonts w:ascii="Calibri" w:hAnsi="Calibri"/>
          <w:sz w:val="20"/>
          <w:szCs w:val="20"/>
        </w:rPr>
        <w:t xml:space="preserve">meet with each other </w:t>
      </w:r>
      <w:r>
        <w:rPr>
          <w:rFonts w:ascii="Calibri" w:hAnsi="Calibri"/>
          <w:sz w:val="20"/>
          <w:szCs w:val="20"/>
        </w:rPr>
        <w:t xml:space="preserve">biannually, providing </w:t>
      </w:r>
      <w:r w:rsidRPr="00D61C8A">
        <w:rPr>
          <w:rFonts w:ascii="Calibri" w:hAnsi="Calibri"/>
          <w:sz w:val="20"/>
          <w:szCs w:val="20"/>
        </w:rPr>
        <w:t>a forum in which potential changes c</w:t>
      </w:r>
      <w:r>
        <w:rPr>
          <w:rFonts w:ascii="Calibri" w:hAnsi="Calibri"/>
          <w:sz w:val="20"/>
          <w:szCs w:val="20"/>
        </w:rPr>
        <w:t>an be discussed and implemented.</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D61C8A" w:rsidRDefault="00B454FB" w:rsidP="00B454FB">
      <w:pPr>
        <w:pStyle w:val="ColorfulList-Accent11"/>
        <w:numPr>
          <w:ilvl w:val="0"/>
          <w:numId w:val="82"/>
        </w:numPr>
        <w:rPr>
          <w:rFonts w:ascii="Calibri" w:hAnsi="Calibri"/>
          <w:sz w:val="20"/>
          <w:szCs w:val="20"/>
        </w:rPr>
      </w:pPr>
      <w:r w:rsidRPr="00D61C8A">
        <w:rPr>
          <w:rFonts w:ascii="Calibri" w:hAnsi="Calibri"/>
          <w:sz w:val="20"/>
          <w:szCs w:val="20"/>
        </w:rPr>
        <w:t>According to UNICEF and the 2008 and 2009 Landmine Monitor reports, the MAJWG decided to expand the case definition to include government security personnel</w:t>
      </w:r>
      <w:r w:rsidRPr="00D61C8A">
        <w:rPr>
          <w:rStyle w:val="EndnoteReference"/>
          <w:rFonts w:ascii="Calibri" w:hAnsi="Calibri"/>
          <w:sz w:val="20"/>
          <w:szCs w:val="20"/>
        </w:rPr>
        <w:endnoteReference w:id="193"/>
      </w:r>
      <w:r w:rsidRPr="00D61C8A">
        <w:rPr>
          <w:rFonts w:ascii="Calibri" w:hAnsi="Calibri"/>
          <w:sz w:val="20"/>
          <w:szCs w:val="20"/>
        </w:rPr>
        <w:t xml:space="preserve"> – but not members of NSAGs.</w:t>
      </w:r>
    </w:p>
    <w:p w:rsidR="00B454FB" w:rsidRPr="00D61C8A" w:rsidRDefault="00B454FB" w:rsidP="00B454FB">
      <w:pPr>
        <w:spacing w:line="276" w:lineRule="auto"/>
        <w:rPr>
          <w:rFonts w:ascii="Calibri" w:eastAsia="Cambria" w:hAnsi="Calibri"/>
          <w:b/>
          <w:sz w:val="20"/>
          <w:szCs w:val="20"/>
        </w:rPr>
      </w:pPr>
    </w:p>
    <w:p w:rsidR="00B454FB" w:rsidRPr="00A61924"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Recommendations</w:t>
      </w:r>
    </w:p>
    <w:p w:rsidR="00B454FB" w:rsidRPr="00A61924" w:rsidRDefault="00B454FB" w:rsidP="00B454FB">
      <w:pPr>
        <w:pStyle w:val="ColorfulList-Accent11"/>
        <w:numPr>
          <w:ilvl w:val="0"/>
          <w:numId w:val="82"/>
        </w:numPr>
        <w:rPr>
          <w:rFonts w:ascii="Calibri" w:hAnsi="Calibri"/>
          <w:sz w:val="20"/>
          <w:szCs w:val="20"/>
        </w:rPr>
      </w:pPr>
      <w:r w:rsidRPr="00A61924">
        <w:rPr>
          <w:rFonts w:ascii="Calibri" w:hAnsi="Calibri"/>
          <w:sz w:val="20"/>
          <w:szCs w:val="20"/>
        </w:rPr>
        <w:t>Revisit the exclusion of members of NSAG</w:t>
      </w:r>
      <w:r>
        <w:rPr>
          <w:rFonts w:ascii="Calibri" w:hAnsi="Calibri"/>
          <w:sz w:val="20"/>
          <w:szCs w:val="20"/>
        </w:rPr>
        <w:t>s</w:t>
      </w:r>
      <w:r w:rsidRPr="00A61924">
        <w:rPr>
          <w:rFonts w:ascii="Calibri" w:hAnsi="Calibri"/>
          <w:sz w:val="20"/>
          <w:szCs w:val="20"/>
        </w:rPr>
        <w:t xml:space="preserve"> from the case definition, especially given the recent decision to include members of government security forces.  This may encourage all injured individuals to seek VA services, regardless of political affiliation, and may identify previously unknown areas of ED contamination.</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V.B.2.c</w:t>
      </w:r>
      <w:r>
        <w:rPr>
          <w:rFonts w:ascii="Calibri" w:hAnsi="Calibri"/>
          <w:sz w:val="20"/>
          <w:szCs w:val="20"/>
        </w:rPr>
        <w:tab/>
      </w:r>
      <w:r>
        <w:rPr>
          <w:rFonts w:ascii="Calibri" w:hAnsi="Calibri"/>
          <w:sz w:val="20"/>
          <w:szCs w:val="20"/>
        </w:rPr>
        <w:tab/>
      </w:r>
      <w:r w:rsidRPr="00D61C8A">
        <w:rPr>
          <w:rFonts w:ascii="Calibri" w:hAnsi="Calibri"/>
          <w:sz w:val="20"/>
          <w:szCs w:val="20"/>
        </w:rPr>
        <w:t>Data quality</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“Data quality reflects the completeness and validity of the data recorded in the public health surveillance system.”</w:t>
      </w:r>
      <w:r w:rsidRPr="00784EE1">
        <w:rPr>
          <w:rStyle w:val="EndnoteReference"/>
          <w:rFonts w:ascii="Calibri" w:eastAsia="Cambria" w:hAnsi="Calibri"/>
          <w:sz w:val="20"/>
          <w:szCs w:val="20"/>
        </w:rPr>
        <w:endnoteReference w:id="194"/>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 xml:space="preserve">Data quality can be assessed by examining the clarity of surveillance forms and the percentage of unknown or blank responses on them, and by evaluating the quality of training and supervision of persons who complete surveillance form and of care exercised in data management.  Data quality is also related to sensitivity and </w:t>
      </w:r>
      <w:r>
        <w:rPr>
          <w:rFonts w:ascii="Calibri" w:eastAsia="Cambria" w:hAnsi="Calibri"/>
          <w:sz w:val="20"/>
          <w:szCs w:val="20"/>
        </w:rPr>
        <w:t>predictive value positive</w:t>
      </w:r>
      <w:r w:rsidRPr="00D61C8A">
        <w:rPr>
          <w:rFonts w:ascii="Calibri" w:eastAsia="Cambria" w:hAnsi="Calibri"/>
          <w:sz w:val="20"/>
          <w:szCs w:val="20"/>
        </w:rPr>
        <w:t>.</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 xml:space="preserve">The case definition utilized by this surveillance system is clear and relatively easy to apply; furthermore, the fact that data are always collected by the same individuals (DRs) in each district </w:t>
      </w:r>
      <w:r>
        <w:rPr>
          <w:rFonts w:ascii="Calibri" w:hAnsi="Calibri"/>
          <w:sz w:val="20"/>
          <w:szCs w:val="20"/>
        </w:rPr>
        <w:t>en</w:t>
      </w:r>
      <w:r w:rsidRPr="00D61C8A">
        <w:rPr>
          <w:rFonts w:ascii="Calibri" w:hAnsi="Calibri"/>
          <w:sz w:val="20"/>
          <w:szCs w:val="20"/>
        </w:rPr>
        <w:t>sures that the case definition is applied consistently for all potential cases</w:t>
      </w:r>
      <w:r>
        <w:rPr>
          <w:rFonts w:ascii="Calibri" w:hAnsi="Calibri"/>
          <w:sz w:val="20"/>
          <w:szCs w:val="20"/>
        </w:rPr>
        <w:t>.</w:t>
      </w:r>
    </w:p>
    <w:p w:rsidR="00B454FB" w:rsidRPr="00D61C8A" w:rsidRDefault="00B454FB" w:rsidP="00B454FB">
      <w:pPr>
        <w:pStyle w:val="ColorfulList-Accent11"/>
        <w:numPr>
          <w:ilvl w:val="0"/>
          <w:numId w:val="82"/>
        </w:numPr>
        <w:spacing w:line="276" w:lineRule="auto"/>
        <w:rPr>
          <w:rFonts w:ascii="Calibri" w:hAnsi="Calibri"/>
          <w:sz w:val="20"/>
          <w:szCs w:val="20"/>
        </w:rPr>
      </w:pPr>
      <w:r w:rsidRPr="00800CEF">
        <w:rPr>
          <w:rFonts w:ascii="Calibri" w:hAnsi="Calibri"/>
          <w:sz w:val="20"/>
          <w:szCs w:val="20"/>
        </w:rPr>
        <w:t>Passage of data through three (district, regional, and central) levels provides ample opportunity for quality control</w:t>
      </w:r>
      <w:r>
        <w:rPr>
          <w:rFonts w:ascii="Calibri" w:hAnsi="Calibri"/>
          <w:sz w:val="20"/>
          <w:szCs w:val="20"/>
        </w:rPr>
        <w:t>.</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When the FPMA sees omissions in data collection forms, he follows up with regional INSEC personnel and DRs</w:t>
      </w:r>
      <w:r>
        <w:rPr>
          <w:rFonts w:ascii="Calibri" w:hAnsi="Calibri"/>
          <w:sz w:val="20"/>
          <w:szCs w:val="20"/>
        </w:rPr>
        <w:t>.</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lastRenderedPageBreak/>
        <w:t>Very few data are missing in recent years; of all variables in the 2009 database (70 injuries), five had a 98.6</w:t>
      </w:r>
      <w:r>
        <w:rPr>
          <w:rFonts w:ascii="Calibri" w:hAnsi="Calibri"/>
          <w:sz w:val="20"/>
          <w:szCs w:val="20"/>
        </w:rPr>
        <w:t xml:space="preserve"> </w:t>
      </w:r>
      <w:r w:rsidRPr="00D61C8A">
        <w:rPr>
          <w:rFonts w:ascii="Calibri" w:hAnsi="Calibri"/>
          <w:sz w:val="20"/>
          <w:szCs w:val="20"/>
        </w:rPr>
        <w:t>% response rate, one had a 97.1</w:t>
      </w:r>
      <w:r>
        <w:rPr>
          <w:rFonts w:ascii="Calibri" w:hAnsi="Calibri"/>
          <w:sz w:val="20"/>
          <w:szCs w:val="20"/>
        </w:rPr>
        <w:t xml:space="preserve"> </w:t>
      </w:r>
      <w:r w:rsidRPr="00D61C8A">
        <w:rPr>
          <w:rFonts w:ascii="Calibri" w:hAnsi="Calibri"/>
          <w:sz w:val="20"/>
          <w:szCs w:val="20"/>
        </w:rPr>
        <w:t>% response rate and one had a 82.9</w:t>
      </w:r>
      <w:r>
        <w:rPr>
          <w:rFonts w:ascii="Calibri" w:hAnsi="Calibri"/>
          <w:sz w:val="20"/>
          <w:szCs w:val="20"/>
        </w:rPr>
        <w:t xml:space="preserve"> </w:t>
      </w:r>
      <w:r w:rsidRPr="00D61C8A">
        <w:rPr>
          <w:rFonts w:ascii="Calibri" w:hAnsi="Calibri"/>
          <w:sz w:val="20"/>
          <w:szCs w:val="20"/>
        </w:rPr>
        <w:t>% response rate (last grade passed); all other variables had a 100</w:t>
      </w:r>
      <w:r>
        <w:rPr>
          <w:rFonts w:ascii="Calibri" w:hAnsi="Calibri"/>
          <w:sz w:val="20"/>
          <w:szCs w:val="20"/>
        </w:rPr>
        <w:t xml:space="preserve"> </w:t>
      </w:r>
      <w:r w:rsidRPr="00D61C8A">
        <w:rPr>
          <w:rFonts w:ascii="Calibri" w:hAnsi="Calibri"/>
          <w:sz w:val="20"/>
          <w:szCs w:val="20"/>
        </w:rPr>
        <w:t>% response rate</w:t>
      </w:r>
      <w:r>
        <w:rPr>
          <w:rFonts w:ascii="Calibri" w:hAnsi="Calibri"/>
          <w:sz w:val="20"/>
          <w:szCs w:val="20"/>
        </w:rPr>
        <w:t>.</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The data c</w:t>
      </w:r>
      <w:r>
        <w:rPr>
          <w:rFonts w:ascii="Calibri" w:hAnsi="Calibri"/>
          <w:sz w:val="20"/>
          <w:szCs w:val="20"/>
        </w:rPr>
        <w:t>ollection form is simple to use.</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INSEC conducts quality control checks with system participants to check completion of data collection forms</w:t>
      </w:r>
      <w:r>
        <w:rPr>
          <w:rFonts w:ascii="Calibri" w:hAnsi="Calibri"/>
          <w:sz w:val="20"/>
          <w:szCs w:val="20"/>
        </w:rPr>
        <w:t>.</w:t>
      </w:r>
    </w:p>
    <w:p w:rsidR="00B454FB" w:rsidRPr="00D61C8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DRs are trained well to conduct data collection; data quality checks and constant communication with different levels of INSEC provide follow-up</w:t>
      </w:r>
      <w:r>
        <w:rPr>
          <w:rFonts w:ascii="Calibri" w:hAnsi="Calibri"/>
          <w:sz w:val="20"/>
          <w:szCs w:val="20"/>
        </w:rPr>
        <w:t>.</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Default="00B454FB" w:rsidP="00B454FB">
      <w:pPr>
        <w:pStyle w:val="ColorfulList-Accent11"/>
        <w:numPr>
          <w:ilvl w:val="0"/>
          <w:numId w:val="82"/>
        </w:numPr>
        <w:spacing w:line="276" w:lineRule="auto"/>
        <w:rPr>
          <w:rFonts w:ascii="Calibri" w:hAnsi="Calibri"/>
          <w:sz w:val="20"/>
          <w:szCs w:val="20"/>
        </w:rPr>
      </w:pPr>
      <w:r w:rsidRPr="002871B9">
        <w:rPr>
          <w:rFonts w:ascii="Calibri" w:hAnsi="Calibri"/>
          <w:sz w:val="20"/>
          <w:szCs w:val="20"/>
        </w:rPr>
        <w:t>The evaluation team found coding problems in the section labeled “Description of the injuries”.  This section consists of three components: one diagram (“Loss of”) in which DRs select checkboxes to indicate amputation or loss of eyesight or hearing; one diagram (“Other injuries”) in which DRs select checkboxes to indicate other injuries; and one narrative field (also “Other injuries”) in which DRs describe additional injury details.  The evaluation team noted three types of coding errors:</w:t>
      </w:r>
    </w:p>
    <w:p w:rsidR="00B454FB"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 xml:space="preserve">Injuries were described in the narrative “Other injuries” field but </w:t>
      </w:r>
      <w:r w:rsidRPr="002871B9">
        <w:rPr>
          <w:rFonts w:ascii="Calibri" w:hAnsi="Calibri"/>
          <w:b/>
          <w:sz w:val="20"/>
          <w:szCs w:val="20"/>
        </w:rPr>
        <w:t>no checkboxes</w:t>
      </w:r>
      <w:r w:rsidRPr="002871B9">
        <w:rPr>
          <w:rFonts w:ascii="Calibri" w:hAnsi="Calibri"/>
          <w:sz w:val="20"/>
          <w:szCs w:val="20"/>
        </w:rPr>
        <w:t xml:space="preserve"> were selected in either of the diagrams, indicating that injury data were available but incorrectly entered on the data collection form and in the database.  During the first six months of 2010, for example, 11 of 17 non-fatal civilian (non-police) cases were coded in this manner; 17 and 29 records were coded this way in 2009 and 2007, respectively.  Such miscoding may be occurring because DRs are uncomfortable with the English labels on the two diagrams or because they have been insufficiently trained.</w:t>
      </w:r>
    </w:p>
    <w:p w:rsidR="00B454FB"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 xml:space="preserve">Injuries were described in the narrative “Other injuries” field and </w:t>
      </w:r>
      <w:r w:rsidRPr="002871B9">
        <w:rPr>
          <w:rFonts w:ascii="Calibri" w:hAnsi="Calibri"/>
          <w:b/>
          <w:sz w:val="20"/>
          <w:szCs w:val="20"/>
        </w:rPr>
        <w:t>some but not all checkboxes</w:t>
      </w:r>
      <w:r w:rsidRPr="002871B9">
        <w:rPr>
          <w:rFonts w:ascii="Calibri" w:hAnsi="Calibri"/>
          <w:sz w:val="20"/>
          <w:szCs w:val="20"/>
        </w:rPr>
        <w:t xml:space="preserve"> were selected in either of the diagrams.  As with the error described above, this suggests that injury data were available but incorrectly coded.  For example, the following was entered for one case (CSN number 419 in the database) in the narrative field: “injuries in right hand, both legs below knee and eyes” and only one checkbox (“Leg” in the “Other injuries” diagram) was selected from either diagram.  In this case, “arm” and “head/neck” should also have been marked in the “Other injuries” diagram to indicate injuries to the right hand and the eyes.  It appears that the DR did not understand that “arm” on the diagram should include hand injuries and “head/neck” should include injuries to the face.</w:t>
      </w:r>
    </w:p>
    <w:p w:rsidR="00B454FB" w:rsidRPr="002871B9"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Injuries were described in the narrative “Other injuries” field without mention of injury locations.  Descriptions such as “small injuries in different parts of body” (CSN numbers 423 and 424) and “splinter injuries” (CSN numbers 248 and 249), for example, cannot be recoded in either of the diagrams because injury locations are unknown.</w:t>
      </w:r>
    </w:p>
    <w:p w:rsidR="00B454FB" w:rsidRDefault="00B454FB" w:rsidP="00B454FB">
      <w:pPr>
        <w:ind w:left="432"/>
        <w:rPr>
          <w:rFonts w:ascii="Calibri" w:hAnsi="Calibri"/>
          <w:sz w:val="20"/>
          <w:szCs w:val="20"/>
        </w:rPr>
      </w:pPr>
      <w:r w:rsidRPr="00BF261A">
        <w:rPr>
          <w:rFonts w:ascii="Calibri" w:hAnsi="Calibri"/>
          <w:sz w:val="20"/>
          <w:szCs w:val="20"/>
        </w:rPr>
        <w:t xml:space="preserve">As a result of these three types of coding errors, failure to code injury data correctly results in an inability to analyze data appropriately.  </w:t>
      </w:r>
    </w:p>
    <w:p w:rsidR="00B454FB" w:rsidRDefault="00B454FB" w:rsidP="00B454FB">
      <w:pPr>
        <w:pStyle w:val="ColorfulList-Accent11"/>
        <w:numPr>
          <w:ilvl w:val="0"/>
          <w:numId w:val="82"/>
        </w:numPr>
        <w:spacing w:line="276" w:lineRule="auto"/>
        <w:rPr>
          <w:rFonts w:ascii="Calibri" w:hAnsi="Calibri"/>
          <w:sz w:val="20"/>
          <w:szCs w:val="20"/>
        </w:rPr>
      </w:pPr>
      <w:r w:rsidRPr="00BF261A">
        <w:rPr>
          <w:rFonts w:ascii="Calibri" w:hAnsi="Calibri"/>
          <w:sz w:val="20"/>
          <w:szCs w:val="20"/>
        </w:rPr>
        <w:t xml:space="preserve">Answer options for “Occupation at the time of accident” are </w:t>
      </w:r>
      <w:r>
        <w:rPr>
          <w:rFonts w:ascii="Calibri" w:hAnsi="Calibri"/>
          <w:sz w:val="20"/>
          <w:szCs w:val="20"/>
        </w:rPr>
        <w:t>currently listed without checkboxes beneath the “Victim Description” table</w:t>
      </w:r>
      <w:r w:rsidRPr="00BF261A">
        <w:rPr>
          <w:rFonts w:ascii="Calibri" w:hAnsi="Calibri"/>
          <w:sz w:val="20"/>
          <w:szCs w:val="20"/>
        </w:rPr>
        <w:t xml:space="preserve">, and the answer space currently allotted for this field is insufficient.  As a result, DRs must write answers by hand in a very small space rather than marking a checkbox for this question. </w:t>
      </w:r>
    </w:p>
    <w:p w:rsidR="00B454FB" w:rsidRDefault="00B454FB" w:rsidP="00B454FB">
      <w:pPr>
        <w:pStyle w:val="ColorfulList-Accent11"/>
        <w:numPr>
          <w:ilvl w:val="0"/>
          <w:numId w:val="82"/>
        </w:numPr>
        <w:spacing w:line="276" w:lineRule="auto"/>
        <w:rPr>
          <w:rFonts w:ascii="Calibri" w:hAnsi="Calibri"/>
          <w:sz w:val="20"/>
          <w:szCs w:val="20"/>
        </w:rPr>
      </w:pPr>
      <w:r w:rsidRPr="002871B9">
        <w:rPr>
          <w:rFonts w:ascii="Calibri" w:hAnsi="Calibri"/>
          <w:sz w:val="20"/>
          <w:szCs w:val="20"/>
        </w:rPr>
        <w:t>Data referring to sources of information are not entered consistently in the data collection form and database.  Names of information sources and relationships of information sources to injured individuals are entered interchangeably in two fields: “Description of source or eyewitness” and “Type” on the data collection form (“SourceDesc” and “Type” in the database).  Information entered in the “Name/Address” field on the data collection form is not entered in the database.  Such inconsistencies may lead to confusion among DRs and compromise data quality.</w:t>
      </w:r>
    </w:p>
    <w:p w:rsidR="00B454FB" w:rsidRDefault="00B454FB" w:rsidP="00B454FB">
      <w:pPr>
        <w:pStyle w:val="ColorfulList-Accent11"/>
        <w:numPr>
          <w:ilvl w:val="0"/>
          <w:numId w:val="82"/>
        </w:numPr>
        <w:spacing w:line="276" w:lineRule="auto"/>
        <w:rPr>
          <w:rFonts w:ascii="Calibri" w:hAnsi="Calibri"/>
          <w:sz w:val="20"/>
          <w:szCs w:val="20"/>
        </w:rPr>
      </w:pPr>
      <w:r w:rsidRPr="002871B9">
        <w:rPr>
          <w:rFonts w:ascii="Calibri" w:hAnsi="Calibri"/>
          <w:sz w:val="20"/>
          <w:szCs w:val="20"/>
        </w:rPr>
        <w:t>Some fields are not labeled or arranged consistently in the data collection form and the database:</w:t>
      </w:r>
    </w:p>
    <w:p w:rsidR="00B454FB"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While CSN, ISN, VSN and SN are included in the database, only SN and CSN are included on the data collection form and they are not arranged in the same order as in the database;</w:t>
      </w:r>
    </w:p>
    <w:p w:rsidR="00B454FB"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The DR’s name is referred to as “prepared by” on the data collection form and “DR name” in the database; and</w:t>
      </w:r>
    </w:p>
    <w:p w:rsidR="00B454FB" w:rsidRPr="002871B9" w:rsidRDefault="00B454FB" w:rsidP="00B454FB">
      <w:pPr>
        <w:pStyle w:val="ColorfulList-Accent11"/>
        <w:numPr>
          <w:ilvl w:val="1"/>
          <w:numId w:val="82"/>
        </w:numPr>
        <w:spacing w:line="276" w:lineRule="auto"/>
        <w:rPr>
          <w:rFonts w:ascii="Calibri" w:hAnsi="Calibri"/>
          <w:sz w:val="20"/>
          <w:szCs w:val="20"/>
        </w:rPr>
      </w:pPr>
      <w:r w:rsidRPr="002871B9">
        <w:rPr>
          <w:rFonts w:ascii="Calibri" w:hAnsi="Calibri"/>
          <w:sz w:val="20"/>
          <w:szCs w:val="20"/>
        </w:rPr>
        <w:t xml:space="preserve">The three questions related to incident circumstances (“Who activated the ED?”, “How did the ED explode?” and “Activity at time of accident”) are not adjacent on the data collection form although they are adjacent in the database.  </w:t>
      </w:r>
    </w:p>
    <w:p w:rsidR="00B454FB" w:rsidRDefault="00B454FB" w:rsidP="00B454FB">
      <w:pPr>
        <w:spacing w:line="276" w:lineRule="auto"/>
        <w:ind w:left="288" w:firstLine="144"/>
        <w:rPr>
          <w:rFonts w:ascii="Calibri" w:hAnsi="Calibri"/>
          <w:sz w:val="20"/>
          <w:szCs w:val="20"/>
        </w:rPr>
      </w:pPr>
      <w:r w:rsidRPr="00BF261A">
        <w:rPr>
          <w:rFonts w:ascii="Calibri" w:hAnsi="Calibri"/>
          <w:sz w:val="20"/>
          <w:szCs w:val="20"/>
        </w:rPr>
        <w:t xml:space="preserve">Such inconsistencies may lead to confusion during data entry and </w:t>
      </w:r>
      <w:r>
        <w:rPr>
          <w:rFonts w:ascii="Calibri" w:hAnsi="Calibri"/>
          <w:sz w:val="20"/>
          <w:szCs w:val="20"/>
        </w:rPr>
        <w:t>compromise data quality</w:t>
      </w:r>
      <w:r w:rsidRPr="00BF261A">
        <w:rPr>
          <w:rFonts w:ascii="Calibri" w:hAnsi="Calibri"/>
          <w:sz w:val="20"/>
          <w:szCs w:val="20"/>
        </w:rPr>
        <w:t>.</w:t>
      </w:r>
    </w:p>
    <w:p w:rsidR="00B454FB" w:rsidRDefault="00B454FB" w:rsidP="00B454FB">
      <w:pPr>
        <w:pStyle w:val="ColorfulList-Accent11"/>
        <w:numPr>
          <w:ilvl w:val="0"/>
          <w:numId w:val="82"/>
        </w:numPr>
        <w:spacing w:line="276" w:lineRule="auto"/>
        <w:rPr>
          <w:rFonts w:ascii="Calibri" w:hAnsi="Calibri"/>
          <w:sz w:val="20"/>
          <w:szCs w:val="20"/>
        </w:rPr>
      </w:pPr>
      <w:r>
        <w:rPr>
          <w:rFonts w:ascii="Calibri" w:hAnsi="Calibri"/>
          <w:sz w:val="20"/>
          <w:szCs w:val="20"/>
        </w:rPr>
        <w:t>T</w:t>
      </w:r>
      <w:r w:rsidRPr="00BF261A">
        <w:rPr>
          <w:rFonts w:ascii="Calibri" w:hAnsi="Calibri"/>
          <w:sz w:val="20"/>
          <w:szCs w:val="20"/>
        </w:rPr>
        <w:t xml:space="preserve">he answer choices currently </w:t>
      </w:r>
      <w:r>
        <w:rPr>
          <w:rFonts w:ascii="Calibri" w:hAnsi="Calibri"/>
          <w:sz w:val="20"/>
          <w:szCs w:val="20"/>
        </w:rPr>
        <w:t>listed</w:t>
      </w:r>
      <w:r w:rsidRPr="00BF261A">
        <w:rPr>
          <w:rFonts w:ascii="Calibri" w:hAnsi="Calibri"/>
          <w:sz w:val="20"/>
          <w:szCs w:val="20"/>
        </w:rPr>
        <w:t xml:space="preserve"> </w:t>
      </w:r>
      <w:r>
        <w:rPr>
          <w:rFonts w:ascii="Calibri" w:hAnsi="Calibri"/>
          <w:sz w:val="20"/>
          <w:szCs w:val="20"/>
        </w:rPr>
        <w:t>f</w:t>
      </w:r>
      <w:r w:rsidRPr="00BF261A">
        <w:rPr>
          <w:rFonts w:ascii="Calibri" w:hAnsi="Calibri"/>
          <w:sz w:val="20"/>
          <w:szCs w:val="20"/>
        </w:rPr>
        <w:t>or “Type of ED” and “Occupation at the time of accident”</w:t>
      </w:r>
      <w:r>
        <w:rPr>
          <w:rFonts w:ascii="Calibri" w:hAnsi="Calibri"/>
          <w:sz w:val="20"/>
          <w:szCs w:val="20"/>
        </w:rPr>
        <w:t xml:space="preserve"> </w:t>
      </w:r>
      <w:r w:rsidRPr="00BF261A">
        <w:rPr>
          <w:rFonts w:ascii="Calibri" w:hAnsi="Calibri"/>
          <w:sz w:val="20"/>
          <w:szCs w:val="20"/>
        </w:rPr>
        <w:t xml:space="preserve">do not fully </w:t>
      </w:r>
      <w:r>
        <w:rPr>
          <w:rFonts w:ascii="Calibri" w:hAnsi="Calibri"/>
          <w:sz w:val="20"/>
          <w:szCs w:val="20"/>
        </w:rPr>
        <w:t>reflect</w:t>
      </w:r>
      <w:r w:rsidRPr="00BF261A">
        <w:rPr>
          <w:rFonts w:ascii="Calibri" w:hAnsi="Calibri"/>
          <w:sz w:val="20"/>
          <w:szCs w:val="20"/>
        </w:rPr>
        <w:t xml:space="preserve"> past and current trends.  They include answer choices that have never been </w:t>
      </w:r>
      <w:r>
        <w:rPr>
          <w:rFonts w:ascii="Calibri" w:hAnsi="Calibri"/>
          <w:sz w:val="20"/>
          <w:szCs w:val="20"/>
        </w:rPr>
        <w:t>selected</w:t>
      </w:r>
      <w:r w:rsidRPr="00BF261A">
        <w:rPr>
          <w:rFonts w:ascii="Calibri" w:hAnsi="Calibri"/>
          <w:sz w:val="20"/>
          <w:szCs w:val="20"/>
        </w:rPr>
        <w:t xml:space="preserve"> in the past (</w:t>
      </w:r>
      <w:r>
        <w:rPr>
          <w:rFonts w:ascii="Calibri" w:hAnsi="Calibri"/>
          <w:sz w:val="20"/>
          <w:szCs w:val="20"/>
        </w:rPr>
        <w:t>“</w:t>
      </w:r>
      <w:r w:rsidRPr="00BF261A">
        <w:rPr>
          <w:rFonts w:ascii="Calibri" w:hAnsi="Calibri"/>
          <w:sz w:val="20"/>
          <w:szCs w:val="20"/>
        </w:rPr>
        <w:t>bucket</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pressure cooker</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flag</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banner</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roadblock</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cartridge</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claymore type</w:t>
      </w:r>
      <w:r>
        <w:rPr>
          <w:rFonts w:ascii="Calibri" w:hAnsi="Calibri"/>
          <w:sz w:val="20"/>
          <w:szCs w:val="20"/>
        </w:rPr>
        <w:t>”</w:t>
      </w:r>
      <w:r w:rsidRPr="00BF261A">
        <w:rPr>
          <w:rFonts w:ascii="Calibri" w:hAnsi="Calibri"/>
          <w:sz w:val="20"/>
          <w:szCs w:val="20"/>
        </w:rPr>
        <w:t xml:space="preserve"> and </w:t>
      </w:r>
      <w:r>
        <w:rPr>
          <w:rFonts w:ascii="Calibri" w:hAnsi="Calibri"/>
          <w:sz w:val="20"/>
          <w:szCs w:val="20"/>
        </w:rPr>
        <w:t>“</w:t>
      </w:r>
      <w:r w:rsidRPr="00BF261A">
        <w:rPr>
          <w:rFonts w:ascii="Calibri" w:hAnsi="Calibri"/>
          <w:sz w:val="20"/>
          <w:szCs w:val="20"/>
        </w:rPr>
        <w:t>anti-vehicle mine</w:t>
      </w:r>
      <w:r>
        <w:rPr>
          <w:rFonts w:ascii="Calibri" w:hAnsi="Calibri"/>
          <w:sz w:val="20"/>
          <w:szCs w:val="20"/>
        </w:rPr>
        <w:t>”</w:t>
      </w:r>
      <w:r w:rsidRPr="00BF261A">
        <w:rPr>
          <w:rFonts w:ascii="Calibri" w:hAnsi="Calibri"/>
          <w:sz w:val="20"/>
          <w:szCs w:val="20"/>
        </w:rPr>
        <w:t xml:space="preserve"> for “Type of ED” and </w:t>
      </w:r>
      <w:r>
        <w:rPr>
          <w:rFonts w:ascii="Calibri" w:hAnsi="Calibri"/>
          <w:sz w:val="20"/>
          <w:szCs w:val="20"/>
        </w:rPr>
        <w:t>“</w:t>
      </w:r>
      <w:r w:rsidRPr="00BF261A">
        <w:rPr>
          <w:rFonts w:ascii="Calibri" w:hAnsi="Calibri"/>
          <w:sz w:val="20"/>
          <w:szCs w:val="20"/>
        </w:rPr>
        <w:t>health worker</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 xml:space="preserve">social </w:t>
      </w:r>
      <w:r w:rsidRPr="00BF261A">
        <w:rPr>
          <w:rFonts w:ascii="Calibri" w:hAnsi="Calibri"/>
          <w:sz w:val="20"/>
          <w:szCs w:val="20"/>
        </w:rPr>
        <w:lastRenderedPageBreak/>
        <w:t>worker</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political worker</w:t>
      </w:r>
      <w:r>
        <w:rPr>
          <w:rFonts w:ascii="Calibri" w:hAnsi="Calibri"/>
          <w:sz w:val="20"/>
          <w:szCs w:val="20"/>
        </w:rPr>
        <w:t>”</w:t>
      </w:r>
      <w:r w:rsidRPr="00BF261A">
        <w:rPr>
          <w:rFonts w:ascii="Calibri" w:hAnsi="Calibri"/>
          <w:sz w:val="20"/>
          <w:szCs w:val="20"/>
        </w:rPr>
        <w:t xml:space="preserve"> for “Occupation at the time of accident”</w:t>
      </w:r>
      <w:r>
        <w:rPr>
          <w:rFonts w:ascii="Calibri" w:hAnsi="Calibri"/>
          <w:sz w:val="20"/>
          <w:szCs w:val="20"/>
        </w:rPr>
        <w:t>)</w:t>
      </w:r>
      <w:r w:rsidRPr="00BF261A">
        <w:rPr>
          <w:rFonts w:ascii="Calibri" w:hAnsi="Calibri"/>
          <w:sz w:val="20"/>
          <w:szCs w:val="20"/>
        </w:rPr>
        <w:t xml:space="preserve"> and do not include some answer choices that</w:t>
      </w:r>
      <w:r>
        <w:rPr>
          <w:rFonts w:ascii="Calibri" w:hAnsi="Calibri"/>
          <w:sz w:val="20"/>
          <w:szCs w:val="20"/>
        </w:rPr>
        <w:t xml:space="preserve"> have </w:t>
      </w:r>
      <w:r w:rsidRPr="00BF261A">
        <w:rPr>
          <w:rFonts w:ascii="Calibri" w:hAnsi="Calibri"/>
          <w:sz w:val="20"/>
          <w:szCs w:val="20"/>
        </w:rPr>
        <w:t xml:space="preserve">been </w:t>
      </w:r>
      <w:r>
        <w:rPr>
          <w:rFonts w:ascii="Calibri" w:hAnsi="Calibri"/>
          <w:sz w:val="20"/>
          <w:szCs w:val="20"/>
        </w:rPr>
        <w:t>listed</w:t>
      </w:r>
      <w:r w:rsidRPr="00BF261A">
        <w:rPr>
          <w:rFonts w:ascii="Calibri" w:hAnsi="Calibri"/>
          <w:sz w:val="20"/>
          <w:szCs w:val="20"/>
        </w:rPr>
        <w:t xml:space="preserve"> </w:t>
      </w:r>
      <w:r>
        <w:rPr>
          <w:rFonts w:ascii="Calibri" w:hAnsi="Calibri"/>
          <w:sz w:val="20"/>
          <w:szCs w:val="20"/>
        </w:rPr>
        <w:t xml:space="preserve">in “Other” fields </w:t>
      </w:r>
      <w:r w:rsidRPr="00BF261A">
        <w:rPr>
          <w:rFonts w:ascii="Calibri" w:hAnsi="Calibri"/>
          <w:sz w:val="20"/>
          <w:szCs w:val="20"/>
        </w:rPr>
        <w:t>(</w:t>
      </w:r>
      <w:r>
        <w:rPr>
          <w:rFonts w:ascii="Calibri" w:hAnsi="Calibri"/>
          <w:sz w:val="20"/>
          <w:szCs w:val="20"/>
        </w:rPr>
        <w:t>“</w:t>
      </w:r>
      <w:r w:rsidRPr="00BF261A">
        <w:rPr>
          <w:rFonts w:ascii="Calibri" w:hAnsi="Calibri"/>
          <w:sz w:val="20"/>
          <w:szCs w:val="20"/>
        </w:rPr>
        <w:t>detonator</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SF defensive IED</w:t>
      </w:r>
      <w:r>
        <w:rPr>
          <w:rFonts w:ascii="Calibri" w:hAnsi="Calibri"/>
          <w:sz w:val="20"/>
          <w:szCs w:val="20"/>
        </w:rPr>
        <w:t>”</w:t>
      </w:r>
      <w:r w:rsidRPr="00BF261A">
        <w:rPr>
          <w:rFonts w:ascii="Calibri" w:hAnsi="Calibri"/>
          <w:sz w:val="20"/>
          <w:szCs w:val="20"/>
        </w:rPr>
        <w:t xml:space="preserve"> and </w:t>
      </w:r>
      <w:r>
        <w:rPr>
          <w:rFonts w:ascii="Calibri" w:hAnsi="Calibri"/>
          <w:sz w:val="20"/>
          <w:szCs w:val="20"/>
        </w:rPr>
        <w:t>“</w:t>
      </w:r>
      <w:r w:rsidRPr="00BF261A">
        <w:rPr>
          <w:rFonts w:ascii="Calibri" w:hAnsi="Calibri"/>
          <w:sz w:val="20"/>
          <w:szCs w:val="20"/>
        </w:rPr>
        <w:t>steel tiffin box bomb</w:t>
      </w:r>
      <w:r>
        <w:rPr>
          <w:rFonts w:ascii="Calibri" w:hAnsi="Calibri"/>
          <w:sz w:val="20"/>
          <w:szCs w:val="20"/>
        </w:rPr>
        <w:t>”</w:t>
      </w:r>
      <w:r w:rsidRPr="00BF261A">
        <w:rPr>
          <w:rFonts w:ascii="Calibri" w:hAnsi="Calibri"/>
          <w:sz w:val="20"/>
          <w:szCs w:val="20"/>
        </w:rPr>
        <w:t xml:space="preserve"> for “type of ED” and </w:t>
      </w:r>
      <w:r>
        <w:rPr>
          <w:rFonts w:ascii="Calibri" w:hAnsi="Calibri"/>
          <w:sz w:val="20"/>
          <w:szCs w:val="20"/>
        </w:rPr>
        <w:t>“</w:t>
      </w:r>
      <w:r w:rsidRPr="00BF261A">
        <w:rPr>
          <w:rFonts w:ascii="Calibri" w:hAnsi="Calibri"/>
          <w:sz w:val="20"/>
          <w:szCs w:val="20"/>
        </w:rPr>
        <w:t>child</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infant</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housewife</w:t>
      </w:r>
      <w:r>
        <w:rPr>
          <w:rFonts w:ascii="Calibri" w:hAnsi="Calibri"/>
          <w:sz w:val="20"/>
          <w:szCs w:val="20"/>
        </w:rPr>
        <w:t>”</w:t>
      </w:r>
      <w:r w:rsidRPr="00BF261A">
        <w:rPr>
          <w:rFonts w:ascii="Calibri" w:hAnsi="Calibri"/>
          <w:sz w:val="20"/>
          <w:szCs w:val="20"/>
        </w:rPr>
        <w:t xml:space="preserve">, </w:t>
      </w:r>
      <w:r>
        <w:rPr>
          <w:rFonts w:ascii="Calibri" w:hAnsi="Calibri"/>
          <w:sz w:val="20"/>
          <w:szCs w:val="20"/>
        </w:rPr>
        <w:t>“</w:t>
      </w:r>
      <w:r w:rsidRPr="00BF261A">
        <w:rPr>
          <w:rFonts w:ascii="Calibri" w:hAnsi="Calibri"/>
          <w:sz w:val="20"/>
          <w:szCs w:val="20"/>
        </w:rPr>
        <w:t>laborer</w:t>
      </w:r>
      <w:r>
        <w:rPr>
          <w:rFonts w:ascii="Calibri" w:hAnsi="Calibri"/>
          <w:sz w:val="20"/>
          <w:szCs w:val="20"/>
        </w:rPr>
        <w:t>”</w:t>
      </w:r>
      <w:r w:rsidRPr="00BF261A">
        <w:rPr>
          <w:rFonts w:ascii="Calibri" w:hAnsi="Calibri"/>
          <w:sz w:val="20"/>
          <w:szCs w:val="20"/>
        </w:rPr>
        <w:t xml:space="preserve">, </w:t>
      </w:r>
      <w:r>
        <w:rPr>
          <w:rFonts w:ascii="Calibri" w:hAnsi="Calibri"/>
          <w:sz w:val="20"/>
          <w:szCs w:val="20"/>
        </w:rPr>
        <w:t>and “</w:t>
      </w:r>
      <w:r w:rsidRPr="00BF261A">
        <w:rPr>
          <w:rFonts w:ascii="Calibri" w:hAnsi="Calibri"/>
          <w:sz w:val="20"/>
          <w:szCs w:val="20"/>
        </w:rPr>
        <w:t>police</w:t>
      </w:r>
      <w:r>
        <w:rPr>
          <w:rFonts w:ascii="Calibri" w:hAnsi="Calibri"/>
          <w:sz w:val="20"/>
          <w:szCs w:val="20"/>
        </w:rPr>
        <w:t>”</w:t>
      </w:r>
      <w:r w:rsidRPr="00BF261A">
        <w:rPr>
          <w:rFonts w:ascii="Calibri" w:hAnsi="Calibri"/>
          <w:sz w:val="20"/>
          <w:szCs w:val="20"/>
        </w:rPr>
        <w:t xml:space="preserve"> for “Occupation at the time of accident”).</w:t>
      </w:r>
    </w:p>
    <w:p w:rsidR="00B454FB" w:rsidRPr="002871B9" w:rsidRDefault="00B454FB" w:rsidP="00B454FB">
      <w:pPr>
        <w:pStyle w:val="ColorfulList-Accent11"/>
        <w:numPr>
          <w:ilvl w:val="0"/>
          <w:numId w:val="82"/>
        </w:numPr>
        <w:spacing w:line="276" w:lineRule="auto"/>
        <w:rPr>
          <w:rFonts w:ascii="Calibri" w:hAnsi="Calibri"/>
          <w:sz w:val="20"/>
          <w:szCs w:val="20"/>
        </w:rPr>
      </w:pPr>
      <w:r w:rsidRPr="002871B9">
        <w:rPr>
          <w:rFonts w:ascii="Calibri" w:hAnsi="Calibri"/>
          <w:sz w:val="20"/>
          <w:szCs w:val="20"/>
        </w:rPr>
        <w:t>It is difficult for the external viewer to understand database worksheets.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800CEF"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It is unclear whether data entry at the central level is subjected to quality control checks; this will become more i</w:t>
      </w:r>
      <w:r w:rsidRPr="001B6C2C">
        <w:rPr>
          <w:rFonts w:ascii="Calibri" w:hAnsi="Calibri"/>
          <w:sz w:val="20"/>
          <w:szCs w:val="20"/>
        </w:rPr>
        <w:t>mportant if the system changes to regional data entry.  On a related note, regional personnel should be cautious when interpreting data at the regional level, at which sample sizes are so small that conclusions may not be statistically significant.</w:t>
      </w:r>
    </w:p>
    <w:p w:rsidR="00B454FB"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sz w:val="20"/>
          <w:szCs w:val="20"/>
        </w:rPr>
        <w:t xml:space="preserve">It is not clear whether a distinction is made between </w:t>
      </w:r>
      <w:r>
        <w:rPr>
          <w:rFonts w:ascii="Calibri" w:hAnsi="Calibri"/>
          <w:sz w:val="20"/>
          <w:szCs w:val="20"/>
        </w:rPr>
        <w:t xml:space="preserve">unintentionally </w:t>
      </w:r>
      <w:r w:rsidRPr="00D61C8A">
        <w:rPr>
          <w:rFonts w:ascii="Calibri" w:hAnsi="Calibri"/>
          <w:sz w:val="20"/>
          <w:szCs w:val="20"/>
        </w:rPr>
        <w:t xml:space="preserve">skipped and </w:t>
      </w:r>
      <w:r>
        <w:rPr>
          <w:rFonts w:ascii="Calibri" w:hAnsi="Calibri"/>
          <w:sz w:val="20"/>
          <w:szCs w:val="20"/>
        </w:rPr>
        <w:t xml:space="preserve">intentionally </w:t>
      </w:r>
      <w:r w:rsidRPr="00D61C8A">
        <w:rPr>
          <w:rFonts w:ascii="Calibri" w:hAnsi="Calibri"/>
          <w:sz w:val="20"/>
          <w:szCs w:val="20"/>
        </w:rPr>
        <w:t xml:space="preserve">unanswered questions in the data collection form.  In the past, INSEC has found that all blank responses have </w:t>
      </w:r>
      <w:r>
        <w:rPr>
          <w:rFonts w:ascii="Calibri" w:hAnsi="Calibri"/>
          <w:sz w:val="20"/>
          <w:szCs w:val="20"/>
        </w:rPr>
        <w:t>occurred</w:t>
      </w:r>
      <w:r w:rsidRPr="00D61C8A">
        <w:rPr>
          <w:rFonts w:ascii="Calibri" w:hAnsi="Calibri"/>
          <w:sz w:val="20"/>
          <w:szCs w:val="20"/>
        </w:rPr>
        <w:t xml:space="preserve"> due to s</w:t>
      </w:r>
      <w:r>
        <w:rPr>
          <w:rFonts w:ascii="Calibri" w:hAnsi="Calibri"/>
          <w:sz w:val="20"/>
          <w:szCs w:val="20"/>
        </w:rPr>
        <w:t xml:space="preserve">kipped questions rather than </w:t>
      </w:r>
      <w:r w:rsidRPr="00D61C8A">
        <w:rPr>
          <w:rFonts w:ascii="Calibri" w:hAnsi="Calibri"/>
          <w:sz w:val="20"/>
          <w:szCs w:val="20"/>
        </w:rPr>
        <w:t>refusal on the part of respondents to answer particular questions.</w:t>
      </w:r>
    </w:p>
    <w:p w:rsidR="00B454FB" w:rsidRPr="00682FF2" w:rsidRDefault="00B454FB" w:rsidP="00B454FB">
      <w:pPr>
        <w:pStyle w:val="ColorfulList-Accent11"/>
        <w:numPr>
          <w:ilvl w:val="0"/>
          <w:numId w:val="82"/>
        </w:numPr>
        <w:spacing w:line="276" w:lineRule="auto"/>
        <w:rPr>
          <w:rFonts w:ascii="Calibri" w:hAnsi="Calibri"/>
          <w:sz w:val="20"/>
          <w:szCs w:val="20"/>
        </w:rPr>
      </w:pPr>
      <w:r w:rsidRPr="00682FF2">
        <w:rPr>
          <w:rFonts w:ascii="Calibri" w:hAnsi="Calibri"/>
          <w:sz w:val="20"/>
          <w:szCs w:val="20"/>
        </w:rPr>
        <w:t xml:space="preserve">Some questions on the data collection form may be challenging to code </w:t>
      </w:r>
      <w:r w:rsidR="00F64C45">
        <w:rPr>
          <w:rFonts w:ascii="Calibri" w:hAnsi="Calibri"/>
          <w:sz w:val="20"/>
          <w:szCs w:val="20"/>
        </w:rPr>
        <w:t xml:space="preserve">because terms used are not clear </w:t>
      </w:r>
      <w:r w:rsidRPr="00682FF2">
        <w:rPr>
          <w:rFonts w:ascii="Calibri" w:hAnsi="Calibri"/>
          <w:sz w:val="20"/>
          <w:szCs w:val="20"/>
        </w:rPr>
        <w:t xml:space="preserve">without </w:t>
      </w:r>
      <w:r w:rsidR="00F64C45">
        <w:rPr>
          <w:rFonts w:ascii="Calibri" w:hAnsi="Calibri"/>
          <w:sz w:val="20"/>
          <w:szCs w:val="20"/>
        </w:rPr>
        <w:t>explicit definitions</w:t>
      </w:r>
      <w:r w:rsidRPr="00682FF2">
        <w:rPr>
          <w:rFonts w:ascii="Calibri" w:hAnsi="Calibri"/>
          <w:sz w:val="20"/>
          <w:szCs w:val="20"/>
        </w:rPr>
        <w:t>.  These include “Was the area marked as dangerous?”, “Literacy”, “Economic status”, “Family size”, “Number of dependents” and “Did victim receive MRE before accident?”.  Failure to code these questions correctly could compromise data quality.</w:t>
      </w:r>
    </w:p>
    <w:p w:rsidR="00B454FB" w:rsidRPr="00682FF2" w:rsidRDefault="00B454FB" w:rsidP="00B454FB">
      <w:pPr>
        <w:pStyle w:val="ColorfulList-Accent11"/>
        <w:numPr>
          <w:ilvl w:val="0"/>
          <w:numId w:val="82"/>
        </w:numPr>
        <w:spacing w:line="276" w:lineRule="auto"/>
        <w:rPr>
          <w:rFonts w:ascii="Calibri" w:hAnsi="Calibri"/>
          <w:sz w:val="20"/>
          <w:szCs w:val="20"/>
        </w:rPr>
      </w:pPr>
      <w:r w:rsidRPr="00682FF2">
        <w:rPr>
          <w:rFonts w:ascii="Calibri" w:hAnsi="Calibri"/>
          <w:sz w:val="20"/>
          <w:szCs w:val="20"/>
        </w:rPr>
        <w:t xml:space="preserve"> “Did victim know activity was dangerous?” is currently asked of all participants, regardless of whether an individual’s activity at the time of the accident was dangerous.  Traveling and herding, for example, are not considered high-risk behaviors in all situations (in the absence of ED); posing the current question to participants who were not involved in high-risk behaviors may lead to confusion.</w:t>
      </w:r>
    </w:p>
    <w:p w:rsidR="00B454FB" w:rsidRPr="00D61C8A" w:rsidRDefault="00B454FB" w:rsidP="00B454FB">
      <w:pPr>
        <w:rPr>
          <w:rFonts w:ascii="Calibri"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Recommendations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Rename the narrative field currently labeled “Other injuries” on the data collection form as “Description of injuries” to better distinguish between this field and the diagram with the same name.  Change the name of this field from “Others” to “Description of injuries” in the database.</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DRs understand the difference between the two diagrams and can read and understand the English labels.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DRs understand how to select checkboxes in the “Other injuries” diagram.  “Head/neck”, for example, should be selected for all injuries to the eyes, ears, face, etc.; “arm” should be selected for all injuries to the fingers, wrists, hands, elbows, etc.</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Encourage DRs to select checkboxes on the two diagrams whenever possible </w:t>
      </w:r>
      <w:r w:rsidRPr="006F2F4A">
        <w:rPr>
          <w:rFonts w:ascii="Calibri" w:hAnsi="Calibri"/>
          <w:b/>
          <w:sz w:val="20"/>
          <w:szCs w:val="20"/>
        </w:rPr>
        <w:t>and</w:t>
      </w:r>
      <w:r w:rsidRPr="006F2F4A">
        <w:rPr>
          <w:rFonts w:ascii="Calibri" w:hAnsi="Calibri"/>
          <w:sz w:val="20"/>
          <w:szCs w:val="20"/>
        </w:rPr>
        <w:t xml:space="preserve"> to describe all injuries in the narrative “other injuries” field.  In this manner, the accuracy of data entered in the two diagrams can be validated using the narrative field.  Any descriptions in the narrative field should include locations of injuries.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Train data entry personnel who enter records into the database and regional- and central-level INSEC personnel who conduct quality checks to understand the concepts mentioned in the preceding three recommendations and to thoroughly check each record for errors.  In the future these personnel should be able to recognize coding errors, recode them correctly in the database and communicate with DRs to prevent future errors.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Review past records in which injuries were described in the narrative “Other injuries” field but checkboxes in the “Loss of” and “Other injuries” diagram fields were not selected sufficiently.  Wherever possible, select appropriate “Loss of” and “Other injuries” diagram columns in the database based on the descriptions available in the narrative “Other injuries” field.</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Consider completion of a “quick guide” for all data collection, entry and quality assurance personnel to draw attention to data entry concerns and recent changes to the data collection form and the database.</w:t>
      </w:r>
      <w:r w:rsidR="00103954">
        <w:rPr>
          <w:rFonts w:ascii="Calibri" w:hAnsi="Calibri"/>
          <w:sz w:val="20"/>
          <w:szCs w:val="20"/>
        </w:rPr>
        <w:t xml:space="preserve">  This guide could be included in the data collection form or printed as a laminated card or other separate document.  </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Remove the “Occupation at the time of accident” question from the “Victim Description” table and list it as a separate question with checkboxes for answer options, in the same format as “Activity at the time of accident”.  </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Create three data source categories on the data collection form and in the database: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“Source name” with a narrative field;</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 xml:space="preserve">“Source address” with a narrative field (may be omitted from the database if not considered necessary); and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“Relationship of source to victim” with the following answer choices: victim (self); witness family member; witness non-family member; non-witness family member; and non-witness non-family member.</w:t>
      </w:r>
    </w:p>
    <w:p w:rsidR="00B454FB" w:rsidRDefault="00B454FB" w:rsidP="00B454FB">
      <w:pPr>
        <w:pStyle w:val="ColorfulList-Accent11"/>
        <w:numPr>
          <w:ilvl w:val="0"/>
          <w:numId w:val="82"/>
        </w:numPr>
        <w:spacing w:line="276" w:lineRule="auto"/>
        <w:rPr>
          <w:rFonts w:ascii="Calibri" w:hAnsi="Calibri"/>
          <w:sz w:val="20"/>
          <w:szCs w:val="20"/>
        </w:rPr>
      </w:pPr>
      <w:r w:rsidRPr="00BF261A">
        <w:rPr>
          <w:rFonts w:ascii="Calibri" w:hAnsi="Calibri"/>
          <w:sz w:val="20"/>
          <w:szCs w:val="20"/>
        </w:rPr>
        <w:lastRenderedPageBreak/>
        <w:t>Ensure that all fields in the data collection form and database are labeled and arranged consistently:</w:t>
      </w:r>
    </w:p>
    <w:p w:rsidR="00B454FB" w:rsidRDefault="00B454FB" w:rsidP="00B454FB">
      <w:pPr>
        <w:pStyle w:val="ColorfulList-Accent11"/>
        <w:numPr>
          <w:ilvl w:val="1"/>
          <w:numId w:val="82"/>
        </w:numPr>
        <w:spacing w:line="276" w:lineRule="auto"/>
        <w:rPr>
          <w:rFonts w:ascii="Calibri" w:hAnsi="Calibri"/>
          <w:sz w:val="20"/>
          <w:szCs w:val="20"/>
        </w:rPr>
      </w:pPr>
      <w:r w:rsidRPr="00101F79">
        <w:rPr>
          <w:rFonts w:ascii="Calibri" w:hAnsi="Calibri"/>
          <w:sz w:val="20"/>
          <w:szCs w:val="20"/>
        </w:rPr>
        <w:t xml:space="preserve">Change the order of SN (record number assigned by DR) and CSN (casualty number) on the data collection form to match the order in the database and consider adding ISN (incident number) and VSN (number </w:t>
      </w:r>
      <w:r w:rsidR="00327ABA">
        <w:rPr>
          <w:rFonts w:ascii="Calibri" w:hAnsi="Calibri"/>
          <w:sz w:val="20"/>
          <w:szCs w:val="20"/>
        </w:rPr>
        <w:t xml:space="preserve">of casualties </w:t>
      </w:r>
      <w:r w:rsidRPr="00101F79">
        <w:rPr>
          <w:rFonts w:ascii="Calibri" w:hAnsi="Calibri"/>
          <w:sz w:val="20"/>
          <w:szCs w:val="20"/>
        </w:rPr>
        <w:t>per incident</w:t>
      </w:r>
      <w:r>
        <w:rPr>
          <w:rFonts w:ascii="Calibri" w:hAnsi="Calibri"/>
          <w:sz w:val="20"/>
          <w:szCs w:val="20"/>
        </w:rPr>
        <w:t xml:space="preserve">) </w:t>
      </w:r>
      <w:r w:rsidRPr="006F2F4A">
        <w:rPr>
          <w:rFonts w:ascii="Calibri" w:hAnsi="Calibri"/>
          <w:sz w:val="20"/>
          <w:szCs w:val="20"/>
        </w:rPr>
        <w:t>to the form.  Completion of ISN and VSN fields on the data collection form by data entry personnel could facilitate matching of data collection forms with database rows for necessary follow-up.</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Change “Prepared by” on the data collection form to “DR name” to match the database.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Place the three questions related to incident circumstances (“Who activated the ED?”, “How did the ED explode?” and “Activity at time of accident”) together on the data collection form to match the database.</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fields on the Nepali and English data collection forms are consistent.</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DRs understand and code answers to the following questions in a consistent manner: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“Was area marked as dangerous?”: this refers to official markings (such as a sign posted by the NA) and not unofficial markings (such as a piece of cloth tied to a fence by a community member);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“Literacy”: an injured individual is considered literate if he/she can read and write simple sentences in his/her mother tongue;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Family size”: family members are defined as those who have been using the same kitchen and sitting and eating together in the same home for the past six months;</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Number of dependents”: dependents are family members who rely on the injured individual for food, education, and other resources);</w:t>
      </w:r>
    </w:p>
    <w:p w:rsidR="00B454FB" w:rsidRDefault="00B454FB" w:rsidP="00B454FB">
      <w:pPr>
        <w:spacing w:line="276" w:lineRule="auto"/>
        <w:ind w:left="288"/>
        <w:rPr>
          <w:rFonts w:ascii="Calibri" w:hAnsi="Calibri"/>
          <w:sz w:val="20"/>
          <w:szCs w:val="20"/>
        </w:rPr>
      </w:pPr>
      <w:r>
        <w:rPr>
          <w:rFonts w:ascii="Calibri" w:hAnsi="Calibri"/>
          <w:sz w:val="20"/>
          <w:szCs w:val="20"/>
        </w:rPr>
        <w:t>Steps to ensure that these definitions are clear may include additional training of DRs, provision of a “quick guide” drawing attention to data quality concerns and/or additional clarification on the data collection form.</w:t>
      </w:r>
    </w:p>
    <w:p w:rsidR="00B454FB" w:rsidRDefault="00B454FB" w:rsidP="00B454FB">
      <w:pPr>
        <w:pStyle w:val="ColorfulList-Accent11"/>
        <w:numPr>
          <w:ilvl w:val="0"/>
          <w:numId w:val="82"/>
        </w:numPr>
        <w:spacing w:line="276" w:lineRule="auto"/>
        <w:rPr>
          <w:rFonts w:ascii="Calibri" w:hAnsi="Calibri"/>
          <w:b/>
          <w:sz w:val="20"/>
          <w:szCs w:val="20"/>
        </w:rPr>
      </w:pPr>
      <w:r w:rsidRPr="00BF261A">
        <w:rPr>
          <w:rFonts w:ascii="Calibri" w:hAnsi="Calibri"/>
          <w:sz w:val="20"/>
          <w:szCs w:val="20"/>
        </w:rPr>
        <w:t xml:space="preserve">Consider </w:t>
      </w:r>
      <w:r>
        <w:rPr>
          <w:rFonts w:ascii="Calibri" w:hAnsi="Calibri"/>
          <w:sz w:val="20"/>
          <w:szCs w:val="20"/>
        </w:rPr>
        <w:t>modifying</w:t>
      </w:r>
      <w:r w:rsidRPr="00BF261A">
        <w:rPr>
          <w:rFonts w:ascii="Calibri" w:hAnsi="Calibri"/>
          <w:sz w:val="20"/>
          <w:szCs w:val="20"/>
        </w:rPr>
        <w:t xml:space="preserve"> </w:t>
      </w:r>
      <w:r>
        <w:rPr>
          <w:rFonts w:ascii="Calibri" w:hAnsi="Calibri"/>
          <w:sz w:val="20"/>
          <w:szCs w:val="20"/>
        </w:rPr>
        <w:t>definitions of economic status and MRE to increase clarity</w:t>
      </w:r>
      <w:r w:rsidRPr="00BF261A">
        <w:rPr>
          <w:rFonts w:ascii="Calibri" w:hAnsi="Calibri"/>
          <w:sz w:val="20"/>
          <w:szCs w:val="20"/>
        </w:rPr>
        <w:t xml:space="preserve">: </w:t>
      </w:r>
    </w:p>
    <w:p w:rsidR="00B454FB"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Current options listed under “Economic status” are “lowest (family members must work to feed themselves)”, “lower (family has food surplus that will last six months)”, “middle (family has food surplus that will last one year)” and “higher (family has food surplus that will last more than one year)”.  The evaluation team suggests the following alternative options: “No food surplus”; “Food surplus for 1-6 months”; “Food surplus for 7-12 months”; and “Food surplus for &gt; 12 months”.</w:t>
      </w:r>
    </w:p>
    <w:p w:rsidR="00B454FB" w:rsidRPr="006F2F4A"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It may be desirable to differentiate between formal MRE (such as attendance at a session conducted by UNICEF or a partner organization) and informal MRE (such as looking at a leaflet passed along by a family member); some partners may wish to limit this data element to formal MRE to study the coverage of MRE programming).</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Adjust types of ED listed on the form and in the database to reflect past and current injury trends.  Remove answer choices that have never been chosen: “bucket”, “pressure cooker”, “flag”, “banner”, “roadblock”, “cartridge”, “claymore type” and “anti-vehicle mine” for “Type of ED” and “health worker”, “social worker”, “political worker” for “Occupation at the time of accident”.  Add some answer choices (such as “detonator” for “Type of ED” and “housewife”, “police” and “child” for “Occupation at the time of accident”) that have been entered frequently in “Other” fields in the past.  Please note that “removing roadblock/flag/banner” should be removed from the answer choices following “Activity at time of accident” if these ED types are removed from the list following “Type of ED”.  Such activities should be coded as one of the “Handling ED” choices.</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If partners are trying to understand the incidence of known risk behaviors (intentionally striking/throwing ED, handling ED, etc.), the data collection form may be changed to ensure that “Did victim know activity was dangerous?” is asked only of individuals who report high-risk behaviors at the time of the incident.  If partners prefer to continue asking this question of all respondents, they may wish to disaggregate responses by activity at time of accident during analysis.</w:t>
      </w:r>
    </w:p>
    <w:p w:rsidR="00B454FB" w:rsidRDefault="00B454FB" w:rsidP="00B454FB">
      <w:pPr>
        <w:pStyle w:val="ColorfulList-Accent11"/>
        <w:numPr>
          <w:ilvl w:val="0"/>
          <w:numId w:val="82"/>
        </w:numPr>
        <w:spacing w:line="276" w:lineRule="auto"/>
        <w:rPr>
          <w:rFonts w:ascii="Calibri" w:hAnsi="Calibri"/>
          <w:sz w:val="20"/>
          <w:szCs w:val="20"/>
        </w:rPr>
      </w:pPr>
      <w:r w:rsidRPr="00A61924">
        <w:rPr>
          <w:rFonts w:ascii="Calibri" w:hAnsi="Calibri"/>
          <w:sz w:val="20"/>
          <w:szCs w:val="20"/>
        </w:rPr>
        <w:t>Reconsider the idea of regional data entry; allowing more people access to the database may jeopardize data quality.  If the primary reason for considering this idea is to allow regional personnel to analyze their own data, it may be possible for the central office to send them the data separately.  On a related note, regional personnel should be cautious when interpreting data at the regional level, at which sample sizes are so small that conclusions may not be statistically significant.</w:t>
      </w:r>
    </w:p>
    <w:p w:rsidR="00B454FB" w:rsidRDefault="00B454FB" w:rsidP="00B454FB">
      <w:pPr>
        <w:pStyle w:val="ColorfulList-Accent11"/>
        <w:numPr>
          <w:ilvl w:val="0"/>
          <w:numId w:val="82"/>
        </w:numPr>
        <w:spacing w:line="276" w:lineRule="auto"/>
        <w:rPr>
          <w:rFonts w:ascii="Calibri" w:hAnsi="Calibri"/>
          <w:sz w:val="20"/>
          <w:szCs w:val="20"/>
        </w:rPr>
      </w:pPr>
      <w:r w:rsidRPr="00800CEF">
        <w:rPr>
          <w:rFonts w:ascii="Calibri" w:hAnsi="Calibri"/>
          <w:sz w:val="20"/>
          <w:szCs w:val="20"/>
        </w:rPr>
        <w:t>Clarify the naming and order of Microsoft Excel database worksheets.</w:t>
      </w:r>
    </w:p>
    <w:p w:rsidR="00B454FB" w:rsidRDefault="00B454FB" w:rsidP="00B454FB">
      <w:pPr>
        <w:pStyle w:val="ColorfulList-Accent11"/>
        <w:numPr>
          <w:ilvl w:val="0"/>
          <w:numId w:val="82"/>
        </w:numPr>
        <w:spacing w:line="276" w:lineRule="auto"/>
        <w:rPr>
          <w:rFonts w:ascii="Calibri" w:hAnsi="Calibri"/>
          <w:sz w:val="20"/>
          <w:szCs w:val="20"/>
        </w:rPr>
      </w:pPr>
      <w:r w:rsidRPr="00A61924">
        <w:rPr>
          <w:rFonts w:ascii="Calibri" w:hAnsi="Calibri"/>
          <w:sz w:val="20"/>
          <w:szCs w:val="20"/>
        </w:rPr>
        <w:t>Ensure that a mechanism exists to differentiate between unintentionally skipped and intentionally unanswered questions in the data collection form and database.  This mechanism can be as simple as using “x” to denote one and “?” the other, but should be appropriate for a Nepali data collection form.  DRs and data entry personnel should be trained in the new mechanism.</w:t>
      </w:r>
    </w:p>
    <w:p w:rsidR="00B454FB" w:rsidRPr="0007194A" w:rsidRDefault="00B454FB" w:rsidP="00B454FB">
      <w:pPr>
        <w:pStyle w:val="ColorfulList-Accent11"/>
        <w:numPr>
          <w:ilvl w:val="0"/>
          <w:numId w:val="82"/>
        </w:numPr>
        <w:spacing w:line="276" w:lineRule="auto"/>
        <w:rPr>
          <w:rFonts w:ascii="Calibri" w:hAnsi="Calibri"/>
          <w:sz w:val="20"/>
          <w:szCs w:val="20"/>
        </w:rPr>
      </w:pPr>
      <w:r w:rsidRPr="00D61C8A">
        <w:rPr>
          <w:rFonts w:ascii="Calibri" w:hAnsi="Calibri"/>
          <w:bCs/>
          <w:iCs/>
          <w:sz w:val="20"/>
          <w:szCs w:val="20"/>
        </w:rPr>
        <w:lastRenderedPageBreak/>
        <w:t>Revi</w:t>
      </w:r>
      <w:r>
        <w:rPr>
          <w:rFonts w:ascii="Calibri" w:hAnsi="Calibri"/>
          <w:bCs/>
          <w:iCs/>
          <w:sz w:val="20"/>
          <w:szCs w:val="20"/>
        </w:rPr>
        <w:t xml:space="preserve">ew definitions in </w:t>
      </w:r>
      <w:r w:rsidRPr="00D61C8A">
        <w:rPr>
          <w:rFonts w:ascii="Calibri" w:hAnsi="Calibri"/>
          <w:bCs/>
          <w:iCs/>
          <w:sz w:val="20"/>
          <w:szCs w:val="20"/>
        </w:rPr>
        <w:t xml:space="preserve">the question about the last </w:t>
      </w:r>
      <w:r>
        <w:rPr>
          <w:rFonts w:ascii="Calibri" w:hAnsi="Calibri"/>
          <w:bCs/>
          <w:iCs/>
          <w:sz w:val="20"/>
          <w:szCs w:val="20"/>
        </w:rPr>
        <w:t xml:space="preserve">school </w:t>
      </w:r>
      <w:r w:rsidRPr="00D61C8A">
        <w:rPr>
          <w:rFonts w:ascii="Calibri" w:hAnsi="Calibri"/>
          <w:bCs/>
          <w:iCs/>
          <w:sz w:val="20"/>
          <w:szCs w:val="20"/>
        </w:rPr>
        <w:t>grade passed with DR</w:t>
      </w:r>
      <w:r>
        <w:rPr>
          <w:rFonts w:ascii="Calibri" w:hAnsi="Calibri"/>
          <w:bCs/>
          <w:iCs/>
          <w:sz w:val="20"/>
          <w:szCs w:val="20"/>
        </w:rPr>
        <w:t>s</w:t>
      </w:r>
      <w:r w:rsidRPr="00800CEF">
        <w:rPr>
          <w:rFonts w:ascii="Calibri" w:hAnsi="Calibri"/>
          <w:sz w:val="20"/>
          <w:szCs w:val="20"/>
        </w:rPr>
        <w:t>; this question resulted in the lowest response rate (82.9 %) in 2009.</w:t>
      </w:r>
    </w:p>
    <w:p w:rsidR="00B454FB" w:rsidRPr="0007194A" w:rsidRDefault="00B454FB" w:rsidP="00B454FB">
      <w:pPr>
        <w:pStyle w:val="ColorfulList-Accent11"/>
        <w:numPr>
          <w:ilvl w:val="0"/>
          <w:numId w:val="82"/>
        </w:numPr>
        <w:spacing w:line="276" w:lineRule="auto"/>
        <w:rPr>
          <w:rFonts w:ascii="Calibri" w:hAnsi="Calibri"/>
          <w:sz w:val="20"/>
          <w:szCs w:val="20"/>
        </w:rPr>
      </w:pPr>
      <w:r w:rsidRPr="0007194A">
        <w:rPr>
          <w:rFonts w:ascii="Calibri" w:hAnsi="Calibri"/>
          <w:sz w:val="20"/>
          <w:szCs w:val="20"/>
        </w:rPr>
        <w:t>Clarify all case definitions and ensure that they are applied consistently in all districts.</w:t>
      </w:r>
    </w:p>
    <w:p w:rsidR="00B454FB" w:rsidRPr="00A61924" w:rsidRDefault="00B454FB" w:rsidP="00B454FB">
      <w:pPr>
        <w:pStyle w:val="ColorfulList-Accent11"/>
        <w:spacing w:line="276" w:lineRule="auto"/>
        <w:rPr>
          <w:rFonts w:ascii="Calibri"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V.B.2.d</w:t>
      </w:r>
      <w:r>
        <w:rPr>
          <w:rFonts w:ascii="Calibri" w:hAnsi="Calibri"/>
          <w:sz w:val="20"/>
          <w:szCs w:val="20"/>
        </w:rPr>
        <w:tab/>
      </w:r>
      <w:r>
        <w:rPr>
          <w:rFonts w:ascii="Calibri" w:hAnsi="Calibri"/>
          <w:sz w:val="20"/>
          <w:szCs w:val="20"/>
        </w:rPr>
        <w:tab/>
      </w:r>
      <w:r w:rsidRPr="00D61C8A">
        <w:rPr>
          <w:rFonts w:ascii="Calibri" w:hAnsi="Calibri"/>
          <w:sz w:val="20"/>
          <w:szCs w:val="20"/>
        </w:rPr>
        <w:t>Acceptability</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“Acceptability refers to the willingness of persons in the sponsoring agency that operates the system and persons outside the sponsoring agency (</w:t>
      </w:r>
      <w:r w:rsidRPr="00B952A2">
        <w:rPr>
          <w:rFonts w:ascii="Calibri" w:eastAsia="Cambria" w:hAnsi="Calibri"/>
          <w:b/>
          <w:i/>
          <w:sz w:val="20"/>
          <w:szCs w:val="20"/>
        </w:rPr>
        <w:t>e.g.</w:t>
      </w:r>
      <w:r w:rsidRPr="00D61C8A">
        <w:rPr>
          <w:rFonts w:ascii="Calibri" w:eastAsia="Cambria" w:hAnsi="Calibri"/>
          <w:b/>
          <w:sz w:val="20"/>
          <w:szCs w:val="20"/>
        </w:rPr>
        <w:t>, persons who are asked to report data) to use the system.”</w:t>
      </w:r>
      <w:r w:rsidRPr="00784EE1">
        <w:rPr>
          <w:rStyle w:val="EndnoteReference"/>
          <w:rFonts w:ascii="Calibri" w:eastAsia="Cambria" w:hAnsi="Calibri"/>
          <w:b/>
          <w:sz w:val="20"/>
          <w:szCs w:val="20"/>
        </w:rPr>
        <w:t xml:space="preserve"> </w:t>
      </w:r>
      <w:r w:rsidRPr="00784EE1">
        <w:rPr>
          <w:rStyle w:val="EndnoteReference"/>
          <w:rFonts w:ascii="Calibri" w:eastAsia="Cambria" w:hAnsi="Calibri"/>
          <w:sz w:val="20"/>
          <w:szCs w:val="20"/>
        </w:rPr>
        <w:endnoteReference w:id="195"/>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 xml:space="preserve">Acceptability can be assessed by considering the points of interaction between the system and its participants, including persons with the health-related event and those reporting cases.  Quantitative measures of acceptability can include subject participation rates, interview completion and question refusal rates, completeness of data forms, timeliness of data reporting and the ability of the system to protect privacy and confidentiality.  Acceptability must be assessed among all participants in the surveillance system: </w:t>
      </w:r>
      <w:r>
        <w:rPr>
          <w:rFonts w:ascii="Calibri" w:hAnsi="Calibri"/>
          <w:sz w:val="20"/>
          <w:szCs w:val="20"/>
        </w:rPr>
        <w:t>injured individual</w:t>
      </w:r>
      <w:r w:rsidRPr="00D61C8A">
        <w:rPr>
          <w:rFonts w:ascii="Calibri" w:eastAsia="Cambria" w:hAnsi="Calibri"/>
          <w:sz w:val="20"/>
          <w:szCs w:val="20"/>
        </w:rPr>
        <w:t>s and respondents, INSEC DRs who collect data, other INSEC personnel who are involved in the system, and other stakeholders.</w:t>
      </w:r>
    </w:p>
    <w:p w:rsidR="00B454FB" w:rsidRPr="00D61C8A" w:rsidRDefault="00B454FB" w:rsidP="00B454FB">
      <w:pPr>
        <w:spacing w:line="276" w:lineRule="auto"/>
        <w:rPr>
          <w:rFonts w:ascii="Calibri" w:hAnsi="Calibri" w:cs="Arial"/>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Default="00B454FB" w:rsidP="00B454FB">
      <w:pPr>
        <w:pStyle w:val="ColorfulList-Accent11"/>
        <w:numPr>
          <w:ilvl w:val="0"/>
          <w:numId w:val="83"/>
        </w:numPr>
        <w:spacing w:line="276" w:lineRule="auto"/>
        <w:rPr>
          <w:rFonts w:ascii="Calibri" w:hAnsi="Calibri" w:cs="Arial"/>
          <w:sz w:val="20"/>
          <w:szCs w:val="20"/>
        </w:rPr>
      </w:pPr>
      <w:r w:rsidRPr="00D61C8A">
        <w:rPr>
          <w:rFonts w:ascii="Calibri" w:hAnsi="Calibri" w:cs="Arial"/>
          <w:sz w:val="20"/>
          <w:szCs w:val="20"/>
        </w:rPr>
        <w:t>INSEC reports a 100 % participation rate among subjects; no injured individual or informant has ever refused to participate in data collection or refused to answer any particular question</w:t>
      </w:r>
      <w:r>
        <w:rPr>
          <w:rFonts w:ascii="Calibri" w:hAnsi="Calibri" w:cs="Arial"/>
          <w:sz w:val="20"/>
          <w:szCs w:val="20"/>
        </w:rPr>
        <w:t>.</w:t>
      </w:r>
    </w:p>
    <w:p w:rsidR="00B454FB" w:rsidRDefault="00B454FB" w:rsidP="00B454FB">
      <w:pPr>
        <w:pStyle w:val="ColorfulList-Accent11"/>
        <w:numPr>
          <w:ilvl w:val="0"/>
          <w:numId w:val="83"/>
        </w:numPr>
        <w:spacing w:line="276" w:lineRule="auto"/>
        <w:rPr>
          <w:rFonts w:ascii="Calibri" w:hAnsi="Calibri" w:cs="Arial"/>
          <w:sz w:val="20"/>
          <w:szCs w:val="20"/>
        </w:rPr>
      </w:pPr>
      <w:r w:rsidRPr="00800CEF">
        <w:rPr>
          <w:rFonts w:ascii="Calibri" w:hAnsi="Calibri" w:cs="Arial"/>
          <w:sz w:val="20"/>
          <w:szCs w:val="20"/>
        </w:rPr>
        <w:t xml:space="preserve">DRs usually find it easy to obtain information from </w:t>
      </w:r>
      <w:r w:rsidRPr="00800CEF">
        <w:rPr>
          <w:rFonts w:ascii="Calibri" w:hAnsi="Calibri"/>
          <w:sz w:val="20"/>
          <w:szCs w:val="20"/>
        </w:rPr>
        <w:t>injured individual</w:t>
      </w:r>
      <w:r w:rsidRPr="00800CEF">
        <w:rPr>
          <w:rFonts w:ascii="Calibri" w:hAnsi="Calibri" w:cs="Arial"/>
          <w:sz w:val="20"/>
          <w:szCs w:val="20"/>
        </w:rPr>
        <w:t>s and informants, and few data were missing in recent years</w:t>
      </w:r>
      <w:r>
        <w:rPr>
          <w:rFonts w:ascii="Calibri" w:hAnsi="Calibri" w:cs="Arial"/>
          <w:sz w:val="20"/>
          <w:szCs w:val="20"/>
        </w:rPr>
        <w:t>.</w:t>
      </w:r>
    </w:p>
    <w:p w:rsidR="00B454FB" w:rsidRDefault="00B454FB" w:rsidP="00B454FB">
      <w:pPr>
        <w:pStyle w:val="ColorfulList-Accent11"/>
        <w:numPr>
          <w:ilvl w:val="0"/>
          <w:numId w:val="83"/>
        </w:numPr>
        <w:spacing w:line="276" w:lineRule="auto"/>
        <w:rPr>
          <w:rFonts w:ascii="Calibri" w:hAnsi="Calibri" w:cs="Arial"/>
          <w:sz w:val="20"/>
          <w:szCs w:val="20"/>
        </w:rPr>
      </w:pPr>
      <w:r w:rsidRPr="00800CEF">
        <w:rPr>
          <w:rFonts w:ascii="Calibri" w:hAnsi="Calibri"/>
          <w:sz w:val="20"/>
          <w:szCs w:val="20"/>
        </w:rPr>
        <w:t xml:space="preserve">DRs’ knowledge of and reputations within their districts, often due to connections from former jobs in fields such as law </w:t>
      </w:r>
      <w:r>
        <w:rPr>
          <w:rFonts w:ascii="Calibri" w:hAnsi="Calibri"/>
          <w:sz w:val="20"/>
          <w:szCs w:val="20"/>
        </w:rPr>
        <w:t>and journalism, aid their work.</w:t>
      </w:r>
    </w:p>
    <w:p w:rsidR="00B454FB" w:rsidRDefault="00B454FB" w:rsidP="00B454FB">
      <w:pPr>
        <w:pStyle w:val="ColorfulList-Accent11"/>
        <w:numPr>
          <w:ilvl w:val="0"/>
          <w:numId w:val="83"/>
        </w:numPr>
        <w:spacing w:line="276" w:lineRule="auto"/>
        <w:rPr>
          <w:rFonts w:ascii="Calibri" w:hAnsi="Calibri" w:cs="Arial"/>
          <w:sz w:val="20"/>
          <w:szCs w:val="20"/>
        </w:rPr>
      </w:pPr>
      <w:r w:rsidRPr="00800CEF">
        <w:rPr>
          <w:rFonts w:ascii="Calibri" w:hAnsi="Calibri"/>
          <w:sz w:val="20"/>
          <w:szCs w:val="20"/>
        </w:rPr>
        <w:t>INSEC has reportedly built and enjoyed a good reputation in the field, and its district-level personnel were trusted during the conflict</w:t>
      </w:r>
      <w:r>
        <w:rPr>
          <w:rFonts w:ascii="Calibri" w:hAnsi="Calibri"/>
          <w:sz w:val="20"/>
          <w:szCs w:val="20"/>
        </w:rPr>
        <w:t>.</w:t>
      </w:r>
    </w:p>
    <w:p w:rsidR="00B454FB" w:rsidRPr="00800CEF" w:rsidRDefault="00B454FB" w:rsidP="00B454FB">
      <w:pPr>
        <w:pStyle w:val="ColorfulList-Accent11"/>
        <w:numPr>
          <w:ilvl w:val="0"/>
          <w:numId w:val="83"/>
        </w:numPr>
        <w:spacing w:line="276" w:lineRule="auto"/>
        <w:rPr>
          <w:rFonts w:ascii="Calibri" w:hAnsi="Calibri" w:cs="Arial"/>
          <w:sz w:val="20"/>
          <w:szCs w:val="20"/>
        </w:rPr>
      </w:pPr>
      <w:r w:rsidRPr="00800CEF">
        <w:rPr>
          <w:rFonts w:ascii="Calibri" w:hAnsi="Calibri"/>
          <w:sz w:val="20"/>
          <w:szCs w:val="20"/>
        </w:rPr>
        <w:t>Acceptability of INSEC reports is high; all but one of INSEC’s and UNICEF’s partners use INSEC surveillance data (see “Challenges” below)</w:t>
      </w:r>
      <w:r>
        <w:rPr>
          <w:rFonts w:ascii="Calibri" w:hAnsi="Calibri"/>
          <w:sz w:val="20"/>
          <w:szCs w:val="20"/>
        </w:rPr>
        <w:t>.</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Default="00B454FB" w:rsidP="00B454FB">
      <w:pPr>
        <w:pStyle w:val="ColorfulList-Accent11"/>
        <w:numPr>
          <w:ilvl w:val="0"/>
          <w:numId w:val="84"/>
        </w:numPr>
        <w:spacing w:line="276" w:lineRule="auto"/>
        <w:rPr>
          <w:rFonts w:ascii="Calibri" w:eastAsia="Cambria" w:hAnsi="Calibri"/>
          <w:b/>
          <w:sz w:val="20"/>
          <w:szCs w:val="20"/>
        </w:rPr>
      </w:pPr>
      <w:r w:rsidRPr="00D61C8A">
        <w:rPr>
          <w:rFonts w:ascii="Calibri" w:hAnsi="Calibri" w:cs="Arial"/>
          <w:sz w:val="20"/>
          <w:szCs w:val="20"/>
        </w:rPr>
        <w:t xml:space="preserve">Because reports are only published online, aggregate data are not </w:t>
      </w:r>
      <w:r>
        <w:rPr>
          <w:rFonts w:ascii="Calibri" w:hAnsi="Calibri" w:cs="Arial"/>
          <w:sz w:val="20"/>
          <w:szCs w:val="20"/>
        </w:rPr>
        <w:t>necessarily</w:t>
      </w:r>
      <w:r w:rsidRPr="00D61C8A">
        <w:rPr>
          <w:rFonts w:ascii="Calibri" w:hAnsi="Calibri" w:cs="Arial"/>
          <w:sz w:val="20"/>
          <w:szCs w:val="20"/>
        </w:rPr>
        <w:t xml:space="preserve"> seen by </w:t>
      </w:r>
      <w:r>
        <w:rPr>
          <w:rFonts w:ascii="Calibri" w:hAnsi="Calibri"/>
          <w:sz w:val="20"/>
          <w:szCs w:val="20"/>
        </w:rPr>
        <w:t>injured individual</w:t>
      </w:r>
      <w:r w:rsidRPr="00D61C8A">
        <w:rPr>
          <w:rFonts w:ascii="Calibri" w:hAnsi="Calibri" w:cs="Arial"/>
          <w:sz w:val="20"/>
          <w:szCs w:val="20"/>
        </w:rPr>
        <w:t>s and other informants</w:t>
      </w:r>
      <w:r>
        <w:rPr>
          <w:rFonts w:ascii="Calibri" w:hAnsi="Calibri" w:cs="Arial"/>
          <w:sz w:val="20"/>
          <w:szCs w:val="20"/>
        </w:rPr>
        <w:t>.</w:t>
      </w:r>
    </w:p>
    <w:p w:rsidR="00B454FB" w:rsidRPr="00800CEF" w:rsidRDefault="00B454FB" w:rsidP="00B454FB">
      <w:pPr>
        <w:pStyle w:val="ColorfulList-Accent11"/>
        <w:numPr>
          <w:ilvl w:val="0"/>
          <w:numId w:val="84"/>
        </w:numPr>
        <w:spacing w:line="276" w:lineRule="auto"/>
        <w:rPr>
          <w:rFonts w:ascii="Calibri" w:eastAsia="Cambria" w:hAnsi="Calibri"/>
          <w:b/>
          <w:sz w:val="20"/>
          <w:szCs w:val="20"/>
        </w:rPr>
      </w:pPr>
      <w:r w:rsidRPr="00800CEF">
        <w:rPr>
          <w:rFonts w:ascii="Calibri" w:hAnsi="Calibri"/>
          <w:sz w:val="20"/>
          <w:szCs w:val="20"/>
        </w:rPr>
        <w:t>NCBL uses its own data, which do not always differentiate between ED types or between intentional and victim-activated explosions, for advocacy and MRE activities</w:t>
      </w:r>
      <w:r>
        <w:rPr>
          <w:rFonts w:ascii="Calibri" w:hAnsi="Calibri"/>
          <w:sz w:val="20"/>
          <w:szCs w:val="20"/>
        </w:rPr>
        <w:t>.</w:t>
      </w:r>
    </w:p>
    <w:p w:rsidR="00B454FB" w:rsidRPr="00D61C8A" w:rsidRDefault="00B454FB" w:rsidP="00B454FB">
      <w:pPr>
        <w:pStyle w:val="ColorfulList-Accent11"/>
        <w:rPr>
          <w:rFonts w:ascii="Calibri"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Default="00B454FB" w:rsidP="00B454FB">
      <w:pPr>
        <w:pStyle w:val="ColorfulList-Accent11"/>
        <w:numPr>
          <w:ilvl w:val="0"/>
          <w:numId w:val="85"/>
        </w:numPr>
        <w:spacing w:line="276" w:lineRule="auto"/>
        <w:rPr>
          <w:rFonts w:ascii="Calibri" w:hAnsi="Calibri"/>
          <w:sz w:val="20"/>
          <w:szCs w:val="20"/>
        </w:rPr>
      </w:pPr>
      <w:r w:rsidRPr="00D61C8A">
        <w:rPr>
          <w:rFonts w:ascii="Calibri" w:hAnsi="Calibri" w:cs="Arial"/>
          <w:sz w:val="20"/>
          <w:szCs w:val="20"/>
        </w:rPr>
        <w:t>While no security or confidentiality concerns have arisen in the past (see Section V.A.2.g),</w:t>
      </w:r>
      <w:r>
        <w:rPr>
          <w:rFonts w:ascii="Calibri" w:hAnsi="Calibri" w:cs="Arial"/>
          <w:sz w:val="20"/>
          <w:szCs w:val="20"/>
        </w:rPr>
        <w:t xml:space="preserve"> it is unclear whether</w:t>
      </w:r>
      <w:r w:rsidRPr="00D61C8A">
        <w:rPr>
          <w:rFonts w:ascii="Calibri" w:hAnsi="Calibri" w:cs="Arial"/>
          <w:sz w:val="20"/>
          <w:szCs w:val="20"/>
        </w:rPr>
        <w:t xml:space="preserve"> adequate measures </w:t>
      </w:r>
      <w:r>
        <w:rPr>
          <w:rFonts w:ascii="Calibri" w:hAnsi="Calibri" w:cs="Arial"/>
          <w:sz w:val="20"/>
          <w:szCs w:val="20"/>
        </w:rPr>
        <w:t xml:space="preserve">are </w:t>
      </w:r>
      <w:r w:rsidRPr="00D61C8A">
        <w:rPr>
          <w:rFonts w:ascii="Calibri" w:hAnsi="Calibri" w:cs="Arial"/>
          <w:sz w:val="20"/>
          <w:szCs w:val="20"/>
        </w:rPr>
        <w:t>in place to protect the security and confid</w:t>
      </w:r>
      <w:r>
        <w:rPr>
          <w:rFonts w:ascii="Calibri" w:hAnsi="Calibri" w:cs="Arial"/>
          <w:sz w:val="20"/>
          <w:szCs w:val="20"/>
        </w:rPr>
        <w:t>entiality of informants and DRs.</w:t>
      </w:r>
    </w:p>
    <w:p w:rsidR="00B454FB" w:rsidRPr="00800CEF" w:rsidRDefault="00B454FB" w:rsidP="00B454FB">
      <w:pPr>
        <w:pStyle w:val="ColorfulList-Accent11"/>
        <w:numPr>
          <w:ilvl w:val="0"/>
          <w:numId w:val="85"/>
        </w:numPr>
        <w:spacing w:line="276" w:lineRule="auto"/>
        <w:rPr>
          <w:rFonts w:ascii="Calibri" w:hAnsi="Calibri"/>
          <w:sz w:val="20"/>
          <w:szCs w:val="20"/>
        </w:rPr>
      </w:pPr>
      <w:r w:rsidRPr="00800CEF">
        <w:rPr>
          <w:rFonts w:ascii="Calibri" w:hAnsi="Calibri"/>
          <w:sz w:val="20"/>
          <w:szCs w:val="20"/>
        </w:rPr>
        <w:t>Because reports are only published online, DRs who do not have Internet access cannot read reports; in 2010 the FPMA plans to publish the 2009 report and distribute it to DRs</w:t>
      </w:r>
      <w:r>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Recommendations</w:t>
      </w:r>
    </w:p>
    <w:p w:rsidR="00B454FB" w:rsidRDefault="00B454FB" w:rsidP="00B454FB">
      <w:pPr>
        <w:pStyle w:val="ColorfulList-Accent11"/>
        <w:numPr>
          <w:ilvl w:val="0"/>
          <w:numId w:val="86"/>
        </w:numPr>
        <w:spacing w:line="276" w:lineRule="auto"/>
        <w:rPr>
          <w:rFonts w:ascii="Calibri" w:eastAsia="Cambria" w:hAnsi="Calibri"/>
          <w:sz w:val="20"/>
          <w:szCs w:val="20"/>
        </w:rPr>
      </w:pPr>
      <w:r w:rsidRPr="00D61C8A">
        <w:rPr>
          <w:rFonts w:ascii="Calibri" w:eastAsia="Cambria" w:hAnsi="Calibri"/>
          <w:sz w:val="20"/>
          <w:szCs w:val="20"/>
        </w:rPr>
        <w:t xml:space="preserve">Improve the accessibility of reports for surveillance system informants and DRs.  Steps may include translating reports into Nepali, renaming the reports posted online for better clarity, or providing access to printed reports.  Special attention may be required to </w:t>
      </w:r>
      <w:r>
        <w:rPr>
          <w:rFonts w:ascii="Calibri" w:eastAsia="Cambria" w:hAnsi="Calibri"/>
          <w:sz w:val="20"/>
          <w:szCs w:val="20"/>
        </w:rPr>
        <w:t>en</w:t>
      </w:r>
      <w:r w:rsidRPr="00D61C8A">
        <w:rPr>
          <w:rFonts w:ascii="Calibri" w:eastAsia="Cambria" w:hAnsi="Calibri"/>
          <w:sz w:val="20"/>
          <w:szCs w:val="20"/>
        </w:rPr>
        <w:t>sure that results reach communities wh</w:t>
      </w:r>
      <w:r>
        <w:rPr>
          <w:rFonts w:ascii="Calibri" w:eastAsia="Cambria" w:hAnsi="Calibri"/>
          <w:sz w:val="20"/>
          <w:szCs w:val="20"/>
        </w:rPr>
        <w:t>o</w:t>
      </w:r>
      <w:r w:rsidRPr="00D61C8A">
        <w:rPr>
          <w:rFonts w:ascii="Calibri" w:eastAsia="Cambria" w:hAnsi="Calibri"/>
          <w:sz w:val="20"/>
          <w:szCs w:val="20"/>
        </w:rPr>
        <w:t xml:space="preserve"> speak languages other than Nepali or have low literacy levels.</w:t>
      </w:r>
    </w:p>
    <w:p w:rsidR="00B454FB" w:rsidRDefault="00B454FB" w:rsidP="00B454FB">
      <w:pPr>
        <w:pStyle w:val="ColorfulList-Accent11"/>
        <w:numPr>
          <w:ilvl w:val="0"/>
          <w:numId w:val="86"/>
        </w:numPr>
        <w:spacing w:line="276" w:lineRule="auto"/>
        <w:rPr>
          <w:rFonts w:ascii="Calibri" w:eastAsia="Cambria" w:hAnsi="Calibri"/>
          <w:sz w:val="20"/>
          <w:szCs w:val="20"/>
        </w:rPr>
      </w:pPr>
      <w:r w:rsidRPr="00800CEF">
        <w:rPr>
          <w:rFonts w:ascii="Calibri" w:eastAsia="Cambria" w:hAnsi="Calibri"/>
          <w:sz w:val="20"/>
          <w:szCs w:val="20"/>
        </w:rPr>
        <w:t>Encourage all MA stakeholders to use INSEC surveillance data, explaining the benefits of using better data to drive advocacy and MRE activities.</w:t>
      </w:r>
    </w:p>
    <w:p w:rsidR="00B454FB" w:rsidRPr="00800CEF" w:rsidRDefault="00B454FB" w:rsidP="00B454FB">
      <w:pPr>
        <w:pStyle w:val="ColorfulList-Accent11"/>
        <w:numPr>
          <w:ilvl w:val="0"/>
          <w:numId w:val="86"/>
        </w:numPr>
        <w:spacing w:line="276" w:lineRule="auto"/>
        <w:rPr>
          <w:rFonts w:ascii="Calibri" w:eastAsia="Cambria" w:hAnsi="Calibri"/>
          <w:sz w:val="20"/>
          <w:szCs w:val="20"/>
        </w:rPr>
      </w:pPr>
      <w:r w:rsidRPr="00800CEF">
        <w:rPr>
          <w:rFonts w:ascii="Calibri" w:hAnsi="Calibri" w:cs="Arial"/>
          <w:sz w:val="20"/>
          <w:szCs w:val="20"/>
        </w:rPr>
        <w:t>Ensure that adequate measures are in place to protect the security and confidentiality of informants and DRs.</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br w:type="page"/>
      </w:r>
      <w:r>
        <w:rPr>
          <w:rFonts w:ascii="Calibri" w:hAnsi="Calibri"/>
          <w:sz w:val="20"/>
          <w:szCs w:val="20"/>
        </w:rPr>
        <w:lastRenderedPageBreak/>
        <w:t>V.B.2.e</w:t>
      </w:r>
      <w:r>
        <w:rPr>
          <w:rFonts w:ascii="Calibri" w:hAnsi="Calibri"/>
          <w:sz w:val="20"/>
          <w:szCs w:val="20"/>
        </w:rPr>
        <w:tab/>
      </w:r>
      <w:r>
        <w:rPr>
          <w:rFonts w:ascii="Calibri" w:hAnsi="Calibri"/>
          <w:sz w:val="20"/>
          <w:szCs w:val="20"/>
        </w:rPr>
        <w:tab/>
      </w:r>
      <w:r w:rsidRPr="00D61C8A">
        <w:rPr>
          <w:rFonts w:ascii="Calibri" w:hAnsi="Calibri"/>
          <w:sz w:val="20"/>
          <w:szCs w:val="20"/>
        </w:rPr>
        <w:t>Sensitivity</w:t>
      </w:r>
    </w:p>
    <w:p w:rsidR="00B454FB" w:rsidRPr="00D61C8A" w:rsidRDefault="00B454FB" w:rsidP="00B454FB">
      <w:pPr>
        <w:spacing w:line="276" w:lineRule="auto"/>
        <w:rPr>
          <w:rFonts w:ascii="Calibri" w:eastAsia="Cambria" w:hAnsi="Calibri"/>
          <w:b/>
          <w:sz w:val="20"/>
          <w:szCs w:val="20"/>
        </w:rPr>
      </w:pPr>
    </w:p>
    <w:p w:rsidR="00B454FB" w:rsidRPr="00784EE1"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b/>
          <w:sz w:val="20"/>
          <w:szCs w:val="20"/>
        </w:rPr>
        <w:t>“Sensitivity can be considered on two levels.  First, at the level of case reporting, sensitivity refers to the proportion of cases of a disease (or other health-related event) detected by the surveillance system.  Second, sensitivity can refer to the ability to detect [increases in cases], including the ability to monitor changes in the number of cases over time.”</w:t>
      </w:r>
      <w:r w:rsidRPr="00784EE1">
        <w:rPr>
          <w:rStyle w:val="EndnoteReference"/>
          <w:rFonts w:ascii="Calibri" w:eastAsia="Cambria" w:hAnsi="Calibri"/>
          <w:sz w:val="20"/>
          <w:szCs w:val="20"/>
        </w:rPr>
        <w:endnoteReference w:id="196"/>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Measurement of the sensitivity requires a) collection of or access to data usually external to the system to determine the true frequency of the condition in the population under surveillance; and b) validation of the data collected by the system.  In addition, sensitivity can be assessed through estimations of the total cases in the population under surveillance by using capture-recapture techniques.</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The sensitivity of a surveillance system is best measured by comparison with a “gold standard” mechanism which you are confident includes all “true” cases.  In the absence of such a gold standard, it is possible to make some assumptions about the system by examining other characteristics.</w:t>
      </w:r>
    </w:p>
    <w:p w:rsidR="00B454FB" w:rsidRPr="00D61C8A" w:rsidRDefault="00B454FB" w:rsidP="00B454FB">
      <w:pPr>
        <w:tabs>
          <w:tab w:val="left" w:pos="4950"/>
        </w:tabs>
        <w:rPr>
          <w:rFonts w:ascii="Calibri" w:hAnsi="Calibri" w:cs="Arial"/>
          <w:color w:val="000080"/>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Successes</w:t>
      </w:r>
    </w:p>
    <w:p w:rsidR="00B454FB" w:rsidRPr="00D61C8A" w:rsidRDefault="00B454FB" w:rsidP="00B454FB">
      <w:pPr>
        <w:pStyle w:val="ColorfulList-Accent11"/>
        <w:numPr>
          <w:ilvl w:val="0"/>
          <w:numId w:val="87"/>
        </w:numPr>
        <w:rPr>
          <w:rFonts w:ascii="Calibri" w:hAnsi="Calibri"/>
          <w:sz w:val="20"/>
          <w:szCs w:val="20"/>
        </w:rPr>
      </w:pPr>
      <w:r w:rsidRPr="00D61C8A">
        <w:rPr>
          <w:rFonts w:ascii="Calibri" w:eastAsia="Cambria" w:hAnsi="Calibri"/>
          <w:sz w:val="20"/>
          <w:szCs w:val="20"/>
        </w:rPr>
        <w:t>The system uses active surveillance, which is likely to lead to higher sensitivity than passive surveillance</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D61C8A">
        <w:rPr>
          <w:rFonts w:ascii="Calibri" w:eastAsia="Cambria" w:hAnsi="Calibri"/>
          <w:sz w:val="20"/>
          <w:szCs w:val="20"/>
        </w:rPr>
        <w:t xml:space="preserve">The case definition is clear and easy to apply, even without specific medical knowledge; it would be difficult to </w:t>
      </w:r>
      <w:r>
        <w:rPr>
          <w:rFonts w:ascii="Calibri" w:eastAsia="Cambria" w:hAnsi="Calibri"/>
          <w:sz w:val="20"/>
          <w:szCs w:val="20"/>
        </w:rPr>
        <w:t>fail to capture</w:t>
      </w:r>
      <w:r w:rsidRPr="00D61C8A">
        <w:rPr>
          <w:rFonts w:ascii="Calibri" w:eastAsia="Cambria" w:hAnsi="Calibri"/>
          <w:sz w:val="20"/>
          <w:szCs w:val="20"/>
        </w:rPr>
        <w:t xml:space="preserve"> a potential case under consideration</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INSEC reports no instances in which suspected cases have been reported, investigated and excluded from the surveillance system</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Explosions are very public events; they are likely to be captured more readily than some health events that are more private</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Because VAE injures are relatively rare compared with other health outcomes, an elevation in cases in a certain place or time will be noticeable; INSEC has already noted increases in certain districts and among certain age groups, after which UNICEF has responded by altering its MRE and other MA activities accordingly</w:t>
      </w:r>
      <w:r>
        <w:rPr>
          <w:rFonts w:ascii="Calibri" w:eastAsia="Cambria"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Unknowns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 xml:space="preserve">UNICEF’s 2007 KAP survey found that some individuals did not report VAE injuries due to fear of retaliation from parties to the conflict </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Sensitivity is difficult to determine for this system due to the lack of a “gold standard” for measuring VAE injury.  However, conduct of “capture-recapture” research, in which two or more datasets are compared for overlap, could reveal more about the sensitivity of this system.  It may be possible to conduct such research by comparing INSEC and NCBL data in the future.</w:t>
      </w:r>
    </w:p>
    <w:p w:rsidR="00B454FB" w:rsidRPr="00D61C8A" w:rsidRDefault="00B454FB" w:rsidP="00B454FB">
      <w:pPr>
        <w:rPr>
          <w:rFonts w:ascii="Calibri" w:hAnsi="Calibri"/>
          <w:sz w:val="20"/>
          <w:szCs w:val="20"/>
        </w:rPr>
      </w:pPr>
    </w:p>
    <w:p w:rsidR="00B454FB" w:rsidRPr="00960FE2" w:rsidRDefault="00B454FB" w:rsidP="00B454FB">
      <w:pPr>
        <w:rPr>
          <w:rFonts w:ascii="Calibri" w:hAnsi="Calibri"/>
          <w:sz w:val="20"/>
          <w:szCs w:val="20"/>
        </w:rPr>
      </w:pPr>
      <w:r w:rsidRPr="00D61C8A">
        <w:rPr>
          <w:rFonts w:ascii="Calibri" w:hAnsi="Calibri"/>
          <w:sz w:val="20"/>
          <w:szCs w:val="20"/>
        </w:rPr>
        <w:t>Recommendatio</w:t>
      </w:r>
      <w:r w:rsidRPr="00960FE2">
        <w:rPr>
          <w:rFonts w:ascii="Calibri" w:hAnsi="Calibri"/>
          <w:sz w:val="20"/>
          <w:szCs w:val="20"/>
        </w:rPr>
        <w:t>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Address fears of repercussions for reporting among communities through public campaigns or other appropriate means.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 xml:space="preserve">Ensure that a mechanism has been created to incorporate NA and other </w:t>
      </w:r>
      <w:r>
        <w:rPr>
          <w:rFonts w:ascii="Calibri" w:eastAsia="Cambria" w:hAnsi="Calibri"/>
          <w:sz w:val="20"/>
          <w:szCs w:val="20"/>
        </w:rPr>
        <w:t>government</w:t>
      </w:r>
      <w:r w:rsidRPr="00800CEF">
        <w:rPr>
          <w:rFonts w:ascii="Calibri" w:eastAsia="Cambria" w:hAnsi="Calibri"/>
          <w:sz w:val="20"/>
          <w:szCs w:val="20"/>
        </w:rPr>
        <w:t xml:space="preserve"> security forces injury data into the data collection process, in accordance with the recent decision to include members of government security forces in the case definition.</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Investigate the possibility of conducting a “capture-recapture” comparison of INSEC data with those of other sources (including NCBL, the Nepal Police and HimRights) to reveal more about the sensitivity of the system.</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V.B.2.f</w:t>
      </w:r>
      <w:r>
        <w:rPr>
          <w:rFonts w:ascii="Calibri" w:hAnsi="Calibri"/>
          <w:sz w:val="20"/>
          <w:szCs w:val="20"/>
        </w:rPr>
        <w:tab/>
      </w:r>
      <w:r>
        <w:rPr>
          <w:rFonts w:ascii="Calibri" w:hAnsi="Calibri"/>
          <w:sz w:val="20"/>
          <w:szCs w:val="20"/>
        </w:rPr>
        <w:tab/>
      </w:r>
      <w:r w:rsidRPr="00D61C8A">
        <w:rPr>
          <w:rFonts w:ascii="Calibri" w:hAnsi="Calibri"/>
          <w:sz w:val="20"/>
          <w:szCs w:val="20"/>
        </w:rPr>
        <w:t xml:space="preserve"> Predictive value positive</w:t>
      </w:r>
    </w:p>
    <w:p w:rsidR="00B454FB" w:rsidRPr="00D61C8A" w:rsidRDefault="00B454FB" w:rsidP="00B454FB">
      <w:pPr>
        <w:rPr>
          <w:rFonts w:ascii="Calibri" w:hAnsi="Calibri"/>
          <w:sz w:val="20"/>
          <w:szCs w:val="20"/>
        </w:rPr>
      </w:pPr>
    </w:p>
    <w:p w:rsidR="00B454FB" w:rsidRPr="00784EE1"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b/>
          <w:sz w:val="20"/>
          <w:szCs w:val="20"/>
        </w:rPr>
        <w:t>“Predictive value positive (PVP) is the proportion of reported cases that actually have the health-related event under surveillance…</w:t>
      </w:r>
      <w:r w:rsidRPr="00D61C8A">
        <w:rPr>
          <w:rFonts w:ascii="Calibri" w:hAnsi="Calibri" w:cs="Arial"/>
          <w:b/>
          <w:sz w:val="20"/>
          <w:szCs w:val="20"/>
        </w:rPr>
        <w:t xml:space="preserve"> At the level of case detection, PVP affects the amount of resources used for case investigations….</w:t>
      </w:r>
      <w:r w:rsidRPr="00D61C8A">
        <w:rPr>
          <w:rFonts w:ascii="Calibri" w:eastAsia="Cambria" w:hAnsi="Calibri" w:cs="Times-Roman"/>
          <w:b/>
          <w:sz w:val="20"/>
          <w:szCs w:val="20"/>
        </w:rPr>
        <w:t xml:space="preserve"> At the level of outbreak (or epidemic) detection, a high rate of erroneous case reports might trigger an inappropriate outbreak investigation.</w:t>
      </w:r>
      <w:r w:rsidRPr="00D61C8A">
        <w:rPr>
          <w:rFonts w:ascii="Calibri" w:eastAsia="Cambria" w:hAnsi="Calibri"/>
          <w:b/>
          <w:sz w:val="20"/>
          <w:szCs w:val="20"/>
        </w:rPr>
        <w:t>”</w:t>
      </w:r>
      <w:r w:rsidRPr="00784EE1">
        <w:rPr>
          <w:rStyle w:val="EndnoteReference"/>
          <w:rFonts w:ascii="Calibri" w:eastAsia="Cambria" w:hAnsi="Calibri"/>
          <w:sz w:val="20"/>
          <w:szCs w:val="20"/>
        </w:rPr>
        <w:endnoteReference w:id="197"/>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hAnsi="Calibri" w:cs="Arial"/>
          <w:sz w:val="20"/>
          <w:szCs w:val="20"/>
        </w:rPr>
        <w:t xml:space="preserve">In assessing PVP, primary emphasis is placed on the confirmation of cases reported through the surveillance system.  </w:t>
      </w:r>
    </w:p>
    <w:p w:rsidR="00B454FB" w:rsidRPr="00D61C8A" w:rsidRDefault="00B454FB" w:rsidP="00B454FB">
      <w:pPr>
        <w:tabs>
          <w:tab w:val="left" w:pos="4950"/>
        </w:tabs>
        <w:rPr>
          <w:rFonts w:ascii="Calibri" w:hAnsi="Calibri" w:cs="Arial"/>
          <w:sz w:val="20"/>
          <w:szCs w:val="20"/>
        </w:rPr>
      </w:pPr>
    </w:p>
    <w:p w:rsidR="00B454FB" w:rsidRPr="00D61C8A" w:rsidRDefault="00B454FB" w:rsidP="00B454FB">
      <w:pPr>
        <w:rPr>
          <w:rFonts w:ascii="Calibri" w:eastAsia="Cambria" w:hAnsi="Calibri"/>
          <w:sz w:val="20"/>
          <w:szCs w:val="20"/>
        </w:rPr>
      </w:pPr>
      <w:r>
        <w:rPr>
          <w:rFonts w:ascii="Calibri" w:eastAsia="Cambria" w:hAnsi="Calibri"/>
          <w:sz w:val="20"/>
          <w:szCs w:val="20"/>
        </w:rPr>
        <w:br w:type="page"/>
      </w:r>
      <w:r w:rsidRPr="00D61C8A">
        <w:rPr>
          <w:rFonts w:ascii="Calibri" w:eastAsia="Cambria" w:hAnsi="Calibri"/>
          <w:sz w:val="20"/>
          <w:szCs w:val="20"/>
        </w:rPr>
        <w:lastRenderedPageBreak/>
        <w:t>Successes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PVP is uncertain but likely high due to the confirmation of individual cases</w:t>
      </w:r>
      <w:r>
        <w:rPr>
          <w:rFonts w:ascii="Calibri" w:eastAsia="Cambria" w:hAnsi="Calibri"/>
          <w:sz w:val="20"/>
          <w:szCs w:val="20"/>
        </w:rPr>
        <w:t>.</w:t>
      </w:r>
    </w:p>
    <w:p w:rsidR="00B454FB" w:rsidRPr="0072415D"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The case definition is specific and unambiguous; it would be difficult to mistake another health outcome for a VAE injury</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Because surveillance is carried out on an active, case-by-case basis, it is highly unlikely that the system would detect an increase in cases or other trend that did not actually exist</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The fact that INSEC and UNICEF are now actively seeking out injuries from intentional explosions should ensure that VAE injuries are classified accurately</w:t>
      </w:r>
      <w:r>
        <w:rPr>
          <w:rFonts w:ascii="Calibri" w:eastAsia="Cambria"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Unknowns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As the case definition expands to include government security forces and (possibly) other combatants, it could become more difficult to differentiate between victim-activated and intentional explosions.  However, correct classification should be possible given adequate examination of the details of each incident.</w:t>
      </w:r>
    </w:p>
    <w:p w:rsidR="00B454FB" w:rsidRPr="00D61C8A" w:rsidRDefault="00B454FB" w:rsidP="00B454FB">
      <w:pPr>
        <w:rPr>
          <w:rFonts w:ascii="Calibri" w:hAnsi="Calibri"/>
          <w:sz w:val="20"/>
          <w:szCs w:val="20"/>
        </w:rPr>
      </w:pPr>
    </w:p>
    <w:p w:rsidR="00B454FB" w:rsidRDefault="00B454FB" w:rsidP="00B454FB">
      <w:pPr>
        <w:rPr>
          <w:rFonts w:ascii="Calibri" w:hAnsi="Calibri"/>
          <w:sz w:val="20"/>
          <w:szCs w:val="20"/>
        </w:rPr>
      </w:pPr>
      <w:r w:rsidRPr="00D61C8A">
        <w:rPr>
          <w:rFonts w:ascii="Calibri" w:hAnsi="Calibri"/>
          <w:sz w:val="20"/>
          <w:szCs w:val="20"/>
        </w:rPr>
        <w:t>Recommendation</w:t>
      </w:r>
      <w:r w:rsidRPr="006F5F27">
        <w:rPr>
          <w:rFonts w:ascii="Calibri" w:hAnsi="Calibri"/>
          <w:sz w:val="20"/>
          <w:szCs w:val="20"/>
        </w:rPr>
        <w:t>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Ensure that DRs continue to apply the case definition of VAE rigorously, particularly as the inclusion criteria expand to include combatants.</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V.B.2.g</w:t>
      </w:r>
      <w:r>
        <w:rPr>
          <w:rFonts w:ascii="Calibri" w:hAnsi="Calibri"/>
          <w:sz w:val="20"/>
          <w:szCs w:val="20"/>
        </w:rPr>
        <w:tab/>
      </w:r>
      <w:r>
        <w:rPr>
          <w:rFonts w:ascii="Calibri" w:hAnsi="Calibri"/>
          <w:sz w:val="20"/>
          <w:szCs w:val="20"/>
        </w:rPr>
        <w:tab/>
      </w:r>
      <w:r w:rsidRPr="00D61C8A">
        <w:rPr>
          <w:rFonts w:ascii="Calibri" w:hAnsi="Calibri"/>
          <w:sz w:val="20"/>
          <w:szCs w:val="20"/>
        </w:rPr>
        <w:t>Representativeness</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”A public health surveillance system that is representative accurately describes the occurrence of a health-related event over time and its distribution in the population by place and person.”</w:t>
      </w:r>
      <w:r w:rsidRPr="00784EE1">
        <w:rPr>
          <w:rStyle w:val="EndnoteReference"/>
          <w:rFonts w:ascii="Calibri" w:eastAsia="Cambria" w:hAnsi="Calibri"/>
          <w:sz w:val="20"/>
          <w:szCs w:val="20"/>
        </w:rPr>
        <w:endnoteReference w:id="198"/>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Representativeness is assessed by comparing the characteristics of reported events to all such actual events.  Although the characteristics of all actual events are usually unknown, some judgment of the representativeness of surveillance data is possible based on knowledge of characteristics of the population, including age, socioeconomic status, and geographic location.</w:t>
      </w:r>
    </w:p>
    <w:p w:rsidR="00B454FB" w:rsidRPr="00D61C8A" w:rsidRDefault="00B454FB" w:rsidP="00B454FB">
      <w:pPr>
        <w:autoSpaceDE w:val="0"/>
        <w:autoSpaceDN w:val="0"/>
        <w:adjustRightInd w:val="0"/>
        <w:rPr>
          <w:rFonts w:ascii="Calibri" w:eastAsia="Cambria" w:hAnsi="Calibri" w:cs="Times-BoldItalic"/>
          <w:b/>
          <w:bCs/>
          <w:i/>
          <w:iCs/>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Successes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The case definition is clear and unambiguous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VAE injury is easier to classify than some health outcomes, which may go through periods of latency in which they are more difficult to detect</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Selected statistics among injured individuals reflect characteristics of the general population; a comparison of the 2009 injury data with the most recent (2001) Nepal census data reveals that Nepali was the language most commonly spoken and that Chhetri was the caste most commonly reported among respondents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Likewise, certain demographic characteristics such as the sex and age of the injured individual are risk factors in Nepal as they have been in other ED-contaminated settings; males and certain age groups (10- to 14-, 5- to 9- and 15- to 19-year-olds</w:t>
      </w:r>
      <w:r>
        <w:rPr>
          <w:rFonts w:ascii="Calibri" w:eastAsia="Cambria" w:hAnsi="Calibri"/>
          <w:sz w:val="20"/>
          <w:szCs w:val="20"/>
        </w:rPr>
        <w:t>) are at higher risk of injury.</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It is not uncommon for individuals of lower caste or socioeconomic status or from vulnerable subgroups (such as low-income women and unaccompanied children) to be systematically excluded from a surveillance system due to limited access to social networks and means of communication.  UNICEF, INSEC and other MAJWG stakeholders have taken steps to assure the participation of these communities, and the evaluation team did not find any evidence of exclusion of vulnerable individuals or groups from the injury surveillance system.</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Challenges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Divisions between the four levels of economic status on the data collection form do not seem clear; one DR suggested that they may vary by district</w:t>
      </w:r>
      <w:r>
        <w:rPr>
          <w:rFonts w:ascii="Calibri" w:eastAsia="Cambria"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Unknowns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Data may be less representative in geographically and technologically isolated communities, where an incident may be less likely to be captured by the surveillance system</w:t>
      </w:r>
      <w:r>
        <w:rPr>
          <w:rFonts w:ascii="Calibri" w:eastAsia="Cambria" w:hAnsi="Calibri"/>
          <w:sz w:val="20"/>
          <w:szCs w:val="20"/>
        </w:rPr>
        <w:t>.</w:t>
      </w:r>
    </w:p>
    <w:p w:rsidR="00B454FB" w:rsidRPr="00D61C8A" w:rsidRDefault="00B454FB" w:rsidP="00B454FB">
      <w:pPr>
        <w:rPr>
          <w:rFonts w:ascii="Calibri" w:hAnsi="Calibri"/>
          <w:sz w:val="20"/>
          <w:szCs w:val="20"/>
        </w:rPr>
      </w:pPr>
    </w:p>
    <w:p w:rsidR="00B454FB" w:rsidRPr="006F5F27" w:rsidRDefault="00B454FB" w:rsidP="00B454FB">
      <w:pPr>
        <w:rPr>
          <w:rFonts w:ascii="Calibri" w:hAnsi="Calibri"/>
          <w:sz w:val="20"/>
          <w:szCs w:val="20"/>
        </w:rPr>
      </w:pPr>
      <w:r w:rsidRPr="00D61C8A">
        <w:rPr>
          <w:rFonts w:ascii="Calibri" w:hAnsi="Calibri"/>
          <w:sz w:val="20"/>
          <w:szCs w:val="20"/>
        </w:rPr>
        <w:t>Recomm</w:t>
      </w:r>
      <w:r w:rsidRPr="006F5F27">
        <w:rPr>
          <w:rFonts w:ascii="Calibri" w:hAnsi="Calibri"/>
          <w:sz w:val="20"/>
          <w:szCs w:val="20"/>
        </w:rPr>
        <w:t>endations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Reassess how economic status is determined and ensure that the same definitions of economic levels are applied in all districts.  It could be helpful to consider the economic ranking scale used in UNICEF’s 2007 KAP survey.</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V.B.2.h</w:t>
      </w:r>
      <w:r>
        <w:rPr>
          <w:rFonts w:ascii="Calibri" w:hAnsi="Calibri"/>
          <w:sz w:val="20"/>
          <w:szCs w:val="20"/>
        </w:rPr>
        <w:tab/>
      </w:r>
      <w:r>
        <w:rPr>
          <w:rFonts w:ascii="Calibri" w:hAnsi="Calibri"/>
          <w:sz w:val="20"/>
          <w:szCs w:val="20"/>
        </w:rPr>
        <w:tab/>
      </w:r>
      <w:r w:rsidRPr="00D61C8A">
        <w:rPr>
          <w:rFonts w:ascii="Calibri" w:hAnsi="Calibri"/>
          <w:sz w:val="20"/>
          <w:szCs w:val="20"/>
        </w:rPr>
        <w:t>Timeliness</w:t>
      </w:r>
    </w:p>
    <w:p w:rsidR="00B454FB" w:rsidRPr="00D61C8A" w:rsidRDefault="00B454FB" w:rsidP="00B454FB">
      <w:pPr>
        <w:tabs>
          <w:tab w:val="left" w:pos="4950"/>
        </w:tabs>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 xml:space="preserve"> “Timeliness reflects the speed between steps in a public health surveillance system.”</w:t>
      </w:r>
      <w:r w:rsidRPr="00784EE1">
        <w:rPr>
          <w:rStyle w:val="EndnoteReference"/>
          <w:rFonts w:ascii="Calibri" w:eastAsia="Cambria" w:hAnsi="Calibri"/>
          <w:sz w:val="20"/>
          <w:szCs w:val="20"/>
        </w:rPr>
        <w:endnoteReference w:id="199"/>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Timeliness can be assessed by examining the time intervals linking steps within the system.  Assessment of timeliness should include examination of the amount of time between the onset of a health-related event and the reporting of that event to the public health agency responsible for instituting control and prevention measures; and the time required for the identification of trends, outbreaks, or the effect of control and prevention measures.</w:t>
      </w:r>
    </w:p>
    <w:p w:rsidR="00B454FB" w:rsidRPr="00D61C8A" w:rsidRDefault="00B454FB" w:rsidP="00B454FB">
      <w:pPr>
        <w:tabs>
          <w:tab w:val="left" w:pos="4950"/>
        </w:tabs>
        <w:rPr>
          <w:rFonts w:ascii="Calibri" w:eastAsia="Cambria" w:hAnsi="Calibri"/>
          <w:sz w:val="20"/>
          <w:szCs w:val="20"/>
        </w:rPr>
      </w:pPr>
    </w:p>
    <w:p w:rsidR="00B454FB" w:rsidRPr="00D61C8A" w:rsidRDefault="00B454FB" w:rsidP="00B454FB">
      <w:pPr>
        <w:tabs>
          <w:tab w:val="left" w:pos="4950"/>
        </w:tabs>
        <w:rPr>
          <w:rFonts w:ascii="Calibri" w:eastAsia="Cambria" w:hAnsi="Calibri"/>
          <w:sz w:val="20"/>
          <w:szCs w:val="20"/>
        </w:rPr>
      </w:pPr>
      <w:r w:rsidRPr="00D61C8A">
        <w:rPr>
          <w:rFonts w:ascii="Calibri" w:eastAsia="Cambria" w:hAnsi="Calibri"/>
          <w:sz w:val="20"/>
          <w:szCs w:val="20"/>
        </w:rPr>
        <w:t xml:space="preserve">The amount of time required </w:t>
      </w:r>
      <w:r>
        <w:rPr>
          <w:rFonts w:ascii="Calibri" w:eastAsia="Cambria" w:hAnsi="Calibri"/>
          <w:sz w:val="20"/>
          <w:szCs w:val="20"/>
        </w:rPr>
        <w:t>at</w:t>
      </w:r>
      <w:r w:rsidRPr="00D61C8A">
        <w:rPr>
          <w:rFonts w:ascii="Calibri" w:eastAsia="Cambria" w:hAnsi="Calibri"/>
          <w:sz w:val="20"/>
          <w:szCs w:val="20"/>
        </w:rPr>
        <w:t xml:space="preserve"> each step of the surveillance system is </w:t>
      </w:r>
      <w:r>
        <w:rPr>
          <w:rFonts w:ascii="Calibri" w:eastAsia="Cambria" w:hAnsi="Calibri"/>
          <w:sz w:val="20"/>
          <w:szCs w:val="20"/>
        </w:rPr>
        <w:t>noted in</w:t>
      </w:r>
      <w:r w:rsidRPr="00D61C8A">
        <w:rPr>
          <w:rFonts w:ascii="Calibri" w:eastAsia="Cambria" w:hAnsi="Calibri"/>
          <w:sz w:val="20"/>
          <w:szCs w:val="20"/>
        </w:rPr>
        <w:t xml:space="preserve"> italicized font below:</w:t>
      </w:r>
    </w:p>
    <w:p w:rsidR="00B454FB" w:rsidRPr="00D61C8A" w:rsidRDefault="00B454FB" w:rsidP="00B454FB">
      <w:pPr>
        <w:rPr>
          <w:rFonts w:ascii="Calibri" w:hAnsi="Calibri"/>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Explosive device detonates and injures one or more individuals.</w:t>
      </w:r>
    </w:p>
    <w:p w:rsidR="00B454FB" w:rsidRPr="00D61C8A" w:rsidRDefault="00B454FB" w:rsidP="00B454FB">
      <w:pPr>
        <w:pStyle w:val="ColorfulList-Accent11"/>
        <w:numPr>
          <w:ilvl w:val="0"/>
          <w:numId w:val="47"/>
        </w:numPr>
        <w:rPr>
          <w:rFonts w:ascii="Calibri" w:hAnsi="Calibri"/>
          <w:i/>
          <w:sz w:val="20"/>
          <w:szCs w:val="20"/>
        </w:rPr>
      </w:pPr>
      <w:r w:rsidRPr="00D61C8A">
        <w:rPr>
          <w:rFonts w:ascii="Calibri" w:hAnsi="Calibri"/>
          <w:i/>
          <w:sz w:val="20"/>
          <w:szCs w:val="20"/>
        </w:rPr>
        <w:t>The amount of time that passes between detonation and notification of INSEC depends on the location and severity of the incident.  Incidents that take place near district headquarters or in business centers or markets are more likely to be reported immediately due to the availability of telephones.  If no telephone is available, it may take several hours or days for news of an incident to reach INSEC.  Immediacy of reporting also depends on severity of the injuries; as injuries increase in severity they become more likely to be reported quickly.</w:t>
      </w:r>
    </w:p>
    <w:p w:rsidR="00B454FB" w:rsidRPr="00D61C8A" w:rsidRDefault="00B454FB" w:rsidP="00B454FB">
      <w:pPr>
        <w:rPr>
          <w:rFonts w:ascii="Calibri" w:hAnsi="Calibri"/>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INSEC partner or other entity notifies INSEC</w:t>
      </w:r>
    </w:p>
    <w:p w:rsidR="00B454FB" w:rsidRPr="00D61C8A" w:rsidRDefault="00B454FB" w:rsidP="00B454FB">
      <w:pPr>
        <w:pStyle w:val="ColorfulList-Accent11"/>
        <w:numPr>
          <w:ilvl w:val="0"/>
          <w:numId w:val="47"/>
        </w:numPr>
        <w:rPr>
          <w:rFonts w:ascii="Calibri" w:hAnsi="Calibri"/>
          <w:i/>
          <w:sz w:val="20"/>
          <w:szCs w:val="20"/>
        </w:rPr>
      </w:pPr>
      <w:r w:rsidRPr="00D61C8A">
        <w:rPr>
          <w:rFonts w:ascii="Calibri" w:hAnsi="Calibri"/>
          <w:i/>
          <w:sz w:val="20"/>
          <w:szCs w:val="20"/>
        </w:rPr>
        <w:t>The INSEC DR leaves immediately for the field upon notification of the incident.</w:t>
      </w:r>
    </w:p>
    <w:p w:rsidR="00B454FB" w:rsidRPr="00D61C8A" w:rsidRDefault="00B454FB" w:rsidP="00B454FB">
      <w:pPr>
        <w:pStyle w:val="ColorfulList-Accent11"/>
        <w:numPr>
          <w:ilvl w:val="0"/>
          <w:numId w:val="47"/>
        </w:numPr>
        <w:rPr>
          <w:rFonts w:ascii="Calibri" w:hAnsi="Calibri"/>
          <w:i/>
          <w:sz w:val="20"/>
          <w:szCs w:val="20"/>
        </w:rPr>
      </w:pPr>
      <w:r w:rsidRPr="00D61C8A">
        <w:rPr>
          <w:rFonts w:ascii="Calibri" w:hAnsi="Calibri"/>
          <w:i/>
          <w:sz w:val="20"/>
          <w:szCs w:val="20"/>
        </w:rPr>
        <w:t>Time spent by the DR in transit depends upon the distance to be traveled and accessibility within the district.  A DR in Dadeldhura recently took three days to travel to and from an incident site, whereas DRs in Kailali and</w:t>
      </w:r>
      <w:r>
        <w:rPr>
          <w:rFonts w:ascii="Calibri" w:hAnsi="Calibri"/>
          <w:i/>
          <w:sz w:val="20"/>
          <w:szCs w:val="20"/>
        </w:rPr>
        <w:t xml:space="preserve"> Chitwan are usually able to </w:t>
      </w:r>
      <w:r w:rsidRPr="00D61C8A">
        <w:rPr>
          <w:rFonts w:ascii="Calibri" w:hAnsi="Calibri"/>
          <w:i/>
          <w:sz w:val="20"/>
          <w:szCs w:val="20"/>
        </w:rPr>
        <w:t>travel to and from an incident site in one day.</w:t>
      </w:r>
    </w:p>
    <w:p w:rsidR="00B454FB" w:rsidRPr="00D61C8A" w:rsidRDefault="00B454FB" w:rsidP="00B454FB">
      <w:pPr>
        <w:pStyle w:val="ColorfulList-Accent11"/>
        <w:numPr>
          <w:ilvl w:val="0"/>
          <w:numId w:val="47"/>
        </w:numPr>
        <w:rPr>
          <w:rFonts w:ascii="Calibri" w:hAnsi="Calibri"/>
          <w:color w:val="FF0000"/>
          <w:sz w:val="20"/>
          <w:szCs w:val="20"/>
        </w:rPr>
      </w:pPr>
      <w:r w:rsidRPr="00D61C8A">
        <w:rPr>
          <w:rFonts w:ascii="Calibri" w:hAnsi="Calibri"/>
          <w:i/>
          <w:sz w:val="20"/>
          <w:szCs w:val="20"/>
        </w:rPr>
        <w:t>It is very rare that a DR does not make a report within one week of an incident.</w:t>
      </w:r>
    </w:p>
    <w:p w:rsidR="00B454FB" w:rsidRPr="00D61C8A" w:rsidRDefault="00B454FB" w:rsidP="00B454FB">
      <w:pPr>
        <w:rPr>
          <w:rFonts w:ascii="Calibri" w:hAnsi="Calibri"/>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INSEC district representative investigates the incident and collects data</w:t>
      </w:r>
    </w:p>
    <w:p w:rsidR="00B454FB" w:rsidRPr="00D61C8A" w:rsidRDefault="00B454FB" w:rsidP="00B454FB">
      <w:pPr>
        <w:pStyle w:val="ColorfulList-Accent11"/>
        <w:numPr>
          <w:ilvl w:val="0"/>
          <w:numId w:val="48"/>
        </w:numPr>
        <w:rPr>
          <w:rFonts w:ascii="Calibri" w:hAnsi="Calibri"/>
          <w:i/>
          <w:sz w:val="20"/>
          <w:szCs w:val="20"/>
        </w:rPr>
      </w:pPr>
      <w:r w:rsidRPr="00D61C8A">
        <w:rPr>
          <w:rFonts w:ascii="Calibri" w:hAnsi="Calibri"/>
          <w:i/>
          <w:sz w:val="20"/>
          <w:szCs w:val="20"/>
        </w:rPr>
        <w:t>In approximately 90</w:t>
      </w:r>
      <w:r>
        <w:rPr>
          <w:rFonts w:ascii="Calibri" w:hAnsi="Calibri"/>
          <w:i/>
          <w:sz w:val="20"/>
          <w:szCs w:val="20"/>
        </w:rPr>
        <w:t xml:space="preserve"> </w:t>
      </w:r>
      <w:r w:rsidRPr="00D61C8A">
        <w:rPr>
          <w:rFonts w:ascii="Calibri" w:hAnsi="Calibri"/>
          <w:i/>
          <w:sz w:val="20"/>
          <w:szCs w:val="20"/>
        </w:rPr>
        <w:t xml:space="preserve">% of cases, DRs only need to make one visit to the incident site.  If they return, they will only return once and they will make any necessary changes on the original data collection form.  In some cases, a return visit can be avoided by phoning the </w:t>
      </w:r>
      <w:r w:rsidRPr="005608E6">
        <w:rPr>
          <w:rFonts w:ascii="Calibri" w:hAnsi="Calibri"/>
          <w:i/>
          <w:sz w:val="20"/>
          <w:szCs w:val="20"/>
        </w:rPr>
        <w:t>injured individual</w:t>
      </w:r>
      <w:r w:rsidRPr="00D61C8A">
        <w:rPr>
          <w:rFonts w:ascii="Calibri" w:hAnsi="Calibri"/>
          <w:i/>
          <w:sz w:val="20"/>
          <w:szCs w:val="20"/>
        </w:rPr>
        <w:t xml:space="preserve"> or informant for additional needed details.</w:t>
      </w:r>
    </w:p>
    <w:p w:rsidR="00B454FB" w:rsidRPr="00D61C8A" w:rsidRDefault="00B454FB" w:rsidP="00B454FB">
      <w:pPr>
        <w:pStyle w:val="ColorfulList-Accent11"/>
        <w:numPr>
          <w:ilvl w:val="0"/>
          <w:numId w:val="48"/>
        </w:numPr>
        <w:rPr>
          <w:rFonts w:ascii="Calibri" w:hAnsi="Calibri"/>
          <w:i/>
          <w:sz w:val="20"/>
          <w:szCs w:val="20"/>
        </w:rPr>
      </w:pPr>
      <w:r w:rsidRPr="00D61C8A">
        <w:rPr>
          <w:rFonts w:ascii="Calibri" w:hAnsi="Calibri"/>
          <w:i/>
          <w:sz w:val="20"/>
          <w:szCs w:val="20"/>
        </w:rPr>
        <w:t>If electricity</w:t>
      </w:r>
      <w:r>
        <w:rPr>
          <w:rFonts w:ascii="Calibri" w:hAnsi="Calibri"/>
          <w:i/>
          <w:sz w:val="20"/>
          <w:szCs w:val="20"/>
        </w:rPr>
        <w:t xml:space="preserve"> is available</w:t>
      </w:r>
      <w:r w:rsidRPr="00D61C8A">
        <w:rPr>
          <w:rFonts w:ascii="Calibri" w:hAnsi="Calibri"/>
          <w:i/>
          <w:sz w:val="20"/>
          <w:szCs w:val="20"/>
        </w:rPr>
        <w:t>, the DR sends summary details to INSEConline immediately and sends the data collection report to the regional office (and the central office in 75</w:t>
      </w:r>
      <w:r>
        <w:rPr>
          <w:rFonts w:ascii="Calibri" w:hAnsi="Calibri"/>
          <w:i/>
          <w:sz w:val="20"/>
          <w:szCs w:val="20"/>
        </w:rPr>
        <w:t xml:space="preserve"> </w:t>
      </w:r>
      <w:r w:rsidRPr="00D61C8A">
        <w:rPr>
          <w:rFonts w:ascii="Calibri" w:hAnsi="Calibri"/>
          <w:i/>
          <w:sz w:val="20"/>
          <w:szCs w:val="20"/>
        </w:rPr>
        <w:t>% of cases) within one week.</w:t>
      </w:r>
    </w:p>
    <w:p w:rsidR="00B454FB" w:rsidRPr="00D61C8A" w:rsidRDefault="00B454FB" w:rsidP="00B454FB">
      <w:pPr>
        <w:pStyle w:val="ColorfulList-Accent11"/>
        <w:numPr>
          <w:ilvl w:val="0"/>
          <w:numId w:val="48"/>
        </w:numPr>
        <w:rPr>
          <w:rFonts w:ascii="Calibri" w:hAnsi="Calibri"/>
          <w:i/>
          <w:sz w:val="20"/>
          <w:szCs w:val="20"/>
        </w:rPr>
      </w:pPr>
      <w:r w:rsidRPr="00D61C8A">
        <w:rPr>
          <w:rFonts w:ascii="Calibri" w:hAnsi="Calibri"/>
          <w:i/>
          <w:sz w:val="20"/>
          <w:szCs w:val="20"/>
        </w:rPr>
        <w:t>The DR sends data to INSEConline and the FPMA immediately, even if after office hours.</w:t>
      </w:r>
    </w:p>
    <w:p w:rsidR="00B454FB" w:rsidRPr="00D61C8A" w:rsidRDefault="00B454FB" w:rsidP="00B454FB">
      <w:pPr>
        <w:pStyle w:val="ColorfulList-Accent11"/>
        <w:rPr>
          <w:rFonts w:ascii="Calibri" w:hAnsi="Calibri"/>
          <w:color w:val="FF0000"/>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INSEC regional office reviews data</w:t>
      </w:r>
    </w:p>
    <w:p w:rsidR="00B454FB" w:rsidRPr="00D61C8A" w:rsidRDefault="00B454FB" w:rsidP="00B454FB">
      <w:pPr>
        <w:pStyle w:val="Heading5"/>
        <w:numPr>
          <w:ilvl w:val="0"/>
          <w:numId w:val="49"/>
        </w:numPr>
        <w:spacing w:before="0"/>
        <w:rPr>
          <w:rFonts w:ascii="Calibri" w:hAnsi="Calibri"/>
          <w:b/>
          <w:i/>
          <w:color w:val="auto"/>
          <w:sz w:val="20"/>
          <w:szCs w:val="20"/>
        </w:rPr>
      </w:pPr>
      <w:r w:rsidRPr="00D61C8A">
        <w:rPr>
          <w:rFonts w:ascii="Calibri" w:hAnsi="Calibri"/>
          <w:i/>
          <w:color w:val="auto"/>
          <w:sz w:val="20"/>
          <w:szCs w:val="20"/>
        </w:rPr>
        <w:t xml:space="preserve">The regional office sends data to the central office by the close of office hours on the same day it has received data from the DR; as mentioned above, the central office has already been copied </w:t>
      </w:r>
      <w:r>
        <w:rPr>
          <w:rFonts w:ascii="Calibri" w:hAnsi="Calibri"/>
          <w:i/>
          <w:color w:val="auto"/>
          <w:sz w:val="20"/>
          <w:szCs w:val="20"/>
        </w:rPr>
        <w:t xml:space="preserve">by e-mail in </w:t>
      </w:r>
      <w:r w:rsidRPr="00D61C8A">
        <w:rPr>
          <w:rFonts w:ascii="Calibri" w:hAnsi="Calibri"/>
          <w:i/>
          <w:color w:val="auto"/>
          <w:sz w:val="20"/>
          <w:szCs w:val="20"/>
        </w:rPr>
        <w:t>75</w:t>
      </w:r>
      <w:r>
        <w:rPr>
          <w:rFonts w:ascii="Calibri" w:hAnsi="Calibri"/>
          <w:i/>
          <w:color w:val="auto"/>
          <w:sz w:val="20"/>
          <w:szCs w:val="20"/>
        </w:rPr>
        <w:t xml:space="preserve"> </w:t>
      </w:r>
      <w:r w:rsidRPr="00D61C8A">
        <w:rPr>
          <w:rFonts w:ascii="Calibri" w:hAnsi="Calibri"/>
          <w:i/>
          <w:color w:val="auto"/>
          <w:sz w:val="20"/>
          <w:szCs w:val="20"/>
        </w:rPr>
        <w:t>% of cases</w:t>
      </w:r>
      <w:r>
        <w:rPr>
          <w:rFonts w:ascii="Calibri" w:hAnsi="Calibri"/>
          <w:i/>
          <w:color w:val="auto"/>
          <w:sz w:val="20"/>
          <w:szCs w:val="20"/>
        </w:rPr>
        <w:t>.</w:t>
      </w:r>
    </w:p>
    <w:p w:rsidR="00B454FB" w:rsidRPr="00D61C8A" w:rsidRDefault="00B454FB" w:rsidP="00B454FB">
      <w:pPr>
        <w:rPr>
          <w:rFonts w:ascii="Calibri" w:hAnsi="Calibri"/>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INSEC central office reviews data</w:t>
      </w:r>
    </w:p>
    <w:p w:rsidR="00B454FB" w:rsidRPr="00D61C8A" w:rsidRDefault="00B454FB" w:rsidP="00B454FB">
      <w:pPr>
        <w:pStyle w:val="ColorfulList-Accent11"/>
        <w:numPr>
          <w:ilvl w:val="0"/>
          <w:numId w:val="49"/>
        </w:numPr>
        <w:rPr>
          <w:rFonts w:ascii="Calibri" w:hAnsi="Calibri"/>
          <w:i/>
          <w:sz w:val="20"/>
          <w:szCs w:val="20"/>
        </w:rPr>
      </w:pPr>
      <w:r w:rsidRPr="00D61C8A">
        <w:rPr>
          <w:rFonts w:ascii="Calibri" w:hAnsi="Calibri"/>
          <w:i/>
          <w:sz w:val="20"/>
          <w:szCs w:val="20"/>
        </w:rPr>
        <w:t>Data are reviewed as they are entered (see below)</w:t>
      </w:r>
      <w:r>
        <w:rPr>
          <w:rFonts w:ascii="Calibri" w:hAnsi="Calibri"/>
          <w:i/>
          <w:sz w:val="20"/>
          <w:szCs w:val="20"/>
        </w:rPr>
        <w:t>.</w:t>
      </w:r>
    </w:p>
    <w:p w:rsidR="00B454FB" w:rsidRPr="00D61C8A" w:rsidRDefault="00B454FB" w:rsidP="00B454FB">
      <w:pPr>
        <w:rPr>
          <w:rFonts w:ascii="Calibri" w:hAnsi="Calibri"/>
          <w:b/>
          <w:sz w:val="20"/>
          <w:szCs w:val="20"/>
        </w:rPr>
      </w:pPr>
    </w:p>
    <w:p w:rsidR="00B454FB" w:rsidRPr="00D61C8A" w:rsidRDefault="00B454FB" w:rsidP="00B454FB">
      <w:pPr>
        <w:pStyle w:val="Heading5"/>
        <w:spacing w:before="0"/>
        <w:ind w:left="0"/>
        <w:rPr>
          <w:rFonts w:ascii="Calibri" w:hAnsi="Calibri"/>
          <w:b/>
          <w:sz w:val="20"/>
          <w:szCs w:val="20"/>
        </w:rPr>
      </w:pPr>
      <w:r w:rsidRPr="00D61C8A">
        <w:rPr>
          <w:rFonts w:ascii="Calibri" w:hAnsi="Calibri"/>
          <w:b/>
          <w:sz w:val="20"/>
          <w:szCs w:val="20"/>
        </w:rPr>
        <w:t>INSEC central office translates data and enters them into database</w:t>
      </w:r>
    </w:p>
    <w:p w:rsidR="00B454FB" w:rsidRPr="00D61C8A" w:rsidRDefault="00B454FB" w:rsidP="00B454FB">
      <w:pPr>
        <w:pStyle w:val="ColorfulList-Accent11"/>
        <w:numPr>
          <w:ilvl w:val="0"/>
          <w:numId w:val="49"/>
        </w:numPr>
        <w:rPr>
          <w:rFonts w:ascii="Calibri" w:hAnsi="Calibri"/>
          <w:i/>
          <w:sz w:val="20"/>
          <w:szCs w:val="20"/>
        </w:rPr>
      </w:pPr>
      <w:r w:rsidRPr="00D61C8A">
        <w:rPr>
          <w:rFonts w:ascii="Calibri" w:hAnsi="Calibri"/>
          <w:i/>
          <w:sz w:val="20"/>
          <w:szCs w:val="20"/>
        </w:rPr>
        <w:t>Data are entered into the database immediately after recei</w:t>
      </w:r>
      <w:r>
        <w:rPr>
          <w:rFonts w:ascii="Calibri" w:hAnsi="Calibri"/>
          <w:i/>
          <w:sz w:val="20"/>
          <w:szCs w:val="20"/>
        </w:rPr>
        <w:t>pt</w:t>
      </w:r>
      <w:r w:rsidRPr="00D61C8A">
        <w:rPr>
          <w:rFonts w:ascii="Calibri" w:hAnsi="Calibri"/>
          <w:i/>
          <w:sz w:val="20"/>
          <w:szCs w:val="20"/>
        </w:rPr>
        <w:t xml:space="preserve"> (within office hours)</w:t>
      </w:r>
      <w:r>
        <w:rPr>
          <w:rFonts w:ascii="Calibri" w:hAnsi="Calibri"/>
          <w:i/>
          <w:sz w:val="20"/>
          <w:szCs w:val="20"/>
        </w:rPr>
        <w:t>.</w:t>
      </w:r>
    </w:p>
    <w:p w:rsidR="00B454FB" w:rsidRPr="00D61C8A" w:rsidRDefault="00B454FB" w:rsidP="00B454FB">
      <w:pPr>
        <w:pStyle w:val="ColorfulList-Accent11"/>
        <w:numPr>
          <w:ilvl w:val="0"/>
          <w:numId w:val="49"/>
        </w:numPr>
        <w:rPr>
          <w:rFonts w:ascii="Calibri" w:hAnsi="Calibri"/>
          <w:i/>
          <w:sz w:val="20"/>
          <w:szCs w:val="20"/>
        </w:rPr>
      </w:pPr>
      <w:r w:rsidRPr="00D61C8A">
        <w:rPr>
          <w:rFonts w:ascii="Calibri" w:hAnsi="Calibri"/>
          <w:i/>
          <w:sz w:val="20"/>
          <w:szCs w:val="20"/>
        </w:rPr>
        <w:t>If the central office is copied when the DR e-mails the form to the regional office, the central office may start to enter data immediately</w:t>
      </w:r>
      <w:r>
        <w:rPr>
          <w:rFonts w:ascii="Calibri" w:hAnsi="Calibri"/>
          <w:i/>
          <w:sz w:val="20"/>
          <w:szCs w:val="20"/>
        </w:rPr>
        <w:t xml:space="preserve">; </w:t>
      </w:r>
      <w:r w:rsidRPr="00D61C8A">
        <w:rPr>
          <w:rFonts w:ascii="Calibri" w:hAnsi="Calibri"/>
          <w:i/>
          <w:sz w:val="20"/>
          <w:szCs w:val="20"/>
        </w:rPr>
        <w:t>additional details will be filled in later when the</w:t>
      </w:r>
      <w:r>
        <w:rPr>
          <w:rFonts w:ascii="Calibri" w:hAnsi="Calibri"/>
          <w:i/>
          <w:sz w:val="20"/>
          <w:szCs w:val="20"/>
        </w:rPr>
        <w:t xml:space="preserve"> regional office sends the form.</w:t>
      </w:r>
    </w:p>
    <w:p w:rsidR="00B454FB" w:rsidRPr="00D61C8A" w:rsidRDefault="00B454FB" w:rsidP="00B454FB">
      <w:pPr>
        <w:pStyle w:val="ColorfulList-Accent11"/>
        <w:numPr>
          <w:ilvl w:val="0"/>
          <w:numId w:val="49"/>
        </w:numPr>
        <w:rPr>
          <w:rFonts w:ascii="Calibri" w:hAnsi="Calibri"/>
          <w:i/>
          <w:sz w:val="20"/>
          <w:szCs w:val="20"/>
        </w:rPr>
      </w:pPr>
      <w:r w:rsidRPr="00D61C8A">
        <w:rPr>
          <w:rFonts w:ascii="Calibri" w:hAnsi="Calibri"/>
          <w:i/>
          <w:sz w:val="20"/>
          <w:szCs w:val="20"/>
        </w:rPr>
        <w:t>Data are translated from Nepali to English as they are entered into the database</w:t>
      </w:r>
      <w:r>
        <w:rPr>
          <w:rFonts w:ascii="Calibri" w:hAnsi="Calibri"/>
          <w:i/>
          <w:sz w:val="20"/>
          <w:szCs w:val="20"/>
        </w:rPr>
        <w:t>.</w:t>
      </w:r>
    </w:p>
    <w:p w:rsidR="00B454FB" w:rsidRPr="00D61C8A" w:rsidRDefault="00B454FB" w:rsidP="00B454FB">
      <w:pPr>
        <w:pStyle w:val="ColorfulList-Accent11"/>
        <w:numPr>
          <w:ilvl w:val="0"/>
          <w:numId w:val="49"/>
        </w:numPr>
        <w:rPr>
          <w:rFonts w:ascii="Calibri" w:hAnsi="Calibri"/>
          <w:i/>
          <w:sz w:val="20"/>
          <w:szCs w:val="20"/>
        </w:rPr>
      </w:pPr>
      <w:r w:rsidRPr="00D61C8A">
        <w:rPr>
          <w:rFonts w:ascii="Calibri" w:hAnsi="Calibri"/>
          <w:i/>
          <w:sz w:val="20"/>
          <w:szCs w:val="20"/>
        </w:rPr>
        <w:t>It takes approximately 30 minutes to enter all data f</w:t>
      </w:r>
      <w:r>
        <w:rPr>
          <w:rFonts w:ascii="Calibri" w:hAnsi="Calibri"/>
          <w:i/>
          <w:sz w:val="20"/>
          <w:szCs w:val="20"/>
        </w:rPr>
        <w:t>or one case</w:t>
      </w:r>
      <w:r w:rsidRPr="00D61C8A">
        <w:rPr>
          <w:rFonts w:ascii="Calibri" w:hAnsi="Calibri"/>
          <w:i/>
          <w:sz w:val="20"/>
          <w:szCs w:val="20"/>
        </w:rPr>
        <w:t xml:space="preserve"> into the database</w:t>
      </w:r>
      <w:r>
        <w:rPr>
          <w:rFonts w:ascii="Calibri" w:hAnsi="Calibri"/>
          <w:i/>
          <w:sz w:val="20"/>
          <w:szCs w:val="20"/>
        </w:rPr>
        <w:t>.</w:t>
      </w:r>
    </w:p>
    <w:p w:rsidR="00B454FB" w:rsidRPr="00D61C8A" w:rsidRDefault="00B454FB" w:rsidP="00B454FB">
      <w:pPr>
        <w:rPr>
          <w:rFonts w:ascii="Calibri" w:hAnsi="Calibri"/>
          <w:sz w:val="20"/>
          <w:szCs w:val="20"/>
        </w:rPr>
      </w:pPr>
    </w:p>
    <w:p w:rsidR="00B454FB" w:rsidRPr="0081405B" w:rsidRDefault="00B454FB" w:rsidP="00B454FB">
      <w:pPr>
        <w:pStyle w:val="Heading5"/>
        <w:spacing w:before="0"/>
        <w:ind w:left="0"/>
        <w:rPr>
          <w:rFonts w:ascii="Calibri" w:hAnsi="Calibri"/>
          <w:b/>
          <w:sz w:val="20"/>
          <w:szCs w:val="20"/>
        </w:rPr>
      </w:pPr>
      <w:r w:rsidRPr="0081405B">
        <w:rPr>
          <w:rFonts w:ascii="Calibri" w:hAnsi="Calibri"/>
          <w:b/>
          <w:sz w:val="20"/>
          <w:szCs w:val="20"/>
        </w:rPr>
        <w:t>INSEC central office cleans and analyzes data</w:t>
      </w:r>
    </w:p>
    <w:p w:rsidR="00B454FB" w:rsidRPr="00D61C8A" w:rsidRDefault="00B454FB" w:rsidP="00B454FB">
      <w:pPr>
        <w:pStyle w:val="ColorfulList-Accent11"/>
        <w:numPr>
          <w:ilvl w:val="0"/>
          <w:numId w:val="50"/>
        </w:numPr>
        <w:rPr>
          <w:rFonts w:ascii="Calibri" w:hAnsi="Calibri"/>
          <w:i/>
          <w:sz w:val="20"/>
          <w:szCs w:val="20"/>
        </w:rPr>
      </w:pPr>
      <w:r w:rsidRPr="00D61C8A">
        <w:rPr>
          <w:rFonts w:ascii="Calibri" w:hAnsi="Calibri"/>
          <w:i/>
          <w:sz w:val="20"/>
          <w:szCs w:val="20"/>
        </w:rPr>
        <w:t>It takes 15 minutes to clean and 30 minutes to analyze data for a flash report</w:t>
      </w:r>
      <w:r>
        <w:rPr>
          <w:rFonts w:ascii="Calibri" w:hAnsi="Calibri"/>
          <w:i/>
          <w:sz w:val="20"/>
          <w:szCs w:val="20"/>
        </w:rPr>
        <w:t>.</w:t>
      </w:r>
    </w:p>
    <w:p w:rsidR="00B454FB" w:rsidRPr="00D61C8A" w:rsidRDefault="00B454FB" w:rsidP="00B454FB">
      <w:pPr>
        <w:pStyle w:val="ColorfulList-Accent11"/>
        <w:numPr>
          <w:ilvl w:val="0"/>
          <w:numId w:val="50"/>
        </w:numPr>
        <w:rPr>
          <w:rFonts w:ascii="Calibri" w:hAnsi="Calibri"/>
          <w:i/>
          <w:sz w:val="20"/>
          <w:szCs w:val="20"/>
        </w:rPr>
      </w:pPr>
      <w:r w:rsidRPr="00D61C8A">
        <w:rPr>
          <w:rFonts w:ascii="Calibri" w:hAnsi="Calibri"/>
          <w:i/>
          <w:sz w:val="20"/>
          <w:szCs w:val="20"/>
        </w:rPr>
        <w:t>It takes 1 hour to clean and 1 month to analyze data for a monthly report</w:t>
      </w:r>
      <w:r>
        <w:rPr>
          <w:rFonts w:ascii="Calibri" w:hAnsi="Calibri"/>
          <w:i/>
          <w:sz w:val="20"/>
          <w:szCs w:val="20"/>
        </w:rPr>
        <w:t>.</w:t>
      </w:r>
    </w:p>
    <w:p w:rsidR="00B454FB" w:rsidRPr="005B7907" w:rsidRDefault="00B454FB" w:rsidP="00B454FB">
      <w:pPr>
        <w:pStyle w:val="ColorfulList-Accent11"/>
        <w:numPr>
          <w:ilvl w:val="0"/>
          <w:numId w:val="50"/>
        </w:numPr>
        <w:rPr>
          <w:rFonts w:ascii="Calibri" w:hAnsi="Calibri"/>
          <w:sz w:val="20"/>
          <w:szCs w:val="20"/>
        </w:rPr>
      </w:pPr>
      <w:r w:rsidRPr="00D61C8A">
        <w:rPr>
          <w:rFonts w:ascii="Calibri" w:hAnsi="Calibri"/>
          <w:i/>
          <w:sz w:val="20"/>
          <w:szCs w:val="20"/>
        </w:rPr>
        <w:t>It takes 1 day to clean and 1 month to analyze data for an annual report</w:t>
      </w:r>
      <w:r>
        <w:rPr>
          <w:rFonts w:ascii="Calibri" w:hAnsi="Calibri"/>
          <w:i/>
          <w:sz w:val="20"/>
          <w:szCs w:val="20"/>
        </w:rPr>
        <w:t>.</w:t>
      </w:r>
      <w:r w:rsidRPr="005B7907">
        <w:rPr>
          <w:rFonts w:ascii="Calibri" w:hAnsi="Calibri"/>
          <w:sz w:val="20"/>
          <w:szCs w:val="20"/>
        </w:rPr>
        <w:br w:type="page"/>
      </w:r>
    </w:p>
    <w:p w:rsidR="00B454FB" w:rsidRPr="0081405B" w:rsidRDefault="00B454FB" w:rsidP="00B454FB">
      <w:pPr>
        <w:pStyle w:val="Heading5"/>
        <w:spacing w:before="0"/>
        <w:ind w:left="0"/>
        <w:rPr>
          <w:rFonts w:ascii="Calibri" w:hAnsi="Calibri"/>
          <w:b/>
          <w:sz w:val="20"/>
          <w:szCs w:val="20"/>
        </w:rPr>
      </w:pPr>
      <w:r w:rsidRPr="0081405B">
        <w:rPr>
          <w:rFonts w:ascii="Calibri" w:hAnsi="Calibri"/>
          <w:b/>
          <w:sz w:val="20"/>
          <w:szCs w:val="20"/>
        </w:rPr>
        <w:lastRenderedPageBreak/>
        <w:t xml:space="preserve">INSEC central office publishes and disseminates data in </w:t>
      </w:r>
      <w:r>
        <w:rPr>
          <w:rFonts w:ascii="Calibri" w:hAnsi="Calibri"/>
          <w:b/>
          <w:sz w:val="20"/>
          <w:szCs w:val="20"/>
        </w:rPr>
        <w:t>MA</w:t>
      </w:r>
      <w:r w:rsidRPr="0081405B">
        <w:rPr>
          <w:rFonts w:ascii="Calibri" w:hAnsi="Calibri"/>
          <w:b/>
          <w:sz w:val="20"/>
          <w:szCs w:val="20"/>
        </w:rPr>
        <w:t xml:space="preserve"> reports and the Human Rights Yearbook</w:t>
      </w:r>
    </w:p>
    <w:p w:rsidR="00B454FB" w:rsidRPr="00D61C8A" w:rsidRDefault="00B454FB" w:rsidP="00B454FB">
      <w:pPr>
        <w:pStyle w:val="ColorfulList-Accent11"/>
        <w:numPr>
          <w:ilvl w:val="0"/>
          <w:numId w:val="51"/>
        </w:numPr>
        <w:rPr>
          <w:rFonts w:ascii="Calibri" w:hAnsi="Calibri"/>
          <w:i/>
          <w:sz w:val="20"/>
          <w:szCs w:val="20"/>
        </w:rPr>
      </w:pPr>
      <w:r w:rsidRPr="00D61C8A">
        <w:rPr>
          <w:rFonts w:ascii="Calibri" w:hAnsi="Calibri"/>
          <w:i/>
          <w:sz w:val="20"/>
          <w:szCs w:val="20"/>
        </w:rPr>
        <w:t>Time spent writing reports depends on the type of report:</w:t>
      </w:r>
    </w:p>
    <w:p w:rsidR="00B454FB" w:rsidRPr="00D61C8A" w:rsidRDefault="00B454FB" w:rsidP="00B454FB">
      <w:pPr>
        <w:pStyle w:val="ColorfulList-Accent11"/>
        <w:numPr>
          <w:ilvl w:val="1"/>
          <w:numId w:val="51"/>
        </w:numPr>
        <w:rPr>
          <w:rFonts w:ascii="Calibri" w:hAnsi="Calibri"/>
          <w:i/>
          <w:sz w:val="20"/>
          <w:szCs w:val="20"/>
        </w:rPr>
      </w:pPr>
      <w:r w:rsidRPr="00D61C8A">
        <w:rPr>
          <w:rFonts w:ascii="Calibri" w:hAnsi="Calibri"/>
          <w:i/>
          <w:sz w:val="20"/>
          <w:szCs w:val="20"/>
        </w:rPr>
        <w:t>It takes 15 minutes to write a flash report</w:t>
      </w:r>
      <w:r>
        <w:rPr>
          <w:rFonts w:ascii="Calibri" w:hAnsi="Calibri"/>
          <w:i/>
          <w:sz w:val="20"/>
          <w:szCs w:val="20"/>
        </w:rPr>
        <w:t>.</w:t>
      </w:r>
    </w:p>
    <w:p w:rsidR="00B454FB" w:rsidRPr="00D61C8A" w:rsidRDefault="00B454FB" w:rsidP="00B454FB">
      <w:pPr>
        <w:pStyle w:val="ColorfulList-Accent11"/>
        <w:numPr>
          <w:ilvl w:val="1"/>
          <w:numId w:val="51"/>
        </w:numPr>
        <w:rPr>
          <w:rFonts w:ascii="Calibri" w:hAnsi="Calibri"/>
          <w:i/>
          <w:sz w:val="20"/>
          <w:szCs w:val="20"/>
        </w:rPr>
      </w:pPr>
      <w:r w:rsidRPr="00D61C8A">
        <w:rPr>
          <w:rFonts w:ascii="Calibri" w:hAnsi="Calibri"/>
          <w:i/>
          <w:sz w:val="20"/>
          <w:szCs w:val="20"/>
        </w:rPr>
        <w:t>It takes 1 week to write a monthly report</w:t>
      </w:r>
      <w:r>
        <w:rPr>
          <w:rFonts w:ascii="Calibri" w:hAnsi="Calibri"/>
          <w:i/>
          <w:sz w:val="20"/>
          <w:szCs w:val="20"/>
        </w:rPr>
        <w:t>.</w:t>
      </w:r>
    </w:p>
    <w:p w:rsidR="00B454FB" w:rsidRPr="00D61C8A" w:rsidRDefault="00B454FB" w:rsidP="00B454FB">
      <w:pPr>
        <w:pStyle w:val="ColorfulList-Accent11"/>
        <w:numPr>
          <w:ilvl w:val="1"/>
          <w:numId w:val="51"/>
        </w:numPr>
        <w:rPr>
          <w:rFonts w:ascii="Calibri" w:hAnsi="Calibri"/>
          <w:i/>
          <w:sz w:val="20"/>
          <w:szCs w:val="20"/>
        </w:rPr>
      </w:pPr>
      <w:r w:rsidRPr="00D61C8A">
        <w:rPr>
          <w:rFonts w:ascii="Calibri" w:hAnsi="Calibri"/>
          <w:i/>
          <w:sz w:val="20"/>
          <w:szCs w:val="20"/>
        </w:rPr>
        <w:t>It takes 1 week to write an annual report</w:t>
      </w:r>
      <w:r>
        <w:rPr>
          <w:rFonts w:ascii="Calibri" w:hAnsi="Calibri"/>
          <w:i/>
          <w:sz w:val="20"/>
          <w:szCs w:val="20"/>
        </w:rPr>
        <w:t>.</w:t>
      </w:r>
    </w:p>
    <w:p w:rsidR="00B454FB" w:rsidRPr="00D61C8A" w:rsidRDefault="00B454FB" w:rsidP="00B454FB">
      <w:pPr>
        <w:pStyle w:val="ColorfulList-Accent11"/>
        <w:numPr>
          <w:ilvl w:val="0"/>
          <w:numId w:val="51"/>
        </w:numPr>
        <w:rPr>
          <w:rFonts w:ascii="Calibri" w:hAnsi="Calibri"/>
          <w:i/>
          <w:sz w:val="20"/>
          <w:szCs w:val="20"/>
        </w:rPr>
      </w:pPr>
      <w:r w:rsidRPr="00D61C8A">
        <w:rPr>
          <w:rFonts w:ascii="Calibri" w:hAnsi="Calibri"/>
          <w:i/>
          <w:sz w:val="20"/>
          <w:szCs w:val="20"/>
        </w:rPr>
        <w:t xml:space="preserve">The </w:t>
      </w:r>
      <w:r>
        <w:rPr>
          <w:rFonts w:ascii="Calibri" w:hAnsi="Calibri"/>
          <w:i/>
          <w:sz w:val="20"/>
          <w:szCs w:val="20"/>
        </w:rPr>
        <w:t>FPMA</w:t>
      </w:r>
      <w:r w:rsidRPr="00D61C8A">
        <w:rPr>
          <w:rFonts w:ascii="Calibri" w:hAnsi="Calibri"/>
          <w:i/>
          <w:sz w:val="20"/>
          <w:szCs w:val="20"/>
        </w:rPr>
        <w:t xml:space="preserve"> sends many files directly to UNICEF</w:t>
      </w:r>
      <w:r>
        <w:rPr>
          <w:rFonts w:ascii="Calibri" w:hAnsi="Calibri"/>
          <w:i/>
          <w:sz w:val="20"/>
          <w:szCs w:val="20"/>
        </w:rPr>
        <w:t>.</w:t>
      </w:r>
    </w:p>
    <w:p w:rsidR="00B454FB" w:rsidRDefault="00B454FB" w:rsidP="00B454FB">
      <w:pPr>
        <w:pStyle w:val="ColorfulList-Accent11"/>
        <w:numPr>
          <w:ilvl w:val="1"/>
          <w:numId w:val="51"/>
        </w:numPr>
        <w:rPr>
          <w:rFonts w:ascii="Calibri" w:hAnsi="Calibri"/>
          <w:i/>
          <w:sz w:val="20"/>
          <w:szCs w:val="20"/>
        </w:rPr>
      </w:pPr>
      <w:r w:rsidRPr="00F563F9">
        <w:rPr>
          <w:rFonts w:ascii="Calibri" w:hAnsi="Calibri"/>
          <w:i/>
          <w:sz w:val="20"/>
          <w:szCs w:val="20"/>
        </w:rPr>
        <w:t>The updated quick form is sent every time a new incident is added to the database</w:t>
      </w:r>
      <w:r>
        <w:rPr>
          <w:rFonts w:ascii="Calibri" w:hAnsi="Calibri"/>
          <w:i/>
          <w:sz w:val="20"/>
          <w:szCs w:val="20"/>
        </w:rPr>
        <w:t>.</w:t>
      </w:r>
    </w:p>
    <w:p w:rsidR="00B454FB" w:rsidRPr="00F563F9" w:rsidRDefault="00B454FB" w:rsidP="00B454FB">
      <w:pPr>
        <w:pStyle w:val="ColorfulList-Accent11"/>
        <w:numPr>
          <w:ilvl w:val="1"/>
          <w:numId w:val="51"/>
        </w:numPr>
        <w:rPr>
          <w:rFonts w:ascii="Calibri" w:hAnsi="Calibri"/>
          <w:i/>
          <w:sz w:val="20"/>
          <w:szCs w:val="20"/>
        </w:rPr>
      </w:pPr>
      <w:r>
        <w:rPr>
          <w:rFonts w:ascii="Calibri" w:hAnsi="Calibri"/>
          <w:i/>
          <w:sz w:val="20"/>
          <w:szCs w:val="20"/>
        </w:rPr>
        <w:t>Reports are sent upon completion.</w:t>
      </w:r>
    </w:p>
    <w:p w:rsidR="00B454FB" w:rsidRPr="00F563F9" w:rsidRDefault="00B454FB" w:rsidP="00B454FB">
      <w:pPr>
        <w:pStyle w:val="ColorfulList-Accent11"/>
        <w:numPr>
          <w:ilvl w:val="1"/>
          <w:numId w:val="51"/>
        </w:numPr>
        <w:rPr>
          <w:rFonts w:ascii="Calibri" w:hAnsi="Calibri"/>
          <w:i/>
          <w:sz w:val="20"/>
          <w:szCs w:val="20"/>
        </w:rPr>
      </w:pPr>
      <w:r w:rsidRPr="00F563F9">
        <w:rPr>
          <w:rFonts w:ascii="Calibri" w:hAnsi="Calibri"/>
          <w:i/>
          <w:sz w:val="20"/>
          <w:szCs w:val="20"/>
        </w:rPr>
        <w:t xml:space="preserve">The database is sent monthly and </w:t>
      </w:r>
      <w:r>
        <w:rPr>
          <w:rFonts w:ascii="Calibri" w:hAnsi="Calibri"/>
          <w:i/>
          <w:sz w:val="20"/>
          <w:szCs w:val="20"/>
        </w:rPr>
        <w:t xml:space="preserve">as needed </w:t>
      </w:r>
      <w:r w:rsidRPr="00F563F9">
        <w:rPr>
          <w:rFonts w:ascii="Calibri" w:hAnsi="Calibri"/>
          <w:i/>
          <w:sz w:val="20"/>
          <w:szCs w:val="20"/>
        </w:rPr>
        <w:t>by request</w:t>
      </w:r>
      <w:r>
        <w:rPr>
          <w:rFonts w:ascii="Calibri" w:hAnsi="Calibri"/>
          <w:i/>
          <w:sz w:val="20"/>
          <w:szCs w:val="20"/>
        </w:rPr>
        <w:t>.</w:t>
      </w:r>
    </w:p>
    <w:p w:rsidR="00B454FB" w:rsidRPr="00D61C8A" w:rsidRDefault="00B454FB" w:rsidP="00B454FB">
      <w:pPr>
        <w:pStyle w:val="ColorfulList-Accent11"/>
        <w:numPr>
          <w:ilvl w:val="0"/>
          <w:numId w:val="51"/>
        </w:numPr>
        <w:rPr>
          <w:rFonts w:ascii="Calibri" w:hAnsi="Calibri"/>
          <w:i/>
          <w:sz w:val="20"/>
          <w:szCs w:val="20"/>
        </w:rPr>
      </w:pPr>
      <w:r w:rsidRPr="00D61C8A">
        <w:rPr>
          <w:rFonts w:ascii="Calibri" w:hAnsi="Calibri"/>
          <w:i/>
          <w:sz w:val="20"/>
          <w:szCs w:val="20"/>
        </w:rPr>
        <w:t>In the past, reports have been released according to different schedules and including different data:</w:t>
      </w:r>
    </w:p>
    <w:p w:rsidR="00B454FB" w:rsidRPr="00D61C8A" w:rsidRDefault="00B454FB" w:rsidP="00B454FB">
      <w:pPr>
        <w:rPr>
          <w:rFonts w:ascii="Calibri" w:hAnsi="Calibri"/>
          <w:color w:val="FF0000"/>
          <w:sz w:val="20"/>
          <w:szCs w:val="20"/>
        </w:rPr>
      </w:pP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An initial five-month report was published in June 2006, based on media reporting in January through May 2006</w:t>
      </w: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Bimonthly reports were published three times in 2006 and four times in 2007; each report included the following:</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Summary of incident statistics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System description and objectives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Case definitions, typology of explosive devices, and glossary</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Contact information for suggestions and corrections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Incident statistics for the reporting period, accompanied by figures</w:t>
      </w: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Three- and nine-month reports were published once in 2008 and twice in 2009; each report included the following:</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Summary of incident statistics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System objectives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Internet link for accessing reports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Incident statistics for the reporting period, accompanied by figures</w:t>
      </w: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Annual reports were published in 2006,</w:t>
      </w:r>
      <w:r w:rsidRPr="00D61C8A">
        <w:rPr>
          <w:rStyle w:val="FootnoteReference"/>
          <w:rFonts w:ascii="Calibri" w:hAnsi="Calibri"/>
          <w:sz w:val="20"/>
          <w:szCs w:val="20"/>
        </w:rPr>
        <w:footnoteReference w:id="10"/>
      </w:r>
      <w:r w:rsidRPr="00D61C8A">
        <w:rPr>
          <w:rFonts w:ascii="Calibri" w:hAnsi="Calibri"/>
          <w:sz w:val="20"/>
          <w:szCs w:val="20"/>
        </w:rPr>
        <w:t xml:space="preserve"> 2007, and 2008; each report included the following:</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Summary of incident statistics and introduction</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Case definitions, ED definitions, methods and glossary</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Range of information covered, limitations</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Contact information for suggestions and corrections (2006 and 2007 only)</w:t>
      </w: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Monthly flash reports were created three times in 2009 and twice in 2010; each report included the following:</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Casualties for the month and year-to-date, disaggregated by fatal and non-fatal injury (“killed” and “injured”)</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Children and adults killed and injured, disaggregated by sex</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Type of device, number of explosions, districts/VDCs/municipalities affected</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 xml:space="preserve">Fatal and non-fatal injuries (“killed” and “injured”) </w:t>
      </w:r>
      <w:r>
        <w:rPr>
          <w:rFonts w:ascii="Calibri" w:hAnsi="Calibri"/>
          <w:sz w:val="20"/>
          <w:szCs w:val="20"/>
        </w:rPr>
        <w:t xml:space="preserve">disaggregated </w:t>
      </w:r>
      <w:r w:rsidRPr="00D61C8A">
        <w:rPr>
          <w:rFonts w:ascii="Calibri" w:hAnsi="Calibri"/>
          <w:sz w:val="20"/>
          <w:szCs w:val="20"/>
        </w:rPr>
        <w:t xml:space="preserve">by </w:t>
      </w:r>
      <w:r>
        <w:rPr>
          <w:rFonts w:ascii="Calibri" w:hAnsi="Calibri"/>
          <w:sz w:val="20"/>
          <w:szCs w:val="20"/>
        </w:rPr>
        <w:t>five</w:t>
      </w:r>
      <w:r w:rsidRPr="00D61C8A">
        <w:rPr>
          <w:rFonts w:ascii="Calibri" w:hAnsi="Calibri"/>
          <w:sz w:val="20"/>
          <w:szCs w:val="20"/>
        </w:rPr>
        <w:t xml:space="preserve"> development regions and by month</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Text report on the most recent case, usually including names of injured individuals and DRs (see Appendix A.5)</w:t>
      </w:r>
    </w:p>
    <w:p w:rsidR="00B454FB" w:rsidRPr="00D61C8A" w:rsidRDefault="00B454FB" w:rsidP="00B454FB">
      <w:pPr>
        <w:pStyle w:val="ColorfulList-Accent11"/>
        <w:numPr>
          <w:ilvl w:val="3"/>
          <w:numId w:val="14"/>
        </w:numPr>
        <w:rPr>
          <w:rFonts w:ascii="Calibri" w:hAnsi="Calibri"/>
          <w:sz w:val="20"/>
          <w:szCs w:val="20"/>
        </w:rPr>
      </w:pPr>
      <w:r w:rsidRPr="00D61C8A">
        <w:rPr>
          <w:rFonts w:ascii="Calibri" w:hAnsi="Calibri"/>
          <w:sz w:val="20"/>
          <w:szCs w:val="20"/>
        </w:rPr>
        <w:t>Case definitions</w:t>
      </w:r>
    </w:p>
    <w:p w:rsidR="00B454FB" w:rsidRPr="00D61C8A" w:rsidRDefault="00B454FB" w:rsidP="00B454FB">
      <w:pPr>
        <w:pStyle w:val="ColorfulList-Accent11"/>
        <w:numPr>
          <w:ilvl w:val="2"/>
          <w:numId w:val="14"/>
        </w:numPr>
        <w:rPr>
          <w:rFonts w:ascii="Calibri" w:hAnsi="Calibri"/>
          <w:sz w:val="20"/>
          <w:szCs w:val="20"/>
        </w:rPr>
      </w:pPr>
      <w:r w:rsidRPr="00D61C8A">
        <w:rPr>
          <w:rFonts w:ascii="Calibri" w:hAnsi="Calibri"/>
          <w:sz w:val="20"/>
          <w:szCs w:val="20"/>
        </w:rPr>
        <w:t xml:space="preserve">A special chapter on ERW was included in </w:t>
      </w:r>
      <w:r>
        <w:rPr>
          <w:rFonts w:ascii="Calibri" w:hAnsi="Calibri"/>
          <w:sz w:val="20"/>
          <w:szCs w:val="20"/>
        </w:rPr>
        <w:t>INSEC’s</w:t>
      </w:r>
      <w:r w:rsidRPr="00D61C8A">
        <w:rPr>
          <w:rFonts w:ascii="Calibri" w:hAnsi="Calibri"/>
          <w:sz w:val="20"/>
          <w:szCs w:val="20"/>
        </w:rPr>
        <w:t xml:space="preserve"> Human Rights Yearbook published in 2009</w:t>
      </w:r>
      <w:r w:rsidRPr="00D61C8A">
        <w:rPr>
          <w:rStyle w:val="EndnoteReference"/>
          <w:rFonts w:ascii="Calibri" w:hAnsi="Calibri"/>
          <w:sz w:val="20"/>
          <w:szCs w:val="20"/>
        </w:rPr>
        <w:endnoteReference w:id="200"/>
      </w:r>
    </w:p>
    <w:p w:rsidR="00B454FB" w:rsidRPr="00D61C8A" w:rsidRDefault="00B454FB" w:rsidP="00B454FB">
      <w:pPr>
        <w:rPr>
          <w:rFonts w:ascii="Calibri" w:hAnsi="Calibri"/>
          <w:color w:val="FF0000"/>
          <w:sz w:val="20"/>
          <w:szCs w:val="20"/>
        </w:rPr>
      </w:pPr>
    </w:p>
    <w:p w:rsidR="00B454FB" w:rsidRPr="0081405B" w:rsidRDefault="00B454FB" w:rsidP="00B454FB">
      <w:pPr>
        <w:pStyle w:val="Heading5"/>
        <w:spacing w:before="0"/>
        <w:ind w:left="0"/>
        <w:rPr>
          <w:rFonts w:ascii="Calibri" w:hAnsi="Calibri"/>
          <w:b/>
          <w:sz w:val="20"/>
          <w:szCs w:val="20"/>
        </w:rPr>
      </w:pPr>
      <w:r w:rsidRPr="0081405B">
        <w:rPr>
          <w:rFonts w:ascii="Calibri" w:hAnsi="Calibri"/>
          <w:b/>
          <w:sz w:val="20"/>
          <w:szCs w:val="20"/>
        </w:rPr>
        <w:t xml:space="preserve">Partners use data to inform </w:t>
      </w:r>
      <w:r>
        <w:rPr>
          <w:rFonts w:ascii="Calibri" w:hAnsi="Calibri"/>
          <w:b/>
          <w:sz w:val="20"/>
          <w:szCs w:val="20"/>
        </w:rPr>
        <w:t>MA</w:t>
      </w:r>
      <w:r w:rsidRPr="0081405B">
        <w:rPr>
          <w:rFonts w:ascii="Calibri" w:hAnsi="Calibri"/>
          <w:b/>
          <w:sz w:val="20"/>
          <w:szCs w:val="20"/>
        </w:rPr>
        <w:t xml:space="preserve"> activities</w:t>
      </w:r>
    </w:p>
    <w:p w:rsidR="00B454FB" w:rsidRPr="00D61C8A" w:rsidRDefault="00B454FB" w:rsidP="00B454FB">
      <w:pPr>
        <w:tabs>
          <w:tab w:val="left" w:pos="4950"/>
        </w:tabs>
        <w:rPr>
          <w:rFonts w:ascii="Calibri" w:eastAsia="Cambria" w:hAnsi="Calibri"/>
          <w:sz w:val="20"/>
          <w:szCs w:val="20"/>
        </w:rPr>
      </w:pPr>
    </w:p>
    <w:p w:rsidR="00B454FB" w:rsidRPr="00D61C8A" w:rsidRDefault="00B454FB" w:rsidP="00B454FB">
      <w:pPr>
        <w:tabs>
          <w:tab w:val="left" w:pos="4950"/>
        </w:tabs>
        <w:rPr>
          <w:rFonts w:ascii="Calibri" w:eastAsia="Cambria" w:hAnsi="Calibri"/>
          <w:b/>
          <w:sz w:val="20"/>
          <w:szCs w:val="20"/>
        </w:rPr>
      </w:pPr>
      <w:r w:rsidRPr="00D61C8A">
        <w:rPr>
          <w:rFonts w:ascii="Calibri" w:eastAsia="Cambria" w:hAnsi="Calibri"/>
          <w:b/>
          <w:sz w:val="20"/>
          <w:szCs w:val="20"/>
        </w:rPr>
        <w:t>Successes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The system was established in a manner that minimizes time spent at each step; many steps are conducted on an immediate or same-day basis, eve</w:t>
      </w:r>
      <w:r>
        <w:rPr>
          <w:rFonts w:ascii="Calibri" w:eastAsia="Cambria" w:hAnsi="Calibri"/>
          <w:sz w:val="20"/>
          <w:szCs w:val="20"/>
        </w:rPr>
        <w:t>n if after regular office hours.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INSEC central-, regional- and district-level personnel involved in this evaluation expressed a sense of duty to report cases as quickly as possible</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INSEC maintains contingency plans to cover for individuals at different steps of the system if they are ill, on leave or otherwise unable to complete their tasks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lastRenderedPageBreak/>
        <w:t>Constant communication between district, regional and central INSEC representatives  and outreach to communities by well-networked DRs assists data progression</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Using electronic data transfer improves timeliness.  Flash reports released after each new incident are a particularly useful tool for coordination of emergency response and advocacy activities.</w:t>
      </w:r>
    </w:p>
    <w:p w:rsidR="00B454FB" w:rsidRPr="00D61C8A" w:rsidRDefault="00B454FB" w:rsidP="00B454FB">
      <w:pPr>
        <w:tabs>
          <w:tab w:val="left" w:pos="4950"/>
        </w:tabs>
        <w:rPr>
          <w:rFonts w:ascii="Calibri" w:hAnsi="Calibri"/>
          <w:sz w:val="20"/>
          <w:szCs w:val="20"/>
        </w:rPr>
      </w:pPr>
    </w:p>
    <w:p w:rsidR="00B454FB" w:rsidRPr="00D61C8A" w:rsidRDefault="00B454FB" w:rsidP="00B454FB">
      <w:pPr>
        <w:tabs>
          <w:tab w:val="left" w:pos="4950"/>
        </w:tabs>
        <w:rPr>
          <w:rFonts w:ascii="Calibri" w:eastAsia="Cambria" w:hAnsi="Calibri"/>
          <w:b/>
          <w:sz w:val="20"/>
          <w:szCs w:val="20"/>
        </w:rPr>
      </w:pPr>
      <w:r w:rsidRPr="00D61C8A">
        <w:rPr>
          <w:rFonts w:ascii="Calibri" w:eastAsia="Cambria" w:hAnsi="Calibri"/>
          <w:b/>
          <w:sz w:val="20"/>
          <w:szCs w:val="20"/>
        </w:rPr>
        <w:t>Challenges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Bandhs, transportation strikes, inclement weather, holidays and festivals sometimes prevent DRs from traveling.  In such cases INSEC regional offices obtain information from sources such as the police, journalists and teachers in order to feed data into flash reports and INSEConline.  DRs later follow up with site visits when travel is possible.</w:t>
      </w:r>
    </w:p>
    <w:p w:rsidR="00B454FB" w:rsidRPr="00D61C8A" w:rsidRDefault="00B454FB" w:rsidP="00B454FB">
      <w:pPr>
        <w:pStyle w:val="ColorfulList-Accent11"/>
        <w:tabs>
          <w:tab w:val="left" w:pos="4950"/>
        </w:tabs>
        <w:ind w:left="792"/>
        <w:rPr>
          <w:rFonts w:ascii="Calibri" w:eastAsia="Cambria" w:hAnsi="Calibri"/>
          <w:b/>
          <w:sz w:val="20"/>
          <w:szCs w:val="20"/>
        </w:rPr>
      </w:pPr>
    </w:p>
    <w:p w:rsidR="00B454FB" w:rsidRPr="00D61C8A" w:rsidRDefault="00B454FB" w:rsidP="00B454FB">
      <w:pPr>
        <w:tabs>
          <w:tab w:val="left" w:pos="4950"/>
        </w:tabs>
        <w:rPr>
          <w:rFonts w:ascii="Calibri" w:eastAsia="Cambria" w:hAnsi="Calibri"/>
          <w:b/>
          <w:sz w:val="20"/>
          <w:szCs w:val="20"/>
        </w:rPr>
      </w:pPr>
      <w:r w:rsidRPr="00D61C8A">
        <w:rPr>
          <w:rFonts w:ascii="Calibri" w:eastAsia="Cambria" w:hAnsi="Calibri"/>
          <w:b/>
          <w:sz w:val="20"/>
          <w:szCs w:val="20"/>
        </w:rPr>
        <w:t>Unknowns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Plans to start regional data entry may increase the speed of data flow from the district to central levels but may result in compromised data quality; any decision to start regional data entry should be accompanied by additional training to ensure that data quality does not suffer.</w:t>
      </w:r>
    </w:p>
    <w:p w:rsidR="00B454FB" w:rsidRPr="00D61C8A" w:rsidRDefault="00B454FB" w:rsidP="00B454FB">
      <w:pPr>
        <w:tabs>
          <w:tab w:val="left" w:pos="4950"/>
        </w:tabs>
        <w:rPr>
          <w:rFonts w:ascii="Calibri" w:eastAsia="Cambria" w:hAnsi="Calibri"/>
          <w:b/>
          <w:sz w:val="20"/>
          <w:szCs w:val="20"/>
        </w:rPr>
      </w:pPr>
    </w:p>
    <w:p w:rsidR="00B454FB" w:rsidRPr="00D61C8A" w:rsidRDefault="00B454FB" w:rsidP="00B454FB">
      <w:pPr>
        <w:tabs>
          <w:tab w:val="left" w:pos="4950"/>
        </w:tabs>
        <w:rPr>
          <w:rFonts w:ascii="Calibri" w:eastAsia="Cambria" w:hAnsi="Calibri"/>
          <w:b/>
          <w:sz w:val="20"/>
          <w:szCs w:val="20"/>
        </w:rPr>
      </w:pPr>
      <w:r w:rsidRPr="00D61C8A">
        <w:rPr>
          <w:rFonts w:ascii="Calibri" w:eastAsia="Cambria" w:hAnsi="Calibri"/>
          <w:b/>
          <w:sz w:val="20"/>
          <w:szCs w:val="20"/>
        </w:rPr>
        <w:t>Recommendations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Ensure that contingency plans are in place to address problems of delayed access due to transportation and communication problems; the INSEC central office may be able to find additional methods by consulting with DRs and regional staff.</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Consider storage of the database on a secure online data storage system such as Dropbox</w:t>
      </w:r>
      <w:r w:rsidRPr="00800CEF">
        <w:rPr>
          <w:rFonts w:eastAsia="Cambria"/>
          <w:sz w:val="20"/>
          <w:szCs w:val="20"/>
        </w:rPr>
        <w:footnoteReference w:id="11"/>
      </w:r>
      <w:r w:rsidRPr="00800CEF">
        <w:rPr>
          <w:rFonts w:ascii="Calibri" w:eastAsia="Cambria" w:hAnsi="Calibri"/>
          <w:sz w:val="20"/>
          <w:szCs w:val="20"/>
        </w:rPr>
        <w:t xml:space="preserve"> or a designated File Transfer Protocol (FTP) site.  Storing the database on such a system would allow the FPMA to control access to the file and save time currently spent saving the database in multiple locations.</w:t>
      </w:r>
    </w:p>
    <w:p w:rsidR="00B454FB" w:rsidRPr="006F5F27" w:rsidRDefault="00B454FB" w:rsidP="00B454FB">
      <w:pPr>
        <w:pStyle w:val="CommentText"/>
        <w:ind w:left="648"/>
        <w:rPr>
          <w:rFonts w:ascii="Calibri" w:eastAsia="Cambria" w:hAnsi="Calibri"/>
        </w:rPr>
      </w:pPr>
    </w:p>
    <w:p w:rsidR="00B454FB" w:rsidRPr="00D61C8A" w:rsidRDefault="00B454FB" w:rsidP="00B454FB">
      <w:pPr>
        <w:pStyle w:val="Heading4"/>
        <w:numPr>
          <w:ilvl w:val="0"/>
          <w:numId w:val="0"/>
        </w:numPr>
        <w:spacing w:before="0"/>
        <w:rPr>
          <w:rFonts w:ascii="Calibri" w:hAnsi="Calibri"/>
          <w:sz w:val="20"/>
          <w:szCs w:val="20"/>
        </w:rPr>
      </w:pPr>
      <w:r w:rsidRPr="006F5F27">
        <w:rPr>
          <w:rFonts w:ascii="Calibri" w:hAnsi="Calibri"/>
          <w:sz w:val="20"/>
          <w:szCs w:val="20"/>
        </w:rPr>
        <w:t>V</w:t>
      </w:r>
      <w:r>
        <w:rPr>
          <w:rFonts w:ascii="Calibri" w:hAnsi="Calibri"/>
          <w:sz w:val="20"/>
          <w:szCs w:val="20"/>
        </w:rPr>
        <w:t>.B.2.i</w:t>
      </w:r>
      <w:r>
        <w:rPr>
          <w:rFonts w:ascii="Calibri" w:hAnsi="Calibri"/>
          <w:sz w:val="20"/>
          <w:szCs w:val="20"/>
        </w:rPr>
        <w:tab/>
      </w:r>
      <w:r>
        <w:rPr>
          <w:rFonts w:ascii="Calibri" w:hAnsi="Calibri"/>
          <w:sz w:val="20"/>
          <w:szCs w:val="20"/>
        </w:rPr>
        <w:tab/>
      </w:r>
      <w:r w:rsidRPr="00D61C8A">
        <w:rPr>
          <w:rFonts w:ascii="Calibri" w:hAnsi="Calibri"/>
          <w:sz w:val="20"/>
          <w:szCs w:val="20"/>
        </w:rPr>
        <w:t>Stability</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“Stability refers to the reliability (i.e., the ability to collect, manage, and provide data properly without failure) and availability (the ability to be operational when it is needed) of the public health surveillance system.”</w:t>
      </w:r>
      <w:r w:rsidRPr="00784EE1">
        <w:rPr>
          <w:rStyle w:val="EndnoteReference"/>
          <w:rFonts w:ascii="Calibri" w:eastAsia="Cambria" w:hAnsi="Calibri"/>
          <w:sz w:val="20"/>
          <w:szCs w:val="20"/>
        </w:rPr>
        <w:endnoteReference w:id="201"/>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Assessment of stability may include an examination of the percentage of time the system is operating fully.  It may also consider desired and actual amounts of time required to collect, receive, transfer, enter, edit, store, back up and release data.</w:t>
      </w:r>
    </w:p>
    <w:p w:rsidR="00B454FB" w:rsidRPr="00D61C8A" w:rsidRDefault="00B454FB" w:rsidP="00B454FB">
      <w:pPr>
        <w:tabs>
          <w:tab w:val="left" w:pos="4950"/>
        </w:tabs>
        <w:rPr>
          <w:rFonts w:ascii="Calibri" w:hAnsi="Calibri" w:cs="Arial"/>
          <w:color w:val="000080"/>
          <w:sz w:val="20"/>
          <w:szCs w:val="20"/>
        </w:rPr>
      </w:pPr>
    </w:p>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Successes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The FPMA estimates that the surveillance system operates without any difficulty 90 % of the time; problems are more rare at the central level due to better ease of communication within Kathmandu</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 xml:space="preserve">Stability of the system is supported by the knowledge, experience, professionalism, and enthusiasm of its workforce  </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Workforce stability is furthered by clear delineation of tasks (e.g., one DR per district), constant communication among different levels of INSEC, and low staff turnover</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Contingency plans cover the duties of system personnel who are ill, on leave or otherwise unable to complete their tasks. Multiple individuals can administer the system at the central level.  If a DR is sick, journalists, volunteers from partner organizations or DRs from neighboring districts collect preliminary data and the regular DR travels to the incident site as soon as possible to finish data collection.</w:t>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Challenges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Some surveillance system stakeholders do not think that DRs are receiving enough money, particularly for trips to remote areas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Power outages make it difficult for DRs to send data collection forms electronically to INSEC regional and central offices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Computer problems, though very rare at the INSEC central office, occasionally occur in INSEC regional offices</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Telephone problems, particularly in the hilly and mountain regions and in some parts of the Far Western Region, make it difficult for the INSEC central office to stay in contact with DRs</w:t>
      </w:r>
      <w:r>
        <w:rPr>
          <w:rFonts w:ascii="Calibri" w:eastAsia="Cambria" w:hAnsi="Calibri"/>
          <w:sz w:val="20"/>
          <w:szCs w:val="20"/>
        </w:rPr>
        <w:t>.</w:t>
      </w:r>
    </w:p>
    <w:p w:rsidR="00B454FB" w:rsidRPr="00D917B1" w:rsidRDefault="00B454FB" w:rsidP="00B454FB">
      <w:pPr>
        <w:pStyle w:val="ColorfulList-Accent11"/>
        <w:numPr>
          <w:ilvl w:val="0"/>
          <w:numId w:val="87"/>
        </w:numPr>
        <w:rPr>
          <w:rFonts w:ascii="Calibri" w:eastAsia="Cambria" w:hAnsi="Calibri"/>
          <w:sz w:val="20"/>
          <w:szCs w:val="20"/>
        </w:rPr>
      </w:pPr>
      <w:r>
        <w:rPr>
          <w:rFonts w:ascii="Calibri" w:eastAsia="Cambria" w:hAnsi="Calibri"/>
          <w:sz w:val="20"/>
          <w:szCs w:val="20"/>
        </w:rPr>
        <w:t>Some financial information was difficult to obtain during the evaluation, giving the appearance that UNICEF and INSEC do not maintain thorough financial records on every aspect of the surveillance system.</w:t>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b/>
          <w:sz w:val="20"/>
          <w:szCs w:val="20"/>
        </w:rPr>
      </w:pPr>
      <w:r>
        <w:rPr>
          <w:rFonts w:ascii="Calibri" w:eastAsia="Cambria" w:hAnsi="Calibri"/>
          <w:b/>
          <w:sz w:val="20"/>
          <w:szCs w:val="20"/>
        </w:rPr>
        <w:br w:type="page"/>
      </w:r>
      <w:r w:rsidRPr="00D61C8A">
        <w:rPr>
          <w:rFonts w:ascii="Calibri" w:eastAsia="Cambria" w:hAnsi="Calibri"/>
          <w:b/>
          <w:sz w:val="20"/>
          <w:szCs w:val="20"/>
        </w:rPr>
        <w:lastRenderedPageBreak/>
        <w:t>Unknowns</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DRs who use computers use their own personal computers.  While this may be a necessity given limited INSEC resources and the high cost of computers, it may lead to a problem if a DR’s computer becomes damaged or stops working and the DR cannot afford repairs or a new computer</w:t>
      </w:r>
      <w:r>
        <w:rPr>
          <w:rFonts w:ascii="Calibri" w:eastAsia="Cambria" w:hAnsi="Calibri"/>
          <w:sz w:val="20"/>
          <w:szCs w:val="20"/>
        </w:rPr>
        <w:t>.</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Bandhs, transportation strikes, inclement weather, holidays and festivals can prevent DRs from traveling and interrupt communication</w:t>
      </w:r>
      <w:r>
        <w:rPr>
          <w:rFonts w:ascii="Calibri" w:eastAsia="Cambria" w:hAnsi="Calibri"/>
          <w:sz w:val="20"/>
          <w:szCs w:val="20"/>
        </w:rPr>
        <w:t>.</w:t>
      </w:r>
    </w:p>
    <w:p w:rsidR="00B454FB" w:rsidRPr="00D61C8A" w:rsidRDefault="00B454FB" w:rsidP="00B454FB">
      <w:pPr>
        <w:rPr>
          <w:rFonts w:ascii="Calibri" w:eastAsia="Cambria" w:hAnsi="Calibri"/>
          <w:sz w:val="20"/>
          <w:szCs w:val="20"/>
        </w:rPr>
      </w:pPr>
    </w:p>
    <w:p w:rsidR="00B454FB" w:rsidRPr="006F5F27" w:rsidRDefault="00B454FB" w:rsidP="00B454FB">
      <w:pPr>
        <w:rPr>
          <w:rFonts w:ascii="Calibri" w:eastAsia="Cambria" w:hAnsi="Calibri"/>
          <w:b/>
          <w:sz w:val="20"/>
          <w:szCs w:val="20"/>
        </w:rPr>
      </w:pPr>
      <w:r w:rsidRPr="00D61C8A">
        <w:rPr>
          <w:rFonts w:ascii="Calibri" w:eastAsia="Cambria" w:hAnsi="Calibri"/>
          <w:b/>
          <w:sz w:val="20"/>
          <w:szCs w:val="20"/>
        </w:rPr>
        <w:t>Recomme</w:t>
      </w:r>
      <w:r w:rsidRPr="006F5F27">
        <w:rPr>
          <w:rFonts w:ascii="Calibri" w:eastAsia="Cambria" w:hAnsi="Calibri"/>
          <w:b/>
          <w:sz w:val="20"/>
          <w:szCs w:val="20"/>
        </w:rPr>
        <w:t>ndations</w:t>
      </w:r>
    </w:p>
    <w:p w:rsidR="00B454FB" w:rsidRPr="006F5F27"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Ensure that DRs are paid enough to cover their travel expenses; this may involve paying a travel per diem that varies with duration of travel rather than the current fixed sum.</w:t>
      </w:r>
    </w:p>
    <w:p w:rsidR="00B454FB" w:rsidRPr="00800CEF"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Establish contingency plans to address computer and telephone problems.</w:t>
      </w:r>
    </w:p>
    <w:p w:rsidR="00B454FB" w:rsidRPr="006F5F27" w:rsidRDefault="00B454FB" w:rsidP="00B454FB">
      <w:pPr>
        <w:pStyle w:val="ColorfulList-Accent11"/>
        <w:numPr>
          <w:ilvl w:val="0"/>
          <w:numId w:val="87"/>
        </w:numPr>
        <w:rPr>
          <w:rFonts w:ascii="Calibri" w:eastAsia="Cambria" w:hAnsi="Calibri"/>
          <w:sz w:val="20"/>
          <w:szCs w:val="20"/>
        </w:rPr>
      </w:pPr>
      <w:r w:rsidRPr="00800CEF">
        <w:rPr>
          <w:rFonts w:ascii="Calibri" w:eastAsia="Cambria" w:hAnsi="Calibri"/>
          <w:sz w:val="20"/>
          <w:szCs w:val="20"/>
        </w:rPr>
        <w:t>Ensure that contingency plans are in place to address problems of delayed access due to transportation and communication problems</w:t>
      </w:r>
      <w:r w:rsidRPr="00D61C8A">
        <w:rPr>
          <w:rFonts w:ascii="Calibri" w:eastAsia="Cambria" w:hAnsi="Calibri"/>
          <w:sz w:val="20"/>
          <w:szCs w:val="20"/>
        </w:rPr>
        <w:t>; the INSEC central office may be able to find additional methods by consulting with DRs and regional staff.</w:t>
      </w:r>
    </w:p>
    <w:p w:rsidR="00B454FB" w:rsidRDefault="00B454FB" w:rsidP="00B454FB">
      <w:pPr>
        <w:pStyle w:val="ColorfulList-Accent11"/>
        <w:numPr>
          <w:ilvl w:val="0"/>
          <w:numId w:val="87"/>
        </w:numPr>
        <w:rPr>
          <w:rFonts w:ascii="Calibri" w:eastAsia="Cambria" w:hAnsi="Calibri"/>
          <w:sz w:val="20"/>
          <w:szCs w:val="20"/>
        </w:rPr>
      </w:pPr>
      <w:r w:rsidRPr="00D61C8A">
        <w:rPr>
          <w:rFonts w:ascii="Calibri" w:eastAsia="Cambria" w:hAnsi="Calibri"/>
          <w:sz w:val="20"/>
          <w:szCs w:val="20"/>
        </w:rPr>
        <w:t>Develop a full understanding of what expertise and institutional memory would remain if INSEC discontinued participation in the surveillance system, and assess how plausible it would be for another organization to take ownership of the surveillance system.</w:t>
      </w:r>
    </w:p>
    <w:p w:rsidR="00B454FB" w:rsidRPr="00D917B1" w:rsidRDefault="00B454FB" w:rsidP="00B454FB">
      <w:pPr>
        <w:pStyle w:val="ColorfulList-Accent11"/>
        <w:numPr>
          <w:ilvl w:val="0"/>
          <w:numId w:val="87"/>
        </w:numPr>
        <w:rPr>
          <w:rFonts w:ascii="Calibri" w:eastAsia="Cambria" w:hAnsi="Calibri"/>
          <w:sz w:val="20"/>
          <w:szCs w:val="20"/>
        </w:rPr>
      </w:pPr>
      <w:r>
        <w:rPr>
          <w:rFonts w:ascii="Calibri" w:eastAsia="Cambria" w:hAnsi="Calibri"/>
          <w:sz w:val="20"/>
          <w:szCs w:val="20"/>
        </w:rPr>
        <w:t>Collaborate with INSEC to m</w:t>
      </w:r>
      <w:r w:rsidRPr="00D61C8A">
        <w:rPr>
          <w:rFonts w:ascii="Calibri" w:eastAsia="Cambria" w:hAnsi="Calibri"/>
          <w:sz w:val="20"/>
          <w:szCs w:val="20"/>
        </w:rPr>
        <w:t xml:space="preserve">aintain more thorough records on </w:t>
      </w:r>
      <w:r>
        <w:rPr>
          <w:rFonts w:ascii="Calibri" w:eastAsia="Cambria" w:hAnsi="Calibri"/>
          <w:sz w:val="20"/>
          <w:szCs w:val="20"/>
        </w:rPr>
        <w:t>surveillance system expenditures.</w:t>
      </w:r>
    </w:p>
    <w:p w:rsidR="00B454FB" w:rsidRPr="006F5F27" w:rsidRDefault="00B454FB" w:rsidP="00B454FB">
      <w:pPr>
        <w:rPr>
          <w:rFonts w:ascii="Calibri" w:hAnsi="Calibri"/>
          <w:sz w:val="20"/>
          <w:szCs w:val="20"/>
        </w:rPr>
      </w:pPr>
    </w:p>
    <w:p w:rsidR="00B454FB" w:rsidRDefault="00B454FB" w:rsidP="00B454FB">
      <w:pPr>
        <w:pStyle w:val="Heading2"/>
        <w:numPr>
          <w:ilvl w:val="0"/>
          <w:numId w:val="0"/>
        </w:numPr>
        <w:spacing w:before="0"/>
        <w:rPr>
          <w:rFonts w:ascii="Calibri" w:hAnsi="Calibri"/>
          <w:sz w:val="20"/>
          <w:szCs w:val="20"/>
        </w:rPr>
      </w:pPr>
      <w:r w:rsidRPr="006F5F27">
        <w:rPr>
          <w:rFonts w:ascii="Calibri" w:hAnsi="Calibri"/>
          <w:sz w:val="20"/>
          <w:szCs w:val="20"/>
        </w:rPr>
        <w:t>V.C</w:t>
      </w:r>
      <w:r w:rsidRPr="006F5F27">
        <w:rPr>
          <w:rFonts w:ascii="Calibri" w:hAnsi="Calibri"/>
          <w:sz w:val="20"/>
          <w:szCs w:val="20"/>
        </w:rPr>
        <w:tab/>
      </w:r>
      <w:r w:rsidRPr="006F5F27">
        <w:rPr>
          <w:rFonts w:ascii="Calibri" w:hAnsi="Calibri"/>
          <w:sz w:val="20"/>
          <w:szCs w:val="20"/>
        </w:rPr>
        <w:tab/>
        <w:t>Recom</w:t>
      </w:r>
      <w:r w:rsidRPr="00D61C8A">
        <w:rPr>
          <w:rFonts w:ascii="Calibri" w:hAnsi="Calibri"/>
          <w:sz w:val="20"/>
          <w:szCs w:val="20"/>
        </w:rPr>
        <w:t>mendations for the surveillance system</w:t>
      </w:r>
    </w:p>
    <w:p w:rsidR="00B454FB" w:rsidRDefault="00B454FB" w:rsidP="00B454FB"/>
    <w:p w:rsidR="00B454FB" w:rsidRDefault="00B454FB" w:rsidP="00B454FB">
      <w:pPr>
        <w:rPr>
          <w:rFonts w:ascii="Calibri" w:hAnsi="Calibri"/>
          <w:sz w:val="20"/>
          <w:szCs w:val="20"/>
        </w:rPr>
      </w:pPr>
      <w:r>
        <w:rPr>
          <w:rFonts w:ascii="Calibri" w:hAnsi="Calibri"/>
          <w:sz w:val="20"/>
          <w:szCs w:val="20"/>
        </w:rPr>
        <w:t>A summary of recommendations made above in Section V.B.2 is available below:</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 xml:space="preserve">1) Improve data collection </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Rename the narrative field currently labeled “Other injuries” on the data collection form as “Description of injuries” to better distinguish between this field and the diagram with the same name.  Change the name of this field from “Others” to “Description of injuries” in the database.</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Ensure that </w:t>
      </w:r>
      <w:r>
        <w:rPr>
          <w:rFonts w:ascii="Calibri" w:hAnsi="Calibri"/>
          <w:sz w:val="20"/>
          <w:szCs w:val="20"/>
        </w:rPr>
        <w:t xml:space="preserve">INSEC </w:t>
      </w:r>
      <w:r w:rsidRPr="006F2F4A">
        <w:rPr>
          <w:rFonts w:ascii="Calibri" w:hAnsi="Calibri"/>
          <w:sz w:val="20"/>
          <w:szCs w:val="20"/>
        </w:rPr>
        <w:t>DRs understand the difference between the two diagrams and can read and understand the English labels.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DRs understand how to select checkboxes in the “Other injuries” diagram.  “Head/neck”, for example, should be selected for all injuries to the eyes, ears, face, etc.; “arm” should be selected for all injuries to the fingers, wrists, hands, elbows, etc.</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Encourage DRs to select checkboxes on the two diagrams whenever possible </w:t>
      </w:r>
      <w:r w:rsidRPr="006F2F4A">
        <w:rPr>
          <w:rFonts w:ascii="Calibri" w:hAnsi="Calibri"/>
          <w:b/>
          <w:sz w:val="20"/>
          <w:szCs w:val="20"/>
        </w:rPr>
        <w:t>and</w:t>
      </w:r>
      <w:r w:rsidRPr="006F2F4A">
        <w:rPr>
          <w:rFonts w:ascii="Calibri" w:hAnsi="Calibri"/>
          <w:sz w:val="20"/>
          <w:szCs w:val="20"/>
        </w:rPr>
        <w:t xml:space="preserve"> to describe all injuries in the narrative “other injuries” field.  In this manner, the accuracy of data entered in the two diagrams can be validated using the narrative field.  Any descriptions in the narrative field should include locations of injuries.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Train data entry personnel who enter records into the database and regional- and central-level INSEC personnel who conduct quality checks to understand the concepts mentioned in the preceding three recommendations and to thoroughly check each record for errors.  In the future these personnel should be able to recognize coding errors, recode them correctly in the database and communicate with DRs to prevent future errors.</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Review past records in which injuries were described in the narrative “Other injuries” field but checkboxes in the “Loss of” and “Other injuries” diagram fields were not selected sufficiently.  Wherever possible, select appropriate “Loss of” and “Other injuries” diagram columns in the database based on the descriptions available in the narrative “Other injuries” field.</w:t>
      </w:r>
    </w:p>
    <w:p w:rsidR="00103954" w:rsidRDefault="00103954"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Consider completion of a “quick guide” for all data collection, entry and quality assurance personnel to draw attention to data entry concerns and recent changes to the data collection form and the database.</w:t>
      </w:r>
      <w:r>
        <w:rPr>
          <w:rFonts w:ascii="Calibri" w:hAnsi="Calibri"/>
          <w:sz w:val="20"/>
          <w:szCs w:val="20"/>
        </w:rPr>
        <w:t xml:space="preserve">  This guide could be included in the data collection form or printed as a laminated card or other separate document.</w:t>
      </w:r>
    </w:p>
    <w:p w:rsidR="00B454FB" w:rsidRPr="006F2F4A"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Remove the “Occupation at the time of accident” question from the “Victim Description” table and list it as a separate question with checkboxes for answer options, in the same format as “Activity at the time of accident”.  </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 xml:space="preserve">Create three data source categories on the data collection form and in the database: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“Source name” with a narrative field;</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 xml:space="preserve">“Source address” with a narrative field (may be omitted from the database if not considered necessary); and </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“Relationship of source to victim” with the following answer choices: victim (self); witness family member; witness non-family member; non-witness family member; and non-witness non-family member.</w:t>
      </w:r>
    </w:p>
    <w:p w:rsidR="00B454FB" w:rsidRDefault="00B454FB" w:rsidP="00B454FB">
      <w:pPr>
        <w:pStyle w:val="ColorfulList-Accent11"/>
        <w:numPr>
          <w:ilvl w:val="0"/>
          <w:numId w:val="82"/>
        </w:numPr>
        <w:spacing w:line="276" w:lineRule="auto"/>
        <w:rPr>
          <w:rFonts w:ascii="Calibri" w:hAnsi="Calibri"/>
          <w:sz w:val="20"/>
          <w:szCs w:val="20"/>
        </w:rPr>
      </w:pPr>
      <w:r w:rsidRPr="00BF261A">
        <w:rPr>
          <w:rFonts w:ascii="Calibri" w:hAnsi="Calibri"/>
          <w:sz w:val="20"/>
          <w:szCs w:val="20"/>
        </w:rPr>
        <w:t>Ensure that all fields in the data collection form and database are labeled and arranged consistently:</w:t>
      </w:r>
    </w:p>
    <w:p w:rsidR="00B454FB" w:rsidRDefault="00B454FB" w:rsidP="00B454FB">
      <w:pPr>
        <w:pStyle w:val="ColorfulList-Accent11"/>
        <w:numPr>
          <w:ilvl w:val="1"/>
          <w:numId w:val="82"/>
        </w:numPr>
        <w:spacing w:line="276" w:lineRule="auto"/>
        <w:rPr>
          <w:rFonts w:ascii="Calibri" w:hAnsi="Calibri"/>
          <w:sz w:val="20"/>
          <w:szCs w:val="20"/>
        </w:rPr>
      </w:pPr>
      <w:r w:rsidRPr="00101F79">
        <w:rPr>
          <w:rFonts w:ascii="Calibri" w:hAnsi="Calibri"/>
          <w:sz w:val="20"/>
          <w:szCs w:val="20"/>
        </w:rPr>
        <w:lastRenderedPageBreak/>
        <w:t>Change the order of SN (record number assigned by DR) and CSN (casualty number) on the data collection form to match the order in the database and consider adding ISN (incident number) and VSN (casualty number per incident</w:t>
      </w:r>
      <w:r>
        <w:rPr>
          <w:rFonts w:ascii="Calibri" w:hAnsi="Calibri"/>
          <w:sz w:val="20"/>
          <w:szCs w:val="20"/>
        </w:rPr>
        <w:t xml:space="preserve">) </w:t>
      </w:r>
      <w:r w:rsidRPr="006F2F4A">
        <w:rPr>
          <w:rFonts w:ascii="Calibri" w:hAnsi="Calibri"/>
          <w:sz w:val="20"/>
          <w:szCs w:val="20"/>
        </w:rPr>
        <w:t>to the form.  Completion of ISN and VSN fields on the data collection form by data entry personnel could facilitate matching of data collection forms with database rows for necessary follow-up.</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Change “Prepared by” on the data collection form to “DR name” to match the database.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Place the three questions related to incident circumstances (“Who activated the ED?”, “How did the ED explode?” and “Activity at time of accident”) together on the data collection form to match the database.</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fields on the Nepali and English data collection forms are consistent.</w:t>
      </w:r>
    </w:p>
    <w:p w:rsidR="00B454FB" w:rsidRDefault="00B454FB" w:rsidP="00B454FB">
      <w:pPr>
        <w:pStyle w:val="ColorfulList-Accent11"/>
        <w:numPr>
          <w:ilvl w:val="0"/>
          <w:numId w:val="82"/>
        </w:numPr>
        <w:spacing w:line="276" w:lineRule="auto"/>
        <w:rPr>
          <w:rFonts w:ascii="Calibri" w:hAnsi="Calibri"/>
          <w:sz w:val="20"/>
          <w:szCs w:val="20"/>
        </w:rPr>
      </w:pPr>
      <w:r w:rsidRPr="006F2F4A">
        <w:rPr>
          <w:rFonts w:ascii="Calibri" w:hAnsi="Calibri"/>
          <w:sz w:val="20"/>
          <w:szCs w:val="20"/>
        </w:rPr>
        <w:t>Ensure that all DRs understand and code answers to the following questions in a consistent manner: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“Was area marked as dangerous?”: this refers to official markings (such as a sign posted by the NA) and not unofficial markings (such as a piece of cloth tied to a fence by a community member);</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sz w:val="20"/>
          <w:szCs w:val="20"/>
        </w:rPr>
        <w:t>“Literacy”: an injured individual is considered literate if he/she can read and write simple sentences in his/her mother tongue;</w:t>
      </w:r>
    </w:p>
    <w:p w:rsidR="00B454FB"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Family size”: family members are defined as those who have been using the same kitchen and sitting and eating together in the same home for the past six months;</w:t>
      </w:r>
    </w:p>
    <w:p w:rsidR="00B454FB" w:rsidRPr="006F2F4A" w:rsidRDefault="00B454FB" w:rsidP="00B454FB">
      <w:pPr>
        <w:pStyle w:val="ColorfulList-Accent11"/>
        <w:numPr>
          <w:ilvl w:val="1"/>
          <w:numId w:val="82"/>
        </w:numPr>
        <w:spacing w:line="276" w:lineRule="auto"/>
        <w:rPr>
          <w:rFonts w:ascii="Calibri" w:hAnsi="Calibri"/>
          <w:sz w:val="20"/>
          <w:szCs w:val="20"/>
        </w:rPr>
      </w:pPr>
      <w:r w:rsidRPr="006F2F4A">
        <w:rPr>
          <w:rFonts w:ascii="Calibri" w:hAnsi="Calibri"/>
          <w:i/>
          <w:sz w:val="20"/>
          <w:szCs w:val="20"/>
        </w:rPr>
        <w:t>“</w:t>
      </w:r>
      <w:r w:rsidRPr="006F2F4A">
        <w:rPr>
          <w:rFonts w:ascii="Calibri" w:hAnsi="Calibri"/>
          <w:sz w:val="20"/>
          <w:szCs w:val="20"/>
        </w:rPr>
        <w:t>Number of dependents”: dependents are family members who rely on the injured individual for food, education, and other resources);</w:t>
      </w:r>
    </w:p>
    <w:p w:rsidR="00B454FB" w:rsidRDefault="00B454FB" w:rsidP="00B454FB">
      <w:pPr>
        <w:spacing w:line="276" w:lineRule="auto"/>
        <w:ind w:left="288"/>
        <w:rPr>
          <w:rFonts w:ascii="Calibri" w:hAnsi="Calibri"/>
          <w:sz w:val="20"/>
          <w:szCs w:val="20"/>
        </w:rPr>
      </w:pPr>
      <w:r>
        <w:rPr>
          <w:rFonts w:ascii="Calibri" w:hAnsi="Calibri"/>
          <w:sz w:val="20"/>
          <w:szCs w:val="20"/>
        </w:rPr>
        <w:t>Steps to ensure that these definitions are clear may include additional training of DRs, provision of a “quick guide” drawing attention to data quality concerns and/or additional clarification on the data collection form.</w:t>
      </w:r>
    </w:p>
    <w:p w:rsidR="00B454FB" w:rsidRDefault="00B454FB" w:rsidP="00B454FB">
      <w:pPr>
        <w:pStyle w:val="ColorfulList-Accent11"/>
        <w:numPr>
          <w:ilvl w:val="0"/>
          <w:numId w:val="82"/>
        </w:numPr>
        <w:spacing w:line="276" w:lineRule="auto"/>
        <w:rPr>
          <w:rFonts w:ascii="Calibri" w:hAnsi="Calibri"/>
          <w:b/>
          <w:sz w:val="20"/>
          <w:szCs w:val="20"/>
        </w:rPr>
      </w:pPr>
      <w:r w:rsidRPr="00BF261A">
        <w:rPr>
          <w:rFonts w:ascii="Calibri" w:hAnsi="Calibri"/>
          <w:sz w:val="20"/>
          <w:szCs w:val="20"/>
        </w:rPr>
        <w:t xml:space="preserve">Consider </w:t>
      </w:r>
      <w:r>
        <w:rPr>
          <w:rFonts w:ascii="Calibri" w:hAnsi="Calibri"/>
          <w:sz w:val="20"/>
          <w:szCs w:val="20"/>
        </w:rPr>
        <w:t>modifying</w:t>
      </w:r>
      <w:r w:rsidRPr="00BF261A">
        <w:rPr>
          <w:rFonts w:ascii="Calibri" w:hAnsi="Calibri"/>
          <w:sz w:val="20"/>
          <w:szCs w:val="20"/>
        </w:rPr>
        <w:t xml:space="preserve"> </w:t>
      </w:r>
      <w:r>
        <w:rPr>
          <w:rFonts w:ascii="Calibri" w:hAnsi="Calibri"/>
          <w:sz w:val="20"/>
          <w:szCs w:val="20"/>
        </w:rPr>
        <w:t>definitions of economic status and MRE to increase clarity</w:t>
      </w:r>
      <w:r w:rsidRPr="00BF261A">
        <w:rPr>
          <w:rFonts w:ascii="Calibri" w:hAnsi="Calibri"/>
          <w:sz w:val="20"/>
          <w:szCs w:val="20"/>
        </w:rPr>
        <w:t xml:space="preserve">: </w:t>
      </w:r>
    </w:p>
    <w:p w:rsidR="00B454FB"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Current options listed under “Economic status” are “lowest (family members must work to feed themselves)”, “lower (family has food surplus that will last six months)”, “middle (family has food surplus that will last one year)” and “higher (family has food surplus that will last more than one year)”.  The evaluation team suggests the following alternative options: “No food surplus”; “Food surplus for 1-6 months”; “Food surplus for 7-12 months”; and “Food surplus for &gt; 12 months”.</w:t>
      </w:r>
    </w:p>
    <w:p w:rsidR="00B454FB" w:rsidRPr="006F2F4A" w:rsidRDefault="00B454FB" w:rsidP="00B454FB">
      <w:pPr>
        <w:pStyle w:val="ColorfulList-Accent11"/>
        <w:numPr>
          <w:ilvl w:val="1"/>
          <w:numId w:val="82"/>
        </w:numPr>
        <w:spacing w:line="276" w:lineRule="auto"/>
        <w:rPr>
          <w:rFonts w:ascii="Calibri" w:hAnsi="Calibri"/>
          <w:b/>
          <w:sz w:val="20"/>
          <w:szCs w:val="20"/>
        </w:rPr>
      </w:pPr>
      <w:r w:rsidRPr="006F2F4A">
        <w:rPr>
          <w:rFonts w:ascii="Calibri" w:hAnsi="Calibri"/>
          <w:sz w:val="20"/>
          <w:szCs w:val="20"/>
        </w:rPr>
        <w:t>It may be desirable to differentiate between formal MRE (such as attendance at a session conducted by UNICEF or a partner organization) and informal MRE (such as looking at a leaflet passed along by a family member); some partners may wish to limit this data element to formal MRE to study the coverage of MRE programming).</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Adjust types of ED listed on the form and in the database to reflect past and current injury trends.  Remove answer choices that have never been chosen: “bucket”, “pressure cooker”, “flag”, “banner”, “roadblock”, “cartridge”, “claymore type” and “anti-vehicle mine” for “Type of ED” and “health worker”, “social worker”, “political worker” for “Occupation at the time of accident”.  Add some answer choices (such as “detonator” for “Type of ED” and “housewife”, “police” and “child” for “Occupation at the time of accident”) that have been entered frequently in “Other” fields in the past.  Please note that “removing roadblock/flag/banner” should be removed from the answer choices following “Activity at time of accident” if these ED types are removed from the list following “Type of ED”.  Such activities should be coded as one of the “Handling ED” choices.</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If partners are trying to understand the incidence of known risk behaviors (intentionally striking/throwing ED, handling ED, etc.), the data collection form may be changed to ensure that “Did victim know activity was dangerous?” is asked only of individuals who report high-risk behaviors at the time of the incident.  If partners prefer to continue asking this question of all respondents, they may wish to disaggregate responses by activity at time of accident during analysis.</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Revisit the exclusion of members of NSAGs from the case definition, especially given the recent decision to include members of government security forces.  This may encourage all injured individuals to seek VA services, regardless of political affiliation, and may identify previously unknown areas of ED contamination.</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 xml:space="preserve">Ensure that a mechanism has been created to incorporate NA and other government security forces injury data into the data collection process, in accordance with the recent decision to include members of government security forces in the case definition. </w:t>
      </w:r>
    </w:p>
    <w:p w:rsidR="00B454FB"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Ensure that DRs continue to apply the case definition of VAE rigorously, particularly as the inclusion criteria expand to include combatants.</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bCs/>
          <w:iCs/>
          <w:sz w:val="20"/>
          <w:szCs w:val="20"/>
        </w:rPr>
        <w:t>Revisit the question about the last grade passed with DRs; this question resulted in the lowest response rate (82.9 %) in 2009.</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lastRenderedPageBreak/>
        <w:t>Ensure that a mechanism exists to differentiate between unintentionally skipped and intentionally unanswered questions in the data collection form and database.  This mechanism can be as simple as using “x” to denote one and “?” the other, but should be appropriate for a Nepali data collection form.  DRs and data entry personnel should be trained in the new mechanism.</w:t>
      </w:r>
    </w:p>
    <w:p w:rsidR="00B454FB" w:rsidRPr="006F2F4A" w:rsidRDefault="00B454FB" w:rsidP="00B454FB">
      <w:pPr>
        <w:pStyle w:val="ColorfulList-Accent11"/>
        <w:numPr>
          <w:ilvl w:val="0"/>
          <w:numId w:val="82"/>
        </w:numPr>
        <w:spacing w:line="276" w:lineRule="auto"/>
        <w:rPr>
          <w:rFonts w:ascii="Calibri" w:hAnsi="Calibri"/>
          <w:b/>
          <w:sz w:val="20"/>
          <w:szCs w:val="20"/>
        </w:rPr>
      </w:pPr>
      <w:r w:rsidRPr="006F2F4A">
        <w:rPr>
          <w:rFonts w:ascii="Calibri" w:hAnsi="Calibri"/>
          <w:sz w:val="20"/>
          <w:szCs w:val="20"/>
        </w:rPr>
        <w:t>Clarify all case definitions and ensure that they are applied consistently in all districts.</w:t>
      </w:r>
    </w:p>
    <w:p w:rsidR="00B454FB" w:rsidRPr="00896DCD" w:rsidRDefault="00B454FB" w:rsidP="00B454FB">
      <w:pPr>
        <w:pStyle w:val="ColorfulList-Accent11"/>
        <w:numPr>
          <w:ilvl w:val="0"/>
          <w:numId w:val="82"/>
        </w:numPr>
        <w:spacing w:line="276" w:lineRule="auto"/>
        <w:rPr>
          <w:rFonts w:ascii="Calibri" w:hAnsi="Calibri"/>
          <w:b/>
          <w:sz w:val="20"/>
          <w:szCs w:val="20"/>
        </w:rPr>
      </w:pPr>
      <w:r w:rsidRPr="006F2F4A">
        <w:rPr>
          <w:rFonts w:ascii="Calibri" w:eastAsia="Cambria" w:hAnsi="Calibri" w:cs="Times-Roman"/>
          <w:sz w:val="20"/>
          <w:szCs w:val="20"/>
        </w:rPr>
        <w:t xml:space="preserve">Investigate the possibility of conducting a “capture-recapture” comparison of INSEC data with those of other sources (including </w:t>
      </w:r>
      <w:r w:rsidRPr="00896DCD">
        <w:rPr>
          <w:rFonts w:ascii="Calibri" w:hAnsi="Calibri"/>
          <w:bCs/>
          <w:iCs/>
          <w:sz w:val="20"/>
          <w:szCs w:val="20"/>
        </w:rPr>
        <w:t>Ban Landmines Campaign Nepal</w:t>
      </w:r>
      <w:r w:rsidRPr="00896DCD">
        <w:rPr>
          <w:rFonts w:ascii="Calibri" w:eastAsia="Cambria" w:hAnsi="Calibri" w:cs="Times-Roman"/>
          <w:sz w:val="20"/>
          <w:szCs w:val="20"/>
        </w:rPr>
        <w:t xml:space="preserve"> (NCBL),</w:t>
      </w:r>
      <w:r w:rsidRPr="006F2F4A">
        <w:rPr>
          <w:rFonts w:ascii="Calibri" w:eastAsia="Cambria" w:hAnsi="Calibri" w:cs="Times-Roman"/>
          <w:sz w:val="20"/>
          <w:szCs w:val="20"/>
        </w:rPr>
        <w:t xml:space="preserve"> the Nepal Police and HimRights) to reveal more about the sensitivity of the system.</w:t>
      </w:r>
    </w:p>
    <w:p w:rsidR="00B454FB" w:rsidRPr="00896DCD" w:rsidRDefault="00B454FB" w:rsidP="00B454FB">
      <w:pPr>
        <w:pStyle w:val="ColorfulList-Accent11"/>
        <w:spacing w:line="276" w:lineRule="auto"/>
        <w:ind w:left="360"/>
        <w:rPr>
          <w:rFonts w:ascii="Calibri" w:hAnsi="Calibri"/>
          <w:b/>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 xml:space="preserve">2) </w:t>
      </w:r>
      <w:r>
        <w:rPr>
          <w:rFonts w:ascii="Calibri" w:hAnsi="Calibri"/>
          <w:b/>
          <w:sz w:val="20"/>
          <w:szCs w:val="20"/>
        </w:rPr>
        <w:t>En</w:t>
      </w:r>
      <w:r w:rsidRPr="00D61C8A">
        <w:rPr>
          <w:rFonts w:ascii="Calibri" w:hAnsi="Calibri"/>
          <w:b/>
          <w:sz w:val="20"/>
          <w:szCs w:val="20"/>
        </w:rPr>
        <w:t>sure efficient maintenance of the database</w:t>
      </w:r>
    </w:p>
    <w:p w:rsidR="00B454FB" w:rsidRPr="00D61C8A" w:rsidRDefault="00B454FB" w:rsidP="00B454FB">
      <w:pPr>
        <w:pStyle w:val="ColorfulList-Accent11"/>
        <w:numPr>
          <w:ilvl w:val="0"/>
          <w:numId w:val="82"/>
        </w:numPr>
        <w:spacing w:line="276" w:lineRule="auto"/>
        <w:rPr>
          <w:rFonts w:ascii="Calibri" w:hAnsi="Calibri"/>
          <w:sz w:val="20"/>
          <w:szCs w:val="20"/>
        </w:rPr>
      </w:pPr>
      <w:r w:rsidRPr="00896DCD">
        <w:rPr>
          <w:rFonts w:ascii="Calibri" w:hAnsi="Calibri"/>
          <w:sz w:val="20"/>
          <w:szCs w:val="20"/>
        </w:rPr>
        <w:t>Clarify the naming and order of Microsoft Excel database worksheets.</w:t>
      </w:r>
    </w:p>
    <w:p w:rsidR="00B454FB" w:rsidRPr="00896DCD" w:rsidRDefault="00B454FB" w:rsidP="00B454FB">
      <w:pPr>
        <w:pStyle w:val="ColorfulList-Accent11"/>
        <w:numPr>
          <w:ilvl w:val="0"/>
          <w:numId w:val="82"/>
        </w:numPr>
        <w:spacing w:line="276" w:lineRule="auto"/>
        <w:rPr>
          <w:rFonts w:ascii="Calibri" w:hAnsi="Calibri"/>
          <w:sz w:val="20"/>
          <w:szCs w:val="20"/>
        </w:rPr>
      </w:pPr>
      <w:r w:rsidRPr="00896DCD">
        <w:rPr>
          <w:rFonts w:ascii="Calibri" w:hAnsi="Calibri"/>
          <w:sz w:val="20"/>
          <w:szCs w:val="20"/>
        </w:rPr>
        <w:t>Consider storage of the database on a secure online data storage system such as Dropbox</w:t>
      </w:r>
      <w:r w:rsidRPr="00896DCD">
        <w:footnoteReference w:id="12"/>
      </w:r>
      <w:r w:rsidRPr="00896DCD">
        <w:rPr>
          <w:rFonts w:ascii="Calibri" w:hAnsi="Calibri"/>
          <w:sz w:val="20"/>
          <w:szCs w:val="20"/>
        </w:rPr>
        <w:t xml:space="preserve"> or a designated File Transfer Protocol (FTP) site.  Storing the database on such a system would allow the FPMA to control access to the file and save time currently spent saving the database in multiple locations.</w:t>
      </w:r>
    </w:p>
    <w:p w:rsidR="00B454FB" w:rsidRDefault="00B454FB" w:rsidP="00B454FB">
      <w:pPr>
        <w:pStyle w:val="ColorfulList-Accent11"/>
        <w:numPr>
          <w:ilvl w:val="0"/>
          <w:numId w:val="82"/>
        </w:numPr>
        <w:spacing w:line="276" w:lineRule="auto"/>
        <w:rPr>
          <w:rFonts w:ascii="Calibri" w:hAnsi="Calibri"/>
          <w:sz w:val="20"/>
          <w:szCs w:val="20"/>
        </w:rPr>
      </w:pPr>
      <w:r w:rsidRPr="00896DCD">
        <w:rPr>
          <w:rFonts w:ascii="Calibri" w:hAnsi="Calibri"/>
          <w:sz w:val="20"/>
          <w:szCs w:val="20"/>
        </w:rPr>
        <w:t>Address discrepancies between the data collection form and the database.</w:t>
      </w:r>
    </w:p>
    <w:p w:rsidR="00B454FB" w:rsidRPr="001B6C2C" w:rsidRDefault="00B454FB" w:rsidP="00B454FB">
      <w:pPr>
        <w:pStyle w:val="ColorfulList-Accent11"/>
        <w:numPr>
          <w:ilvl w:val="0"/>
          <w:numId w:val="82"/>
        </w:numPr>
        <w:spacing w:line="276" w:lineRule="auto"/>
        <w:rPr>
          <w:rFonts w:ascii="Calibri" w:hAnsi="Calibri"/>
          <w:sz w:val="20"/>
          <w:szCs w:val="20"/>
        </w:rPr>
      </w:pPr>
      <w:r w:rsidRPr="001B6C2C">
        <w:rPr>
          <w:rFonts w:ascii="Calibri" w:hAnsi="Calibri"/>
          <w:sz w:val="20"/>
          <w:szCs w:val="20"/>
        </w:rPr>
        <w:t>Reconsider the idea of regional data entry; allowing more people access to the database may jeopardize data quality.  If the primary reason for considering this idea is to allow regional personnel to analyze their own data, it may be possible for the central office to send them the data separately.  On a related note, regional personnel should be cautious when interpreting data at the regional level, at which sample sizes are so small that conclusions may not be statistically significant.</w:t>
      </w:r>
    </w:p>
    <w:p w:rsidR="00B454FB" w:rsidRPr="00896DCD" w:rsidRDefault="00B454FB" w:rsidP="00B454FB">
      <w:pPr>
        <w:pStyle w:val="ColorfulList-Accent11"/>
        <w:numPr>
          <w:ilvl w:val="0"/>
          <w:numId w:val="82"/>
        </w:numPr>
        <w:spacing w:line="276" w:lineRule="auto"/>
        <w:rPr>
          <w:rFonts w:ascii="Calibri" w:hAnsi="Calibr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3) Encourage use of data collected</w:t>
      </w:r>
    </w:p>
    <w:p w:rsidR="00B454FB" w:rsidRPr="00CB4454" w:rsidRDefault="00B454FB" w:rsidP="00B454FB">
      <w:pPr>
        <w:pStyle w:val="ColorfulList-Accent11"/>
        <w:numPr>
          <w:ilvl w:val="0"/>
          <w:numId w:val="59"/>
        </w:numPr>
        <w:spacing w:line="276" w:lineRule="auto"/>
        <w:ind w:left="360"/>
        <w:rPr>
          <w:rFonts w:ascii="Calibri" w:eastAsia="Cambria" w:hAnsi="Calibri"/>
          <w:sz w:val="20"/>
          <w:szCs w:val="20"/>
        </w:rPr>
      </w:pPr>
      <w:r>
        <w:rPr>
          <w:rFonts w:ascii="Calibri" w:hAnsi="Calibri"/>
          <w:sz w:val="20"/>
          <w:szCs w:val="20"/>
        </w:rPr>
        <w:t>C</w:t>
      </w:r>
      <w:r w:rsidRPr="00CB4454">
        <w:rPr>
          <w:rFonts w:ascii="Calibri" w:hAnsi="Calibri"/>
          <w:sz w:val="20"/>
          <w:szCs w:val="20"/>
        </w:rPr>
        <w:t xml:space="preserve">onsider expanding the </w:t>
      </w:r>
      <w:r>
        <w:rPr>
          <w:rFonts w:ascii="Calibri" w:hAnsi="Calibri"/>
          <w:sz w:val="20"/>
          <w:szCs w:val="20"/>
        </w:rPr>
        <w:t xml:space="preserve">surveillance system </w:t>
      </w:r>
      <w:r w:rsidRPr="00CB4454">
        <w:rPr>
          <w:rFonts w:ascii="Calibri" w:hAnsi="Calibri"/>
          <w:sz w:val="20"/>
          <w:szCs w:val="20"/>
        </w:rPr>
        <w:t xml:space="preserve">objectives to link data collection </w:t>
      </w:r>
      <w:r>
        <w:rPr>
          <w:rFonts w:ascii="Calibri" w:hAnsi="Calibri"/>
          <w:sz w:val="20"/>
          <w:szCs w:val="20"/>
        </w:rPr>
        <w:t>with all pillars of MA</w:t>
      </w:r>
      <w:r w:rsidRPr="00CB4454">
        <w:rPr>
          <w:rFonts w:ascii="Calibri" w:hAnsi="Calibri"/>
          <w:sz w:val="20"/>
          <w:szCs w:val="20"/>
        </w:rPr>
        <w:t>.</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Clarify the naming of reports posted </w:t>
      </w:r>
      <w:r>
        <w:rPr>
          <w:rFonts w:ascii="Calibri" w:eastAsia="Cambria" w:hAnsi="Calibri"/>
          <w:sz w:val="20"/>
          <w:szCs w:val="20"/>
        </w:rPr>
        <w:t>on the</w:t>
      </w:r>
      <w:r w:rsidRPr="00D61C8A">
        <w:rPr>
          <w:rFonts w:ascii="Calibri" w:eastAsia="Cambria" w:hAnsi="Calibri"/>
          <w:sz w:val="20"/>
          <w:szCs w:val="20"/>
        </w:rPr>
        <w:t xml:space="preserve"> INSEConline</w:t>
      </w:r>
      <w:r>
        <w:rPr>
          <w:rFonts w:ascii="Calibri" w:eastAsia="Cambria" w:hAnsi="Calibri"/>
          <w:sz w:val="20"/>
          <w:szCs w:val="20"/>
        </w:rPr>
        <w:t xml:space="preserve"> website</w:t>
      </w:r>
      <w:r w:rsidRPr="00D61C8A">
        <w:rPr>
          <w:rFonts w:ascii="Calibri" w:eastAsia="Cambria" w:hAnsi="Calibri"/>
          <w:sz w:val="20"/>
          <w:szCs w:val="20"/>
        </w:rPr>
        <w:t>; this will increase the usability of the reports and encourage more users to return to the site.</w:t>
      </w:r>
    </w:p>
    <w:p w:rsidR="00B454FB" w:rsidRPr="007579A6"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hAnsi="Calibri"/>
          <w:sz w:val="20"/>
          <w:szCs w:val="20"/>
        </w:rPr>
        <w:t xml:space="preserve">Consider making reports available in some other format, as individuals without access to the Internet </w:t>
      </w:r>
      <w:r>
        <w:rPr>
          <w:rFonts w:ascii="Calibri" w:hAnsi="Calibri"/>
          <w:sz w:val="20"/>
          <w:szCs w:val="20"/>
        </w:rPr>
        <w:t>do</w:t>
      </w:r>
      <w:r w:rsidRPr="007579A6">
        <w:rPr>
          <w:rFonts w:ascii="Calibri" w:hAnsi="Calibri"/>
          <w:sz w:val="20"/>
          <w:szCs w:val="20"/>
        </w:rPr>
        <w:t xml:space="preserve"> not have access to reports online.  If UNICEF and INSEC do not wish to publish reports elsewhere, they may consider using other media to inform the public about the availability of the online reports.</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Collaborate with NA personnel who prioritize areas for demining and clearance to </w:t>
      </w:r>
      <w:r>
        <w:rPr>
          <w:rFonts w:ascii="Calibri" w:eastAsia="Cambria" w:hAnsi="Calibri"/>
          <w:sz w:val="20"/>
          <w:szCs w:val="20"/>
        </w:rPr>
        <w:t>en</w:t>
      </w:r>
      <w:r w:rsidRPr="00D61C8A">
        <w:rPr>
          <w:rFonts w:ascii="Calibri" w:eastAsia="Cambria" w:hAnsi="Calibri"/>
          <w:sz w:val="20"/>
          <w:szCs w:val="20"/>
        </w:rPr>
        <w:t>sure that injury data are being considered during the selection of priority areas.</w:t>
      </w:r>
    </w:p>
    <w:p w:rsidR="00B454FB" w:rsidRPr="00D61C8A" w:rsidRDefault="00B454FB" w:rsidP="00B454FB">
      <w:pPr>
        <w:pStyle w:val="ColorfulList-Accent11"/>
        <w:numPr>
          <w:ilvl w:val="0"/>
          <w:numId w:val="59"/>
        </w:numPr>
        <w:spacing w:line="276" w:lineRule="auto"/>
        <w:ind w:left="360"/>
        <w:rPr>
          <w:rFonts w:ascii="Calibri" w:eastAsia="Cambria" w:hAnsi="Calibri"/>
          <w:sz w:val="20"/>
          <w:szCs w:val="20"/>
        </w:rPr>
      </w:pPr>
      <w:r w:rsidRPr="00D61C8A">
        <w:rPr>
          <w:rFonts w:ascii="Calibri" w:eastAsia="Cambria" w:hAnsi="Calibri"/>
          <w:sz w:val="20"/>
          <w:szCs w:val="20"/>
        </w:rPr>
        <w:t xml:space="preserve">Encourage the development of a standardized response mechanism </w:t>
      </w:r>
      <w:r>
        <w:rPr>
          <w:rFonts w:ascii="Calibri" w:eastAsia="Cambria" w:hAnsi="Calibri"/>
          <w:sz w:val="20"/>
          <w:szCs w:val="20"/>
        </w:rPr>
        <w:t xml:space="preserve">by which VAE injury surveillance system data can be used </w:t>
      </w:r>
      <w:r w:rsidRPr="00D61C8A">
        <w:rPr>
          <w:rFonts w:ascii="Calibri" w:eastAsia="Cambria" w:hAnsi="Calibri"/>
          <w:sz w:val="20"/>
          <w:szCs w:val="20"/>
        </w:rPr>
        <w:t xml:space="preserve">to clear newly found ED </w:t>
      </w:r>
      <w:r>
        <w:rPr>
          <w:rFonts w:ascii="Calibri" w:eastAsia="Cambria" w:hAnsi="Calibri"/>
          <w:sz w:val="20"/>
          <w:szCs w:val="20"/>
        </w:rPr>
        <w:t>in a timely manner</w:t>
      </w:r>
      <w:r w:rsidRPr="00D61C8A">
        <w:rPr>
          <w:rFonts w:ascii="Calibri" w:eastAsia="Cambria" w:hAnsi="Calibri"/>
          <w:sz w:val="20"/>
          <w:szCs w:val="20"/>
        </w:rPr>
        <w:t>.</w:t>
      </w:r>
      <w:r>
        <w:rPr>
          <w:rFonts w:ascii="Calibri" w:eastAsia="Cambria" w:hAnsi="Calibri"/>
          <w:sz w:val="20"/>
          <w:szCs w:val="20"/>
        </w:rPr>
        <w:t xml:space="preserve">  At this time, INSEC data reach the NA via UNICEF and UNMAT; this new mechanism would accelerate the flow of data by sending updates directly from INSEC to the NA.</w:t>
      </w:r>
    </w:p>
    <w:p w:rsidR="00B454FB" w:rsidRPr="00D61C8A" w:rsidRDefault="00B454FB" w:rsidP="00B454FB">
      <w:pPr>
        <w:pStyle w:val="CommentText"/>
        <w:numPr>
          <w:ilvl w:val="0"/>
          <w:numId w:val="59"/>
        </w:numPr>
        <w:ind w:left="360"/>
        <w:rPr>
          <w:rFonts w:ascii="Calibri" w:hAnsi="Calibri" w:cs="Arial"/>
        </w:rPr>
      </w:pPr>
      <w:r w:rsidRPr="00D61C8A">
        <w:rPr>
          <w:rFonts w:ascii="Calibri" w:hAnsi="Calibri"/>
        </w:rPr>
        <w:t>Encourage</w:t>
      </w:r>
      <w:r>
        <w:rPr>
          <w:rFonts w:ascii="Calibri" w:hAnsi="Calibri"/>
        </w:rPr>
        <w:t xml:space="preserve"> all MA stakeholders</w:t>
      </w:r>
      <w:r w:rsidRPr="00D61C8A">
        <w:rPr>
          <w:rFonts w:ascii="Calibri" w:hAnsi="Calibri"/>
        </w:rPr>
        <w:t xml:space="preserve"> to use INSEC surveillance data, explaining the benefits of using better data to drive advocacy and MRE activities.</w:t>
      </w:r>
    </w:p>
    <w:p w:rsidR="00B454FB" w:rsidRPr="00D61C8A" w:rsidRDefault="00B454FB" w:rsidP="00B454FB">
      <w:pPr>
        <w:rPr>
          <w:rFonts w:ascii="Calibri" w:hAnsi="Calibri"/>
          <w:i/>
          <w:sz w:val="20"/>
          <w:szCs w:val="20"/>
        </w:rPr>
      </w:pPr>
    </w:p>
    <w:p w:rsidR="00B454FB" w:rsidRPr="00D61C8A" w:rsidRDefault="00B454FB" w:rsidP="00B454FB">
      <w:pPr>
        <w:rPr>
          <w:rFonts w:ascii="Calibri" w:hAnsi="Calibri"/>
          <w:b/>
          <w:sz w:val="20"/>
          <w:szCs w:val="20"/>
        </w:rPr>
      </w:pPr>
      <w:r w:rsidRPr="00D61C8A">
        <w:rPr>
          <w:rFonts w:ascii="Calibri" w:hAnsi="Calibri"/>
          <w:b/>
          <w:sz w:val="20"/>
          <w:szCs w:val="20"/>
        </w:rPr>
        <w:t>4) Encourage and protect participation in the surveillance system</w:t>
      </w:r>
    </w:p>
    <w:p w:rsidR="00B454FB" w:rsidRPr="00D61C8A" w:rsidRDefault="00B454FB" w:rsidP="00B454FB">
      <w:pPr>
        <w:pStyle w:val="ColorfulList-Accent11"/>
        <w:numPr>
          <w:ilvl w:val="0"/>
          <w:numId w:val="60"/>
        </w:numPr>
        <w:ind w:left="360"/>
        <w:rPr>
          <w:rFonts w:ascii="Calibri" w:hAnsi="Calibri"/>
          <w:b/>
          <w:sz w:val="20"/>
          <w:szCs w:val="20"/>
        </w:rPr>
      </w:pPr>
      <w:r>
        <w:rPr>
          <w:rFonts w:ascii="Calibri" w:hAnsi="Calibri" w:cs="Arial"/>
          <w:sz w:val="20"/>
          <w:szCs w:val="20"/>
        </w:rPr>
        <w:t>En</w:t>
      </w:r>
      <w:r w:rsidRPr="00D61C8A">
        <w:rPr>
          <w:rFonts w:ascii="Calibri" w:hAnsi="Calibri" w:cs="Arial"/>
          <w:sz w:val="20"/>
          <w:szCs w:val="20"/>
        </w:rPr>
        <w:t>sure that adequate measures are in place to protect the security and confidentiality of informants and DRs</w:t>
      </w:r>
      <w:r>
        <w:rPr>
          <w:rFonts w:ascii="Calibri" w:hAnsi="Calibri" w:cs="Arial"/>
          <w:sz w:val="20"/>
          <w:szCs w:val="20"/>
        </w:rPr>
        <w:t>.</w:t>
      </w:r>
    </w:p>
    <w:p w:rsidR="00B454FB" w:rsidRPr="00D61C8A" w:rsidRDefault="00B454FB" w:rsidP="00B454FB">
      <w:pPr>
        <w:pStyle w:val="CommentText"/>
        <w:numPr>
          <w:ilvl w:val="0"/>
          <w:numId w:val="60"/>
        </w:numPr>
        <w:ind w:left="360"/>
        <w:rPr>
          <w:rFonts w:ascii="Calibri" w:hAnsi="Calibri" w:cs="Arial"/>
        </w:rPr>
      </w:pPr>
      <w:r w:rsidRPr="00D61C8A">
        <w:rPr>
          <w:rFonts w:ascii="Calibri" w:hAnsi="Calibri"/>
        </w:rPr>
        <w:t>Address fears of repercussions for reporting among communities through public campaigns or other appropriate means.</w:t>
      </w:r>
    </w:p>
    <w:p w:rsidR="00B454FB" w:rsidRPr="004B51CD" w:rsidRDefault="00B454FB" w:rsidP="00B454FB">
      <w:pPr>
        <w:pStyle w:val="ColorfulList-Accent11"/>
        <w:numPr>
          <w:ilvl w:val="0"/>
          <w:numId w:val="60"/>
        </w:numPr>
        <w:spacing w:line="276" w:lineRule="auto"/>
        <w:ind w:left="360"/>
        <w:rPr>
          <w:rFonts w:ascii="Calibri" w:eastAsia="Cambria" w:hAnsi="Calibri"/>
          <w:sz w:val="20"/>
          <w:szCs w:val="20"/>
        </w:rPr>
      </w:pPr>
      <w:r w:rsidRPr="00D61C8A">
        <w:rPr>
          <w:rFonts w:ascii="Calibri" w:eastAsia="Cambria" w:hAnsi="Calibri"/>
          <w:sz w:val="20"/>
          <w:szCs w:val="20"/>
        </w:rPr>
        <w:t xml:space="preserve">Improve the accessibility of reports for surveillance system informants and DRs.  Steps may include translating reports into Nepali, renaming the reports posted online for better clarity, or providing access to printed reports.  Special attention may be required to </w:t>
      </w:r>
      <w:r>
        <w:rPr>
          <w:rFonts w:ascii="Calibri" w:eastAsia="Cambria" w:hAnsi="Calibri"/>
          <w:sz w:val="20"/>
          <w:szCs w:val="20"/>
        </w:rPr>
        <w:t>en</w:t>
      </w:r>
      <w:r w:rsidRPr="00D61C8A">
        <w:rPr>
          <w:rFonts w:ascii="Calibri" w:eastAsia="Cambria" w:hAnsi="Calibri"/>
          <w:sz w:val="20"/>
          <w:szCs w:val="20"/>
        </w:rPr>
        <w:t>sure that results reach communities wh</w:t>
      </w:r>
      <w:r>
        <w:rPr>
          <w:rFonts w:ascii="Calibri" w:eastAsia="Cambria" w:hAnsi="Calibri"/>
          <w:sz w:val="20"/>
          <w:szCs w:val="20"/>
        </w:rPr>
        <w:t>o</w:t>
      </w:r>
      <w:r w:rsidRPr="00D61C8A">
        <w:rPr>
          <w:rFonts w:ascii="Calibri" w:eastAsia="Cambria" w:hAnsi="Calibri"/>
          <w:sz w:val="20"/>
          <w:szCs w:val="20"/>
        </w:rPr>
        <w:t xml:space="preserve"> speak languages other than Nepali or have low literacy levels.</w:t>
      </w:r>
    </w:p>
    <w:p w:rsidR="00B454FB" w:rsidRPr="00D61C8A" w:rsidRDefault="00B454FB" w:rsidP="00B454FB">
      <w:pPr>
        <w:rPr>
          <w:rFonts w:ascii="Calibri" w:hAnsi="Calibri"/>
          <w:i/>
          <w:sz w:val="20"/>
          <w:szCs w:val="20"/>
        </w:rPr>
      </w:pPr>
    </w:p>
    <w:p w:rsidR="00B454FB" w:rsidRPr="00407558" w:rsidRDefault="00B454FB" w:rsidP="00B454FB">
      <w:pPr>
        <w:rPr>
          <w:rFonts w:ascii="Calibri" w:hAnsi="Calibri"/>
          <w:b/>
          <w:sz w:val="20"/>
          <w:szCs w:val="20"/>
        </w:rPr>
      </w:pPr>
      <w:r w:rsidRPr="00D61C8A">
        <w:rPr>
          <w:rFonts w:ascii="Calibri" w:hAnsi="Calibri"/>
          <w:b/>
          <w:sz w:val="20"/>
          <w:szCs w:val="20"/>
        </w:rPr>
        <w:t xml:space="preserve">5) </w:t>
      </w:r>
      <w:r w:rsidRPr="00407558">
        <w:rPr>
          <w:rFonts w:ascii="Calibri" w:hAnsi="Calibri"/>
          <w:b/>
          <w:sz w:val="20"/>
          <w:szCs w:val="20"/>
        </w:rPr>
        <w:t>Ensure sustainability for necessary surveillance system functions in the future</w:t>
      </w:r>
    </w:p>
    <w:p w:rsidR="00B454FB" w:rsidRPr="00407558" w:rsidRDefault="00B454FB" w:rsidP="00B454FB">
      <w:pPr>
        <w:pStyle w:val="ColorfulList-Accent11"/>
        <w:numPr>
          <w:ilvl w:val="0"/>
          <w:numId w:val="61"/>
        </w:numPr>
        <w:ind w:left="360"/>
        <w:rPr>
          <w:rFonts w:ascii="Calibri" w:eastAsia="Cambria" w:hAnsi="Calibri"/>
          <w:sz w:val="20"/>
          <w:szCs w:val="20"/>
        </w:rPr>
      </w:pPr>
      <w:r w:rsidRPr="00407558">
        <w:rPr>
          <w:rFonts w:ascii="Calibri" w:hAnsi="Calibri"/>
          <w:sz w:val="20"/>
          <w:szCs w:val="20"/>
        </w:rPr>
        <w:t>Start to develop an “exit strategy” for the surveillance system.  Given that so few VAE injuries are occurring every year, it may become increasingly difficult to justify the expense of running a separate surveillance system.  UNICEF and INSEC may wish to establish a threshold at which they will discontinue system activities; this may be a number of injuries or affected districts.  Given that intentional explosions pose an ongoing threat in Terai districts, it may be possible to combine the VAE surveillance system with monitoring of intentional explosions.</w:t>
      </w:r>
      <w:r>
        <w:rPr>
          <w:rFonts w:ascii="Calibri" w:hAnsi="Calibri"/>
          <w:sz w:val="20"/>
          <w:szCs w:val="20"/>
        </w:rPr>
        <w:t xml:space="preserve"> </w:t>
      </w:r>
      <w:r w:rsidRPr="00407558">
        <w:rPr>
          <w:rFonts w:ascii="Calibri" w:hAnsi="Calibri"/>
          <w:sz w:val="20"/>
          <w:szCs w:val="20"/>
        </w:rPr>
        <w:t xml:space="preserve">  </w:t>
      </w:r>
    </w:p>
    <w:p w:rsidR="00B454FB" w:rsidRPr="00407558" w:rsidRDefault="00B454FB" w:rsidP="00B454FB">
      <w:pPr>
        <w:pStyle w:val="ColorfulList-Accent11"/>
        <w:numPr>
          <w:ilvl w:val="0"/>
          <w:numId w:val="61"/>
        </w:numPr>
        <w:ind w:left="360"/>
        <w:rPr>
          <w:rFonts w:ascii="Calibri" w:eastAsia="Cambria" w:hAnsi="Calibri"/>
          <w:sz w:val="20"/>
          <w:szCs w:val="20"/>
        </w:rPr>
      </w:pPr>
      <w:r w:rsidRPr="00407558">
        <w:rPr>
          <w:rFonts w:ascii="Calibri" w:eastAsia="Cambria" w:hAnsi="Calibri"/>
          <w:sz w:val="20"/>
          <w:szCs w:val="20"/>
        </w:rPr>
        <w:t xml:space="preserve">Reconsider the current level of resource expenditure on VAE injury surveillance, especially if VAE injuries continue to </w:t>
      </w:r>
      <w:r>
        <w:rPr>
          <w:rFonts w:ascii="Calibri" w:eastAsia="Cambria" w:hAnsi="Calibri"/>
          <w:sz w:val="20"/>
          <w:szCs w:val="20"/>
        </w:rPr>
        <w:t>decrease in incidence</w:t>
      </w:r>
      <w:r w:rsidRPr="00407558">
        <w:rPr>
          <w:rFonts w:ascii="Calibri" w:eastAsia="Cambria" w:hAnsi="Calibri"/>
          <w:sz w:val="20"/>
          <w:szCs w:val="20"/>
        </w:rPr>
        <w:t xml:space="preserve">.  It may be possible to </w:t>
      </w:r>
      <w:r w:rsidRPr="00407558">
        <w:rPr>
          <w:rFonts w:ascii="Calibri" w:hAnsi="Calibri"/>
          <w:sz w:val="20"/>
          <w:szCs w:val="20"/>
        </w:rPr>
        <w:t xml:space="preserve">collaborate with the Ministry of Health, World Health Organization or other partners to </w:t>
      </w:r>
      <w:r w:rsidRPr="00407558">
        <w:rPr>
          <w:rFonts w:ascii="Calibri" w:hAnsi="Calibri"/>
          <w:sz w:val="20"/>
          <w:szCs w:val="20"/>
        </w:rPr>
        <w:lastRenderedPageBreak/>
        <w:t>establish an all-cause injury surveillance system, which could result in better use of limited resources.  Support already exists among some Nepali medical personnel for the establishment of such a system.</w:t>
      </w:r>
      <w:r>
        <w:rPr>
          <w:rFonts w:ascii="Calibri" w:hAnsi="Calibri"/>
          <w:sz w:val="20"/>
          <w:szCs w:val="20"/>
        </w:rPr>
        <w:t xml:space="preserve"> </w:t>
      </w:r>
    </w:p>
    <w:p w:rsidR="00B454FB" w:rsidRPr="00D61C8A" w:rsidRDefault="00B454FB" w:rsidP="00B454FB">
      <w:pPr>
        <w:pStyle w:val="ColorfulList-Accent11"/>
        <w:numPr>
          <w:ilvl w:val="0"/>
          <w:numId w:val="61"/>
        </w:numPr>
        <w:ind w:left="360"/>
        <w:rPr>
          <w:rFonts w:ascii="Calibri" w:eastAsia="Cambria" w:hAnsi="Calibri"/>
          <w:sz w:val="20"/>
          <w:szCs w:val="20"/>
        </w:rPr>
      </w:pPr>
      <w:r w:rsidRPr="00407558">
        <w:rPr>
          <w:rFonts w:ascii="Calibri" w:hAnsi="Calibri"/>
          <w:sz w:val="20"/>
          <w:szCs w:val="20"/>
        </w:rPr>
        <w:t>Ensure that DRs are paid enough to cover their travel expenses; this may involve paying a travel per diem that varies with duration</w:t>
      </w:r>
      <w:r w:rsidRPr="00D61C8A">
        <w:rPr>
          <w:rFonts w:ascii="Calibri" w:hAnsi="Calibri"/>
          <w:sz w:val="20"/>
          <w:szCs w:val="20"/>
        </w:rPr>
        <w:t xml:space="preserve"> of travel rather than the current fixed sum.</w:t>
      </w:r>
      <w:r>
        <w:rPr>
          <w:rFonts w:ascii="Calibri" w:hAnsi="Calibri"/>
          <w:sz w:val="20"/>
          <w:szCs w:val="20"/>
        </w:rPr>
        <w:t xml:space="preserve"> </w:t>
      </w:r>
    </w:p>
    <w:p w:rsidR="00B454FB" w:rsidRDefault="00B454FB" w:rsidP="00B454FB">
      <w:pPr>
        <w:pStyle w:val="ColorfulList-Accent11"/>
        <w:numPr>
          <w:ilvl w:val="0"/>
          <w:numId w:val="61"/>
        </w:numPr>
        <w:ind w:left="360"/>
        <w:rPr>
          <w:rFonts w:ascii="Calibri" w:eastAsia="Cambria" w:hAnsi="Calibri"/>
          <w:sz w:val="20"/>
          <w:szCs w:val="20"/>
        </w:rPr>
      </w:pPr>
      <w:r w:rsidRPr="00D61C8A">
        <w:rPr>
          <w:rFonts w:ascii="Calibri" w:eastAsia="Cambria" w:hAnsi="Calibri"/>
          <w:sz w:val="20"/>
          <w:szCs w:val="20"/>
        </w:rPr>
        <w:t>Develop a full understanding of what expertise and institutional memory would remain if INSEC discontinued participation in the surveillance system, and assess how plausible it would be for another organization to take ownership of the surveillance system.</w:t>
      </w:r>
    </w:p>
    <w:p w:rsidR="00B454FB" w:rsidRPr="00D917B1" w:rsidRDefault="00B454FB" w:rsidP="00B454FB">
      <w:pPr>
        <w:pStyle w:val="ColorfulList-Accent11"/>
        <w:numPr>
          <w:ilvl w:val="0"/>
          <w:numId w:val="61"/>
        </w:numPr>
        <w:ind w:left="360"/>
        <w:rPr>
          <w:rFonts w:ascii="Calibri" w:eastAsia="Cambria" w:hAnsi="Calibri"/>
          <w:sz w:val="20"/>
          <w:szCs w:val="20"/>
        </w:rPr>
      </w:pPr>
      <w:r w:rsidRPr="00D917B1">
        <w:rPr>
          <w:rFonts w:ascii="Calibri" w:eastAsia="Cambria" w:hAnsi="Calibri"/>
          <w:sz w:val="20"/>
          <w:szCs w:val="20"/>
        </w:rPr>
        <w:t>Collaborate with INSEC to maintain more thorough records on surveillance system expenditures.</w:t>
      </w:r>
    </w:p>
    <w:p w:rsidR="00B454FB" w:rsidRPr="00D61C8A" w:rsidRDefault="00B454FB" w:rsidP="00B454FB">
      <w:pPr>
        <w:pStyle w:val="ColorfulList-Accent11"/>
        <w:numPr>
          <w:ilvl w:val="0"/>
          <w:numId w:val="61"/>
        </w:numPr>
        <w:ind w:left="360"/>
        <w:rPr>
          <w:rFonts w:ascii="Calibri" w:eastAsia="Cambria" w:hAnsi="Calibri"/>
          <w:sz w:val="20"/>
          <w:szCs w:val="20"/>
        </w:rPr>
      </w:pPr>
      <w:r>
        <w:rPr>
          <w:rFonts w:ascii="Calibri" w:hAnsi="Calibri"/>
          <w:sz w:val="20"/>
          <w:szCs w:val="20"/>
        </w:rPr>
        <w:t>En</w:t>
      </w:r>
      <w:r w:rsidRPr="00D61C8A">
        <w:rPr>
          <w:rFonts w:ascii="Calibri" w:hAnsi="Calibri"/>
          <w:sz w:val="20"/>
          <w:szCs w:val="20"/>
        </w:rPr>
        <w:t>sure that contingency plans are in place to address problems of delayed access due to transportation and communication problems</w:t>
      </w:r>
      <w:r w:rsidRPr="00D61C8A">
        <w:rPr>
          <w:rFonts w:ascii="Calibri" w:eastAsia="Cambria" w:hAnsi="Calibri"/>
          <w:sz w:val="20"/>
          <w:szCs w:val="20"/>
        </w:rPr>
        <w:t>; the INSEC central office may be able to find additional methods by consulting with DRs and regional staff.</w:t>
      </w:r>
    </w:p>
    <w:p w:rsidR="00B454FB" w:rsidRPr="006F5F27" w:rsidRDefault="00B454FB" w:rsidP="00B454FB">
      <w:pPr>
        <w:pStyle w:val="ColorfulList-Accent11"/>
        <w:numPr>
          <w:ilvl w:val="0"/>
          <w:numId w:val="61"/>
        </w:numPr>
        <w:ind w:left="360"/>
        <w:rPr>
          <w:rFonts w:ascii="Calibri" w:eastAsia="Cambria" w:hAnsi="Calibri"/>
          <w:sz w:val="20"/>
          <w:szCs w:val="20"/>
        </w:rPr>
      </w:pPr>
      <w:r w:rsidRPr="00D61C8A">
        <w:rPr>
          <w:rFonts w:ascii="Calibri" w:hAnsi="Calibri"/>
          <w:sz w:val="20"/>
          <w:szCs w:val="20"/>
        </w:rPr>
        <w:t>Establish contingency plans to address computer and telephone problems.</w:t>
      </w:r>
    </w:p>
    <w:p w:rsidR="00B454FB" w:rsidRPr="00D61C8A" w:rsidRDefault="00B454FB" w:rsidP="00B454FB">
      <w:pPr>
        <w:spacing w:line="276" w:lineRule="auto"/>
        <w:rPr>
          <w:rFonts w:ascii="Calibri" w:hAnsi="Calibri"/>
          <w:b/>
          <w:sz w:val="20"/>
          <w:szCs w:val="20"/>
          <w:highlight w:val="cyan"/>
        </w:rPr>
      </w:pPr>
      <w:r w:rsidRPr="00D61C8A">
        <w:rPr>
          <w:rFonts w:ascii="Calibri" w:hAnsi="Calibri"/>
          <w:b/>
          <w:sz w:val="20"/>
          <w:szCs w:val="20"/>
          <w:highlight w:val="cyan"/>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VI</w:t>
      </w:r>
      <w:r>
        <w:rPr>
          <w:rFonts w:ascii="Calibri" w:hAnsi="Calibri"/>
        </w:rPr>
        <w:tab/>
      </w:r>
      <w:r>
        <w:rPr>
          <w:rFonts w:ascii="Calibri" w:hAnsi="Calibri"/>
        </w:rPr>
        <w:tab/>
      </w:r>
      <w:r w:rsidRPr="00D61C8A">
        <w:rPr>
          <w:rFonts w:ascii="Calibri" w:hAnsi="Calibri"/>
        </w:rPr>
        <w:t>UNICEF MRE ACTIVITIES: FINDINGS AND RECOMMENDATIONS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This portion of the evaluation will </w:t>
      </w:r>
    </w:p>
    <w:p w:rsidR="00B454FB" w:rsidRPr="00D61C8A" w:rsidRDefault="00B454FB" w:rsidP="00B454FB">
      <w:pPr>
        <w:pStyle w:val="ColorfulList-Accent11"/>
        <w:numPr>
          <w:ilvl w:val="0"/>
          <w:numId w:val="35"/>
        </w:numPr>
        <w:rPr>
          <w:rFonts w:ascii="Calibri" w:hAnsi="Calibri"/>
          <w:sz w:val="20"/>
          <w:szCs w:val="20"/>
        </w:rPr>
      </w:pPr>
      <w:r w:rsidRPr="00D61C8A">
        <w:rPr>
          <w:rFonts w:ascii="Calibri" w:hAnsi="Calibri"/>
          <w:sz w:val="20"/>
          <w:szCs w:val="20"/>
        </w:rPr>
        <w:t>Present the definition, goals and objectives of MRE according to IMAS and UNICEF (Section VI.A);</w:t>
      </w:r>
    </w:p>
    <w:p w:rsidR="00B454FB" w:rsidRPr="00D61C8A" w:rsidRDefault="00B454FB" w:rsidP="00B454FB">
      <w:pPr>
        <w:pStyle w:val="ColorfulList-Accent11"/>
        <w:numPr>
          <w:ilvl w:val="0"/>
          <w:numId w:val="35"/>
        </w:numPr>
        <w:rPr>
          <w:rFonts w:ascii="Calibri" w:hAnsi="Calibri"/>
          <w:sz w:val="20"/>
          <w:szCs w:val="20"/>
        </w:rPr>
      </w:pPr>
      <w:r w:rsidRPr="00D61C8A">
        <w:rPr>
          <w:rFonts w:ascii="Calibri" w:hAnsi="Calibri"/>
          <w:sz w:val="20"/>
          <w:szCs w:val="20"/>
        </w:rPr>
        <w:t xml:space="preserve">Describe UNICEF MRE activities (Section VI.B); </w:t>
      </w:r>
    </w:p>
    <w:p w:rsidR="00B454FB" w:rsidRPr="00D61C8A" w:rsidRDefault="00B454FB" w:rsidP="00B454FB">
      <w:pPr>
        <w:pStyle w:val="ColorfulList-Accent11"/>
        <w:numPr>
          <w:ilvl w:val="0"/>
          <w:numId w:val="35"/>
        </w:numPr>
        <w:rPr>
          <w:rFonts w:ascii="Calibri" w:hAnsi="Calibri"/>
          <w:sz w:val="20"/>
          <w:szCs w:val="20"/>
        </w:rPr>
      </w:pPr>
      <w:r w:rsidRPr="00D61C8A">
        <w:rPr>
          <w:rFonts w:ascii="Calibri" w:hAnsi="Calibri"/>
          <w:sz w:val="20"/>
          <w:szCs w:val="20"/>
        </w:rPr>
        <w:t>Evaluate the performance of UNICEF MRE activities according to IMAS standards (Section VI.C); and</w:t>
      </w:r>
    </w:p>
    <w:p w:rsidR="00B454FB" w:rsidRPr="00D61C8A" w:rsidRDefault="00B454FB" w:rsidP="00B454FB">
      <w:pPr>
        <w:pStyle w:val="ColorfulList-Accent11"/>
        <w:numPr>
          <w:ilvl w:val="0"/>
          <w:numId w:val="35"/>
        </w:numPr>
        <w:rPr>
          <w:rFonts w:ascii="Calibri" w:hAnsi="Calibri"/>
          <w:sz w:val="20"/>
          <w:szCs w:val="20"/>
        </w:rPr>
      </w:pPr>
      <w:r w:rsidRPr="00D61C8A">
        <w:rPr>
          <w:rFonts w:ascii="Calibri" w:hAnsi="Calibri"/>
          <w:sz w:val="20"/>
          <w:szCs w:val="20"/>
        </w:rPr>
        <w:t>Identify challenges and offer recommendations for continuation of UNICEF MRE activities (Section</w:t>
      </w:r>
      <w:r>
        <w:rPr>
          <w:rFonts w:ascii="Calibri" w:hAnsi="Calibri"/>
          <w:sz w:val="20"/>
          <w:szCs w:val="20"/>
        </w:rPr>
        <w:t>s</w:t>
      </w:r>
      <w:r w:rsidRPr="00D61C8A">
        <w:rPr>
          <w:rFonts w:ascii="Calibri" w:hAnsi="Calibri"/>
          <w:sz w:val="20"/>
          <w:szCs w:val="20"/>
        </w:rPr>
        <w:t xml:space="preserve"> VI.</w:t>
      </w:r>
      <w:r>
        <w:rPr>
          <w:rFonts w:ascii="Calibri" w:hAnsi="Calibri"/>
          <w:sz w:val="20"/>
          <w:szCs w:val="20"/>
        </w:rPr>
        <w:t>C and VI.</w:t>
      </w:r>
      <w:r w:rsidRPr="00D61C8A">
        <w:rPr>
          <w:rFonts w:ascii="Calibri" w:hAnsi="Calibri"/>
          <w:sz w:val="20"/>
          <w:szCs w:val="20"/>
        </w:rPr>
        <w:t>D).</w:t>
      </w:r>
    </w:p>
    <w:p w:rsidR="00B454FB" w:rsidRDefault="00B454FB" w:rsidP="00B454FB">
      <w:pPr>
        <w:rPr>
          <w:rFonts w:ascii="Calibri" w:hAnsi="Calibri"/>
        </w:rPr>
      </w:pPr>
    </w:p>
    <w:p w:rsidR="00B454FB" w:rsidRDefault="00B454FB" w:rsidP="00B454FB">
      <w:pPr>
        <w:rPr>
          <w:rFonts w:ascii="Calibri" w:hAnsi="Calibri"/>
          <w:sz w:val="20"/>
          <w:szCs w:val="20"/>
        </w:rPr>
      </w:pPr>
      <w:r>
        <w:rPr>
          <w:rFonts w:ascii="Calibri" w:hAnsi="Calibri"/>
          <w:sz w:val="20"/>
          <w:szCs w:val="20"/>
        </w:rPr>
        <w:t>UNICEF MRE activities are conducted in partnership with local, national and international partners.  In accordance with the TOR for this evaluation, the evaluation team has focused on UNICEF’s role in MRE activities.  Although some activities are referred to as “UNICEF MRE activities” for the purposes of this report, it is important to remember the contributions of all partner agencies and organizations to these activities.</w:t>
      </w:r>
    </w:p>
    <w:p w:rsidR="00B454FB" w:rsidRPr="00D61C8A" w:rsidRDefault="00B454FB" w:rsidP="00B454FB">
      <w:pPr>
        <w:rPr>
          <w:rFonts w:ascii="Calibri" w:hAnsi="Calibri"/>
        </w:rPr>
      </w:pPr>
    </w:p>
    <w:p w:rsidR="00B454FB" w:rsidRPr="00D61C8A" w:rsidRDefault="00B454FB" w:rsidP="00B454FB">
      <w:pPr>
        <w:pStyle w:val="Heading2"/>
        <w:numPr>
          <w:ilvl w:val="0"/>
          <w:numId w:val="0"/>
        </w:numPr>
        <w:spacing w:before="0"/>
        <w:rPr>
          <w:rFonts w:ascii="Calibri" w:hAnsi="Calibri"/>
        </w:rPr>
      </w:pPr>
      <w:r>
        <w:rPr>
          <w:rFonts w:ascii="Calibri" w:hAnsi="Calibri"/>
        </w:rPr>
        <w:t>VI.A</w:t>
      </w:r>
      <w:r>
        <w:rPr>
          <w:rFonts w:ascii="Calibri" w:hAnsi="Calibri"/>
        </w:rPr>
        <w:tab/>
      </w:r>
      <w:r>
        <w:rPr>
          <w:rFonts w:ascii="Calibri" w:hAnsi="Calibri"/>
        </w:rPr>
        <w:tab/>
      </w:r>
      <w:r w:rsidRPr="00D61C8A">
        <w:rPr>
          <w:rFonts w:ascii="Calibri" w:hAnsi="Calibri"/>
        </w:rPr>
        <w:t xml:space="preserve">Definition, goals and objectives of MRE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UNICEF Nepal conducts its MRE activities in accordance with IMAS guidelines,</w:t>
      </w:r>
      <w:r w:rsidRPr="00D61C8A">
        <w:rPr>
          <w:rFonts w:ascii="Calibri" w:eastAsia="Cambria" w:hAnsi="Calibri"/>
          <w:sz w:val="20"/>
          <w:vertAlign w:val="superscript"/>
        </w:rPr>
        <w:endnoteReference w:id="202"/>
      </w:r>
      <w:r w:rsidRPr="00D61C8A">
        <w:rPr>
          <w:rFonts w:ascii="Calibri" w:eastAsia="Cambria" w:hAnsi="Calibri"/>
          <w:sz w:val="20"/>
          <w:szCs w:val="20"/>
        </w:rPr>
        <w:t xml:space="preserve"> which define MRE as “activities which seek to reduce the risk of injury from mines/</w:t>
      </w:r>
      <w:r>
        <w:rPr>
          <w:rFonts w:ascii="Calibri" w:eastAsia="Cambria" w:hAnsi="Calibri"/>
          <w:sz w:val="20"/>
          <w:szCs w:val="20"/>
        </w:rPr>
        <w:t>ERW</w:t>
      </w:r>
      <w:r w:rsidRPr="00D61C8A">
        <w:rPr>
          <w:rFonts w:ascii="Calibri" w:eastAsia="Cambria" w:hAnsi="Calibri"/>
          <w:sz w:val="20"/>
          <w:szCs w:val="20"/>
        </w:rPr>
        <w:t xml:space="preserve"> by raising awareness and promoting behavioural change including public information dissemination, education and training, and community mine action liaison.”</w:t>
      </w:r>
      <w:r w:rsidRPr="00D61C8A">
        <w:rPr>
          <w:rFonts w:ascii="Calibri" w:eastAsia="Cambria" w:hAnsi="Calibri"/>
          <w:sz w:val="20"/>
          <w:vertAlign w:val="superscript"/>
        </w:rPr>
        <w:endnoteReference w:id="203"/>
      </w:r>
      <w:r w:rsidRPr="00D61C8A">
        <w:rPr>
          <w:rFonts w:ascii="Calibri" w:eastAsia="Cambria" w:hAnsi="Calibri"/>
          <w:sz w:val="20"/>
          <w:szCs w:val="20"/>
        </w:rPr>
        <w:t xml:space="preserve">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According to IMAS, MRE is conducted to address three main interlinked and interdependent goals:</w:t>
      </w:r>
    </w:p>
    <w:p w:rsidR="00B454FB" w:rsidRPr="00D61C8A" w:rsidRDefault="00B454FB" w:rsidP="00B454FB">
      <w:pPr>
        <w:numPr>
          <w:ilvl w:val="0"/>
          <w:numId w:val="36"/>
        </w:numPr>
        <w:spacing w:line="276" w:lineRule="auto"/>
        <w:contextualSpacing/>
        <w:rPr>
          <w:rFonts w:ascii="Calibri" w:hAnsi="Calibri"/>
          <w:sz w:val="20"/>
          <w:szCs w:val="20"/>
        </w:rPr>
      </w:pPr>
      <w:r>
        <w:rPr>
          <w:rFonts w:ascii="Calibri" w:hAnsi="Calibri"/>
          <w:sz w:val="20"/>
          <w:szCs w:val="20"/>
        </w:rPr>
        <w:t>“</w:t>
      </w:r>
      <w:r w:rsidRPr="00D61C8A">
        <w:rPr>
          <w:rFonts w:ascii="Calibri" w:hAnsi="Calibri"/>
          <w:sz w:val="20"/>
          <w:szCs w:val="20"/>
        </w:rPr>
        <w:t>To minimi</w:t>
      </w:r>
      <w:r>
        <w:rPr>
          <w:rFonts w:ascii="Calibri" w:hAnsi="Calibri"/>
          <w:sz w:val="20"/>
          <w:szCs w:val="20"/>
        </w:rPr>
        <w:t>s</w:t>
      </w:r>
      <w:r w:rsidRPr="00D61C8A">
        <w:rPr>
          <w:rFonts w:ascii="Calibri" w:hAnsi="Calibri"/>
          <w:sz w:val="20"/>
          <w:szCs w:val="20"/>
        </w:rPr>
        <w:t>e deaths and injuries from landmines and other ERW;</w:t>
      </w:r>
    </w:p>
    <w:p w:rsidR="00B454FB" w:rsidRPr="00D61C8A" w:rsidRDefault="00B454FB" w:rsidP="00B454FB">
      <w:pPr>
        <w:numPr>
          <w:ilvl w:val="0"/>
          <w:numId w:val="36"/>
        </w:numPr>
        <w:spacing w:line="276" w:lineRule="auto"/>
        <w:contextualSpacing/>
        <w:rPr>
          <w:rFonts w:ascii="Calibri" w:hAnsi="Calibri"/>
          <w:sz w:val="20"/>
          <w:szCs w:val="20"/>
        </w:rPr>
      </w:pPr>
      <w:r w:rsidRPr="00D61C8A">
        <w:rPr>
          <w:rFonts w:ascii="Calibri" w:hAnsi="Calibri"/>
          <w:sz w:val="20"/>
          <w:szCs w:val="20"/>
        </w:rPr>
        <w:t>To reduce the social and economic impact from landmines and other ERW; and</w:t>
      </w:r>
    </w:p>
    <w:p w:rsidR="00B454FB" w:rsidRDefault="00B454FB" w:rsidP="00B454FB">
      <w:pPr>
        <w:numPr>
          <w:ilvl w:val="0"/>
          <w:numId w:val="36"/>
        </w:numPr>
        <w:spacing w:line="276" w:lineRule="auto"/>
        <w:contextualSpacing/>
        <w:rPr>
          <w:rFonts w:ascii="Calibri" w:hAnsi="Calibri"/>
          <w:sz w:val="20"/>
          <w:szCs w:val="20"/>
        </w:rPr>
      </w:pPr>
      <w:r w:rsidRPr="00D61C8A">
        <w:rPr>
          <w:rFonts w:ascii="Calibri" w:hAnsi="Calibri"/>
          <w:sz w:val="20"/>
          <w:szCs w:val="20"/>
        </w:rPr>
        <w:t>To support development.</w:t>
      </w:r>
      <w:r>
        <w:rPr>
          <w:rFonts w:ascii="Calibri" w:hAnsi="Calibri"/>
          <w:sz w:val="20"/>
          <w:szCs w:val="20"/>
        </w:rPr>
        <w:t>”</w:t>
      </w:r>
      <w:r>
        <w:rPr>
          <w:rStyle w:val="EndnoteReference"/>
          <w:rFonts w:ascii="Calibri" w:hAnsi="Calibri"/>
          <w:sz w:val="20"/>
          <w:szCs w:val="20"/>
        </w:rPr>
        <w:endnoteReference w:id="204"/>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E-MINE claims that the objectives of MRE are “to reduce the risk to a level where people can live safely and to recreate an environment where economic and social development can occur free from the constraints imposed by landmine contamination.”</w:t>
      </w:r>
      <w:r w:rsidRPr="00D61C8A">
        <w:rPr>
          <w:rFonts w:ascii="Calibri" w:eastAsia="Cambria" w:hAnsi="Calibri"/>
          <w:sz w:val="20"/>
          <w:vertAlign w:val="superscript"/>
        </w:rPr>
        <w:endnoteReference w:id="205"/>
      </w:r>
      <w:r w:rsidRPr="00D61C8A">
        <w:rPr>
          <w:rFonts w:ascii="Calibri" w:eastAsia="Cambria" w:hAnsi="Calibri"/>
          <w:sz w:val="20"/>
          <w:szCs w:val="20"/>
        </w:rPr>
        <w:t xml:space="preserve">  </w:t>
      </w:r>
    </w:p>
    <w:p w:rsidR="00B454FB" w:rsidRPr="00D61C8A" w:rsidRDefault="00B454FB" w:rsidP="00B454FB">
      <w:pPr>
        <w:rPr>
          <w:rFonts w:ascii="Calibri" w:hAnsi="Calibri"/>
        </w:rPr>
      </w:pPr>
    </w:p>
    <w:p w:rsidR="00B454FB" w:rsidRPr="00D61C8A" w:rsidRDefault="00B454FB" w:rsidP="00B454FB">
      <w:pPr>
        <w:pStyle w:val="Heading2"/>
        <w:numPr>
          <w:ilvl w:val="0"/>
          <w:numId w:val="0"/>
        </w:numPr>
        <w:spacing w:before="0"/>
        <w:rPr>
          <w:rFonts w:ascii="Calibri" w:hAnsi="Calibri"/>
        </w:rPr>
      </w:pPr>
      <w:r>
        <w:rPr>
          <w:rFonts w:ascii="Calibri" w:hAnsi="Calibri"/>
        </w:rPr>
        <w:t>VI.B</w:t>
      </w:r>
      <w:r>
        <w:rPr>
          <w:rFonts w:ascii="Calibri" w:hAnsi="Calibri"/>
        </w:rPr>
        <w:tab/>
      </w:r>
      <w:r>
        <w:rPr>
          <w:rFonts w:ascii="Calibri" w:hAnsi="Calibri"/>
        </w:rPr>
        <w:tab/>
      </w:r>
      <w:r w:rsidRPr="00D61C8A">
        <w:rPr>
          <w:rFonts w:ascii="Calibri" w:hAnsi="Calibri"/>
        </w:rPr>
        <w:t>Description of UNICEF MRE activities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UNICEF Nepal conducts MRE activities in cooperation with a network of more than 20 partner organizations.  These activities fall into four categories:</w:t>
      </w:r>
    </w:p>
    <w:p w:rsidR="00B454FB" w:rsidRDefault="00B454FB" w:rsidP="00B454FB">
      <w:pPr>
        <w:pStyle w:val="ColorfulList-Accent11"/>
        <w:ind w:left="0"/>
        <w:rPr>
          <w:rFonts w:ascii="Calibri" w:hAnsi="Calibri"/>
          <w:sz w:val="20"/>
          <w:szCs w:val="20"/>
        </w:rPr>
      </w:pPr>
    </w:p>
    <w:p w:rsidR="00B454FB" w:rsidRDefault="00B454FB" w:rsidP="00B454FB">
      <w:pPr>
        <w:pStyle w:val="ColorfulList-Accent11"/>
        <w:numPr>
          <w:ilvl w:val="0"/>
          <w:numId w:val="75"/>
        </w:numPr>
        <w:rPr>
          <w:rFonts w:ascii="Calibri" w:hAnsi="Calibri"/>
          <w:sz w:val="20"/>
          <w:szCs w:val="20"/>
        </w:rPr>
      </w:pPr>
      <w:r w:rsidRPr="00D61C8A">
        <w:rPr>
          <w:rFonts w:ascii="Calibri" w:hAnsi="Calibri"/>
          <w:sz w:val="20"/>
          <w:szCs w:val="20"/>
        </w:rPr>
        <w:t>Development and distribution of MRE materials and a minimum set of messages</w:t>
      </w:r>
    </w:p>
    <w:p w:rsidR="00B454FB" w:rsidRDefault="00B454FB" w:rsidP="00B454FB">
      <w:pPr>
        <w:pStyle w:val="ColorfulList-Accent11"/>
        <w:numPr>
          <w:ilvl w:val="0"/>
          <w:numId w:val="75"/>
        </w:numPr>
        <w:rPr>
          <w:rFonts w:ascii="Calibri" w:hAnsi="Calibri"/>
          <w:sz w:val="20"/>
          <w:szCs w:val="20"/>
        </w:rPr>
      </w:pPr>
      <w:r w:rsidRPr="00E872F8">
        <w:rPr>
          <w:rFonts w:ascii="Calibri" w:hAnsi="Calibri"/>
          <w:sz w:val="20"/>
          <w:szCs w:val="20"/>
        </w:rPr>
        <w:t>Coordination of emergency, regular and systematic MRE</w:t>
      </w:r>
    </w:p>
    <w:p w:rsidR="00B454FB" w:rsidRDefault="00B454FB" w:rsidP="00B454FB">
      <w:pPr>
        <w:pStyle w:val="ColorfulList-Accent11"/>
        <w:numPr>
          <w:ilvl w:val="1"/>
          <w:numId w:val="75"/>
        </w:numPr>
        <w:rPr>
          <w:rFonts w:ascii="Calibri" w:hAnsi="Calibri"/>
          <w:sz w:val="20"/>
          <w:szCs w:val="20"/>
        </w:rPr>
      </w:pPr>
      <w:r w:rsidRPr="00E872F8">
        <w:rPr>
          <w:rFonts w:ascii="Calibri" w:hAnsi="Calibri"/>
          <w:sz w:val="20"/>
          <w:szCs w:val="20"/>
        </w:rPr>
        <w:t>Training and capacity building for MRE personnel</w:t>
      </w:r>
    </w:p>
    <w:p w:rsidR="00B454FB" w:rsidRDefault="00B454FB" w:rsidP="00B454FB">
      <w:pPr>
        <w:pStyle w:val="ColorfulList-Accent11"/>
        <w:numPr>
          <w:ilvl w:val="1"/>
          <w:numId w:val="75"/>
        </w:numPr>
        <w:rPr>
          <w:rFonts w:ascii="Calibri" w:hAnsi="Calibri"/>
          <w:sz w:val="20"/>
          <w:szCs w:val="20"/>
        </w:rPr>
      </w:pPr>
      <w:r w:rsidRPr="00E872F8">
        <w:rPr>
          <w:rFonts w:ascii="Calibri" w:hAnsi="Calibri"/>
          <w:sz w:val="20"/>
          <w:szCs w:val="20"/>
        </w:rPr>
        <w:t>Coordination of emergency MRE</w:t>
      </w:r>
    </w:p>
    <w:p w:rsidR="00B454FB" w:rsidRDefault="00B454FB" w:rsidP="00B454FB">
      <w:pPr>
        <w:pStyle w:val="ColorfulList-Accent11"/>
        <w:numPr>
          <w:ilvl w:val="1"/>
          <w:numId w:val="75"/>
        </w:numPr>
        <w:rPr>
          <w:rFonts w:ascii="Calibri" w:hAnsi="Calibri"/>
          <w:sz w:val="20"/>
          <w:szCs w:val="20"/>
        </w:rPr>
      </w:pPr>
      <w:r w:rsidRPr="00E872F8">
        <w:rPr>
          <w:rFonts w:ascii="Calibri" w:hAnsi="Calibri"/>
          <w:sz w:val="20"/>
          <w:szCs w:val="20"/>
        </w:rPr>
        <w:t>Coordination of regular MRE</w:t>
      </w:r>
    </w:p>
    <w:p w:rsidR="00B454FB" w:rsidRDefault="00B454FB" w:rsidP="00B454FB">
      <w:pPr>
        <w:pStyle w:val="ColorfulList-Accent11"/>
        <w:numPr>
          <w:ilvl w:val="1"/>
          <w:numId w:val="75"/>
        </w:numPr>
        <w:rPr>
          <w:rFonts w:ascii="Calibri" w:hAnsi="Calibri"/>
          <w:sz w:val="20"/>
          <w:szCs w:val="20"/>
        </w:rPr>
      </w:pPr>
      <w:r w:rsidRPr="00E872F8">
        <w:rPr>
          <w:rFonts w:ascii="Calibri" w:hAnsi="Calibri"/>
          <w:sz w:val="20"/>
          <w:szCs w:val="20"/>
        </w:rPr>
        <w:t>Coordination of systematic MRE</w:t>
      </w:r>
    </w:p>
    <w:p w:rsidR="00B454FB" w:rsidRDefault="00B454FB" w:rsidP="00B454FB">
      <w:pPr>
        <w:pStyle w:val="ColorfulList-Accent11"/>
        <w:numPr>
          <w:ilvl w:val="0"/>
          <w:numId w:val="75"/>
        </w:numPr>
        <w:rPr>
          <w:rFonts w:ascii="Calibri" w:hAnsi="Calibri"/>
          <w:sz w:val="20"/>
          <w:szCs w:val="20"/>
        </w:rPr>
      </w:pPr>
      <w:r w:rsidRPr="00E872F8">
        <w:rPr>
          <w:rFonts w:ascii="Calibri" w:hAnsi="Calibri"/>
          <w:sz w:val="20"/>
          <w:szCs w:val="20"/>
        </w:rPr>
        <w:t>Coordination of MRE media campaigns</w:t>
      </w:r>
    </w:p>
    <w:p w:rsidR="00B454FB" w:rsidRPr="00E872F8" w:rsidRDefault="00B454FB" w:rsidP="00B454FB">
      <w:pPr>
        <w:pStyle w:val="ColorfulList-Accent11"/>
        <w:numPr>
          <w:ilvl w:val="0"/>
          <w:numId w:val="75"/>
        </w:numPr>
        <w:rPr>
          <w:rFonts w:ascii="Calibri" w:hAnsi="Calibri"/>
          <w:sz w:val="20"/>
          <w:szCs w:val="20"/>
        </w:rPr>
      </w:pPr>
      <w:r w:rsidRPr="00E872F8">
        <w:rPr>
          <w:rFonts w:ascii="Calibri" w:hAnsi="Calibri"/>
          <w:sz w:val="20"/>
          <w:szCs w:val="20"/>
        </w:rPr>
        <w:t>Monitoring and evaluation of MRE activities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Pr>
          <w:rFonts w:ascii="Calibri" w:hAnsi="Calibri"/>
          <w:sz w:val="20"/>
          <w:szCs w:val="20"/>
        </w:rPr>
        <w:t>T</w:t>
      </w:r>
      <w:r w:rsidRPr="00D61C8A">
        <w:rPr>
          <w:rFonts w:ascii="Calibri" w:hAnsi="Calibri"/>
          <w:sz w:val="20"/>
          <w:szCs w:val="20"/>
        </w:rPr>
        <w:t xml:space="preserve">hese four sets of activities </w:t>
      </w:r>
      <w:r>
        <w:rPr>
          <w:rFonts w:ascii="Calibri" w:hAnsi="Calibri"/>
          <w:sz w:val="20"/>
          <w:szCs w:val="20"/>
        </w:rPr>
        <w:t>are</w:t>
      </w:r>
      <w:r w:rsidRPr="00D61C8A">
        <w:rPr>
          <w:rFonts w:ascii="Calibri" w:hAnsi="Calibri"/>
          <w:sz w:val="20"/>
          <w:szCs w:val="20"/>
        </w:rPr>
        <w:t xml:space="preserve"> described in detail below; relevant 2008 and 2009 UNICEF Annual Work Plan activity descriptions are provided at the beginning of each section.</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VI.B.1</w:t>
      </w:r>
      <w:r>
        <w:rPr>
          <w:rFonts w:ascii="Calibri" w:hAnsi="Calibri"/>
          <w:sz w:val="20"/>
          <w:szCs w:val="20"/>
        </w:rPr>
        <w:tab/>
      </w:r>
      <w:r>
        <w:rPr>
          <w:rFonts w:ascii="Calibri" w:hAnsi="Calibri"/>
          <w:sz w:val="20"/>
          <w:szCs w:val="20"/>
        </w:rPr>
        <w:tab/>
      </w:r>
      <w:r w:rsidRPr="00D61C8A">
        <w:rPr>
          <w:rFonts w:ascii="Calibri" w:hAnsi="Calibri"/>
          <w:sz w:val="20"/>
          <w:szCs w:val="20"/>
        </w:rPr>
        <w:t>Development and distribution of MRE materials and a minimum set of messages</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i/>
          <w:color w:val="76923C"/>
          <w:sz w:val="20"/>
          <w:szCs w:val="20"/>
        </w:rPr>
      </w:pPr>
      <w:r w:rsidRPr="00D61C8A">
        <w:rPr>
          <w:rFonts w:ascii="Calibri" w:hAnsi="Calibri"/>
          <w:i/>
          <w:color w:val="76923C"/>
          <w:sz w:val="20"/>
          <w:szCs w:val="20"/>
        </w:rPr>
        <w:t xml:space="preserve">Activity description from UNICEF Annual Work Plan 2008-2009: </w:t>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color w:val="76923C"/>
          <w:sz w:val="20"/>
          <w:szCs w:val="20"/>
        </w:rPr>
        <w:sectPr w:rsidR="00B454FB" w:rsidRPr="00D61C8A">
          <w:footnotePr>
            <w:numFmt w:val="lowerRoman"/>
          </w:footnotePr>
          <w:endnotePr>
            <w:numFmt w:val="decimal"/>
          </w:endnotePr>
          <w:pgSz w:w="12240" w:h="15840"/>
          <w:pgMar w:top="720" w:right="720" w:bottom="720" w:left="720" w:header="720" w:footer="720" w:gutter="0"/>
          <w:cols w:space="720"/>
          <w:titlePg/>
          <w:docGrid w:linePitch="326"/>
        </w:sectPr>
      </w:pPr>
      <w:r w:rsidRPr="00D61C8A">
        <w:rPr>
          <w:rFonts w:ascii="Calibri" w:hAnsi="Calibri"/>
          <w:i/>
          <w:color w:val="76923C"/>
          <w:sz w:val="20"/>
          <w:szCs w:val="20"/>
        </w:rPr>
        <w:t>· “</w:t>
      </w:r>
      <w:r w:rsidRPr="00D61C8A">
        <w:rPr>
          <w:rFonts w:ascii="Calibri" w:hAnsi="Calibri"/>
          <w:color w:val="76923C"/>
          <w:sz w:val="20"/>
          <w:szCs w:val="20"/>
        </w:rPr>
        <w:t>Work with MAJWG to develop new MRE materials (including IEC)</w:t>
      </w:r>
      <w:r w:rsidRPr="00D61C8A">
        <w:rPr>
          <w:rStyle w:val="FootnoteReference"/>
          <w:rFonts w:ascii="Calibri" w:hAnsi="Calibri"/>
          <w:color w:val="76923C"/>
        </w:rPr>
        <w:footnoteReference w:id="13"/>
      </w:r>
      <w:r w:rsidRPr="00D61C8A">
        <w:rPr>
          <w:rFonts w:ascii="Calibri" w:hAnsi="Calibri"/>
          <w:color w:val="76923C"/>
          <w:sz w:val="20"/>
          <w:szCs w:val="20"/>
        </w:rPr>
        <w:t xml:space="preserve"> and a minimum set of updated MRE messages.</w:t>
      </w:r>
      <w:r>
        <w:rPr>
          <w:rFonts w:ascii="Calibri" w:hAnsi="Calibri"/>
          <w:color w:val="76923C"/>
          <w:sz w:val="20"/>
          <w:szCs w:val="20"/>
        </w:rPr>
        <w:t>”</w:t>
      </w:r>
      <w:r>
        <w:rPr>
          <w:rStyle w:val="EndnoteReference"/>
          <w:rFonts w:ascii="Calibri" w:hAnsi="Calibri"/>
          <w:color w:val="76923C"/>
          <w:sz w:val="20"/>
          <w:szCs w:val="20"/>
        </w:rPr>
        <w:endnoteReference w:id="206"/>
      </w: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VI.B.1.a</w:t>
      </w:r>
      <w:r>
        <w:rPr>
          <w:rFonts w:ascii="Calibri" w:hAnsi="Calibri"/>
          <w:sz w:val="20"/>
          <w:szCs w:val="20"/>
        </w:rPr>
        <w:tab/>
      </w:r>
      <w:r>
        <w:rPr>
          <w:rFonts w:ascii="Calibri" w:hAnsi="Calibri"/>
          <w:sz w:val="20"/>
          <w:szCs w:val="20"/>
        </w:rPr>
        <w:tab/>
      </w:r>
      <w:r w:rsidRPr="00D61C8A">
        <w:rPr>
          <w:rFonts w:ascii="Calibri" w:hAnsi="Calibri"/>
          <w:sz w:val="20"/>
          <w:szCs w:val="20"/>
        </w:rPr>
        <w:t>Development of MRE materials</w:t>
      </w:r>
    </w:p>
    <w:p w:rsidR="00B454FB"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Pr>
          <w:rFonts w:ascii="Calibri" w:eastAsia="Cambria" w:hAnsi="Calibri"/>
          <w:sz w:val="20"/>
          <w:szCs w:val="20"/>
        </w:rPr>
        <w:t xml:space="preserve">In cooperation with the MAJWG, </w:t>
      </w:r>
      <w:r w:rsidRPr="00D61C8A">
        <w:rPr>
          <w:rFonts w:ascii="Calibri" w:eastAsia="Cambria" w:hAnsi="Calibri"/>
          <w:sz w:val="20"/>
          <w:szCs w:val="20"/>
        </w:rPr>
        <w:t>UNICEF has produced</w:t>
      </w:r>
      <w:r>
        <w:rPr>
          <w:rFonts w:ascii="Calibri" w:eastAsia="Cambria" w:hAnsi="Calibri"/>
          <w:sz w:val="20"/>
          <w:szCs w:val="20"/>
        </w:rPr>
        <w:t xml:space="preserve"> and distributed</w:t>
      </w:r>
      <w:r w:rsidRPr="00D61C8A">
        <w:rPr>
          <w:rFonts w:ascii="Calibri" w:eastAsia="Cambria" w:hAnsi="Calibri"/>
          <w:sz w:val="20"/>
          <w:szCs w:val="20"/>
        </w:rPr>
        <w:t xml:space="preserve"> three versions of MRE materials </w:t>
      </w:r>
      <w:r>
        <w:rPr>
          <w:rFonts w:ascii="Calibri" w:eastAsia="Cambria" w:hAnsi="Calibri"/>
          <w:sz w:val="20"/>
          <w:szCs w:val="20"/>
        </w:rPr>
        <w:t xml:space="preserve">(referred to as “(MAJWG) MRE materials” in the remainder of this report) </w:t>
      </w:r>
      <w:r w:rsidRPr="00D61C8A">
        <w:rPr>
          <w:rFonts w:ascii="Calibri" w:eastAsia="Cambria" w:hAnsi="Calibri"/>
          <w:sz w:val="20"/>
          <w:szCs w:val="20"/>
        </w:rPr>
        <w:t>for use during MRE training sessions: leaflets, flipcharts and user guides.  Posters are discussed as part of UNICEF’s m</w:t>
      </w:r>
      <w:r>
        <w:rPr>
          <w:rFonts w:ascii="Calibri" w:eastAsia="Cambria" w:hAnsi="Calibri"/>
          <w:sz w:val="20"/>
          <w:szCs w:val="20"/>
        </w:rPr>
        <w:t>edia campaigns (Section VI.B.3).</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UNICEF developed a prototype for MRE materials in late 2005 using messages developed by UNICEF Nepal in coordination with the MAJWG and </w:t>
      </w:r>
      <w:r>
        <w:rPr>
          <w:rFonts w:ascii="Calibri" w:eastAsia="Cambria" w:hAnsi="Calibri"/>
          <w:sz w:val="20"/>
          <w:szCs w:val="20"/>
        </w:rPr>
        <w:t xml:space="preserve">according to </w:t>
      </w:r>
      <w:r w:rsidRPr="00D61C8A">
        <w:rPr>
          <w:rFonts w:ascii="Calibri" w:eastAsia="Cambria" w:hAnsi="Calibri"/>
          <w:sz w:val="20"/>
          <w:szCs w:val="20"/>
        </w:rPr>
        <w:t>IMAS</w:t>
      </w:r>
      <w:r>
        <w:rPr>
          <w:rFonts w:ascii="Calibri" w:eastAsia="Cambria" w:hAnsi="Calibri"/>
          <w:sz w:val="20"/>
          <w:szCs w:val="20"/>
        </w:rPr>
        <w:t xml:space="preserve"> recommendations</w:t>
      </w:r>
      <w:r w:rsidRPr="00D61C8A">
        <w:rPr>
          <w:rFonts w:ascii="Calibri" w:eastAsia="Cambria" w:hAnsi="Calibri"/>
          <w:sz w:val="20"/>
          <w:szCs w:val="20"/>
        </w:rPr>
        <w:t xml:space="preserve">.  Materials were illustrated by Raju Babu Shakya, a local artist who </w:t>
      </w:r>
      <w:r>
        <w:rPr>
          <w:rFonts w:ascii="Calibri" w:eastAsia="Cambria" w:hAnsi="Calibri"/>
          <w:sz w:val="20"/>
          <w:szCs w:val="20"/>
        </w:rPr>
        <w:t>illustrates</w:t>
      </w:r>
      <w:r w:rsidRPr="00D61C8A">
        <w:rPr>
          <w:rFonts w:ascii="Calibri" w:eastAsia="Cambria" w:hAnsi="Calibri"/>
          <w:sz w:val="20"/>
          <w:szCs w:val="20"/>
        </w:rPr>
        <w:t xml:space="preserve"> for </w:t>
      </w:r>
      <w:r w:rsidRPr="00D61C8A">
        <w:rPr>
          <w:rFonts w:ascii="Calibri" w:eastAsia="Cambria" w:hAnsi="Calibri"/>
          <w:i/>
          <w:sz w:val="20"/>
          <w:szCs w:val="20"/>
        </w:rPr>
        <w:t>Kantipur</w:t>
      </w:r>
      <w:r w:rsidRPr="00D61C8A">
        <w:rPr>
          <w:rFonts w:ascii="Calibri" w:eastAsia="Cambria" w:hAnsi="Calibri"/>
          <w:sz w:val="20"/>
          <w:szCs w:val="20"/>
        </w:rPr>
        <w:t xml:space="preserve"> newspaper and its English-language sister paper </w:t>
      </w:r>
      <w:r w:rsidRPr="00D61C8A">
        <w:rPr>
          <w:rFonts w:ascii="Calibri" w:eastAsia="Cambria" w:hAnsi="Calibri"/>
          <w:i/>
          <w:sz w:val="20"/>
          <w:szCs w:val="20"/>
        </w:rPr>
        <w:t>The Kathmandu Post</w:t>
      </w:r>
      <w:r>
        <w:rPr>
          <w:rFonts w:ascii="Calibri" w:eastAsia="Cambria" w:hAnsi="Calibri"/>
          <w:sz w:val="20"/>
          <w:szCs w:val="20"/>
        </w:rPr>
        <w:t>, with guidance from UNICEF.</w:t>
      </w:r>
      <w:r w:rsidRPr="00D61C8A">
        <w:rPr>
          <w:rFonts w:ascii="Calibri" w:eastAsia="Cambria" w:hAnsi="Calibri"/>
          <w:sz w:val="20"/>
          <w:szCs w:val="20"/>
        </w:rPr>
        <w:t xml:space="preserve">  Because approximately half of Nepal</w:t>
      </w:r>
      <w:r>
        <w:rPr>
          <w:rFonts w:ascii="Calibri" w:eastAsia="Cambria" w:hAnsi="Calibri"/>
          <w:sz w:val="20"/>
          <w:szCs w:val="20"/>
        </w:rPr>
        <w:t>is</w:t>
      </w:r>
      <w:r w:rsidRPr="00D61C8A">
        <w:rPr>
          <w:rFonts w:ascii="Calibri" w:eastAsia="Cambria" w:hAnsi="Calibri"/>
          <w:sz w:val="20"/>
          <w:szCs w:val="20"/>
        </w:rPr>
        <w:t xml:space="preserve"> are illiterate,</w:t>
      </w:r>
      <w:r w:rsidRPr="00D61C8A">
        <w:rPr>
          <w:rFonts w:ascii="Calibri" w:eastAsia="Cambria" w:hAnsi="Calibri"/>
          <w:sz w:val="20"/>
          <w:vertAlign w:val="superscript"/>
        </w:rPr>
        <w:footnoteReference w:id="14"/>
      </w:r>
      <w:r w:rsidRPr="00D61C8A">
        <w:rPr>
          <w:rFonts w:ascii="Calibri" w:eastAsia="Cambria" w:hAnsi="Calibri"/>
          <w:sz w:val="20"/>
          <w:szCs w:val="20"/>
        </w:rPr>
        <w:t xml:space="preserve"> MRE materials were designed to be understood without reading.</w:t>
      </w:r>
      <w:r w:rsidRPr="00D61C8A">
        <w:rPr>
          <w:rFonts w:ascii="Calibri" w:eastAsia="Cambria" w:hAnsi="Calibri"/>
          <w:sz w:val="20"/>
          <w:vertAlign w:val="superscript"/>
        </w:rPr>
        <w:endnoteReference w:id="207"/>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Pr>
          <w:rFonts w:ascii="Calibri" w:eastAsia="Cambria" w:hAnsi="Calibri"/>
          <w:sz w:val="20"/>
          <w:szCs w:val="20"/>
        </w:rPr>
        <w:t xml:space="preserve">With assistance from ICRC, </w:t>
      </w:r>
      <w:r w:rsidRPr="00D61C8A">
        <w:rPr>
          <w:rFonts w:ascii="Calibri" w:eastAsia="Cambria" w:hAnsi="Calibri"/>
          <w:sz w:val="20"/>
          <w:szCs w:val="20"/>
        </w:rPr>
        <w:t>UNICEF and NRCS</w:t>
      </w:r>
      <w:r>
        <w:rPr>
          <w:rFonts w:ascii="Calibri" w:eastAsia="Cambria" w:hAnsi="Calibri"/>
          <w:sz w:val="20"/>
          <w:szCs w:val="20"/>
        </w:rPr>
        <w:t>,</w:t>
      </w:r>
      <w:r w:rsidRPr="00D61C8A">
        <w:rPr>
          <w:rFonts w:ascii="Calibri" w:eastAsia="Cambria" w:hAnsi="Calibri"/>
          <w:sz w:val="20"/>
          <w:szCs w:val="20"/>
        </w:rPr>
        <w:t xml:space="preserve"> trainers field-tested </w:t>
      </w:r>
      <w:r>
        <w:rPr>
          <w:rFonts w:ascii="Calibri" w:eastAsia="Cambria" w:hAnsi="Calibri"/>
          <w:sz w:val="20"/>
          <w:szCs w:val="20"/>
        </w:rPr>
        <w:t>the new</w:t>
      </w:r>
      <w:r w:rsidRPr="00D61C8A">
        <w:rPr>
          <w:rFonts w:ascii="Calibri" w:eastAsia="Cambria" w:hAnsi="Calibri"/>
          <w:sz w:val="20"/>
          <w:szCs w:val="20"/>
        </w:rPr>
        <w:t xml:space="preserve"> MRE images in four VDCs in Rupandehi District in 2006.  375 participants</w:t>
      </w:r>
      <w:r w:rsidRPr="00D61C8A">
        <w:rPr>
          <w:rFonts w:ascii="Calibri" w:eastAsia="Cambria" w:hAnsi="Calibri"/>
          <w:sz w:val="20"/>
          <w:vertAlign w:val="superscript"/>
        </w:rPr>
        <w:footnoteReference w:id="15"/>
      </w:r>
      <w:r w:rsidRPr="00D61C8A">
        <w:rPr>
          <w:rFonts w:ascii="Calibri" w:eastAsia="Cambria" w:hAnsi="Calibri"/>
          <w:sz w:val="20"/>
          <w:szCs w:val="20"/>
        </w:rPr>
        <w:t xml:space="preserve"> were asked to describe what was happening in certain images</w:t>
      </w:r>
      <w:r>
        <w:rPr>
          <w:rFonts w:ascii="Calibri" w:eastAsia="Cambria" w:hAnsi="Calibri"/>
          <w:sz w:val="20"/>
          <w:szCs w:val="20"/>
        </w:rPr>
        <w:t>.  Each image received a score based on the percentage of participants who correctly understood its message; scores ranged from 13 to 85 %</w:t>
      </w:r>
      <w:r w:rsidRPr="00D61C8A">
        <w:rPr>
          <w:rFonts w:ascii="Calibri" w:eastAsia="Cambria" w:hAnsi="Calibri"/>
          <w:sz w:val="20"/>
          <w:szCs w:val="20"/>
        </w:rPr>
        <w:t>.</w:t>
      </w:r>
      <w:r w:rsidRPr="00D61C8A">
        <w:rPr>
          <w:rFonts w:ascii="Calibri" w:eastAsia="Cambria" w:hAnsi="Calibri"/>
          <w:sz w:val="20"/>
          <w:vertAlign w:val="superscript"/>
        </w:rPr>
        <w:endnoteReference w:id="208"/>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UNICEF used data from the field test, INSEC’s VAE injury surveillance system and the 2007 KAP survey (see Section VI.B.5) to revise the content of the MRE materials.  The six images that received the lowest scores </w:t>
      </w:r>
      <w:r>
        <w:rPr>
          <w:rFonts w:ascii="Calibri" w:eastAsia="Cambria" w:hAnsi="Calibri"/>
          <w:sz w:val="20"/>
          <w:szCs w:val="20"/>
        </w:rPr>
        <w:t xml:space="preserve">(13 to 52 %) </w:t>
      </w:r>
      <w:r w:rsidRPr="00D61C8A">
        <w:rPr>
          <w:rFonts w:ascii="Calibri" w:eastAsia="Cambria" w:hAnsi="Calibri"/>
          <w:sz w:val="20"/>
          <w:szCs w:val="20"/>
        </w:rPr>
        <w:t>during the field test</w:t>
      </w:r>
      <w:r>
        <w:rPr>
          <w:rFonts w:ascii="Calibri" w:eastAsia="Cambria" w:hAnsi="Calibri"/>
          <w:sz w:val="20"/>
          <w:szCs w:val="20"/>
        </w:rPr>
        <w:t xml:space="preserve"> </w:t>
      </w:r>
      <w:r w:rsidRPr="00D61C8A">
        <w:rPr>
          <w:rFonts w:ascii="Calibri" w:eastAsia="Cambria" w:hAnsi="Calibri"/>
          <w:sz w:val="20"/>
          <w:szCs w:val="20"/>
        </w:rPr>
        <w:t xml:space="preserve">were removed or modified.  Images were also modified to reflect changing trends in ED use and contamination and risk behaviors: </w:t>
      </w:r>
    </w:p>
    <w:p w:rsidR="00B454FB" w:rsidRPr="00D61C8A" w:rsidRDefault="00B454FB" w:rsidP="00B454FB">
      <w:pPr>
        <w:numPr>
          <w:ilvl w:val="0"/>
          <w:numId w:val="37"/>
        </w:numPr>
        <w:spacing w:line="276" w:lineRule="auto"/>
        <w:contextualSpacing/>
        <w:rPr>
          <w:rFonts w:ascii="Calibri" w:hAnsi="Calibri"/>
          <w:sz w:val="20"/>
          <w:szCs w:val="20"/>
        </w:rPr>
      </w:pPr>
      <w:r w:rsidRPr="00D61C8A">
        <w:rPr>
          <w:rFonts w:ascii="Calibri" w:hAnsi="Calibri"/>
          <w:sz w:val="20"/>
          <w:szCs w:val="20"/>
        </w:rPr>
        <w:t xml:space="preserve">In the leaflet (see Appendix B.1.a), photographs of a grenade, an incendiary bomb, a mortar and a directional fragmentation device were replaced with photographs of a cloth-covered IED, a sutali bomb, two types of landmines and a bag of explosives. </w:t>
      </w:r>
    </w:p>
    <w:p w:rsidR="00B454FB" w:rsidRPr="00D61C8A" w:rsidRDefault="00B454FB" w:rsidP="00B454FB">
      <w:pPr>
        <w:numPr>
          <w:ilvl w:val="0"/>
          <w:numId w:val="37"/>
        </w:numPr>
        <w:spacing w:line="276" w:lineRule="auto"/>
        <w:contextualSpacing/>
        <w:rPr>
          <w:rFonts w:ascii="Calibri" w:hAnsi="Calibri"/>
          <w:sz w:val="20"/>
          <w:szCs w:val="20"/>
        </w:rPr>
      </w:pPr>
      <w:r w:rsidRPr="00D61C8A">
        <w:rPr>
          <w:rFonts w:ascii="Calibri" w:hAnsi="Calibri"/>
          <w:sz w:val="20"/>
          <w:szCs w:val="20"/>
        </w:rPr>
        <w:t xml:space="preserve">Images showing children approaching a roadblock, a banner with explosives attached, and an area marked with barbed wire were replaced with images showing an unattended bag in a public place and an ED being kept in a home.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Pr>
          <w:rFonts w:ascii="Calibri" w:eastAsia="Cambria" w:hAnsi="Calibri"/>
          <w:sz w:val="20"/>
          <w:szCs w:val="20"/>
        </w:rPr>
        <w:t>Data collected during t</w:t>
      </w:r>
      <w:r w:rsidRPr="00D61C8A">
        <w:rPr>
          <w:rFonts w:ascii="Calibri" w:eastAsia="Cambria" w:hAnsi="Calibri"/>
          <w:sz w:val="20"/>
          <w:szCs w:val="20"/>
        </w:rPr>
        <w:t>he field test also led to the creation of smaller sets of flipcharts</w:t>
      </w:r>
      <w:r w:rsidR="005226B6">
        <w:rPr>
          <w:rFonts w:ascii="Calibri" w:eastAsia="Cambria" w:hAnsi="Calibri"/>
          <w:sz w:val="20"/>
          <w:szCs w:val="20"/>
        </w:rPr>
        <w:t>,</w:t>
      </w:r>
      <w:r w:rsidRPr="00D61C8A">
        <w:rPr>
          <w:rFonts w:ascii="Calibri" w:eastAsia="Cambria" w:hAnsi="Calibri"/>
          <w:sz w:val="20"/>
          <w:szCs w:val="20"/>
        </w:rPr>
        <w:t xml:space="preserve"> which are easier to </w:t>
      </w:r>
      <w:r>
        <w:rPr>
          <w:rFonts w:ascii="Calibri" w:eastAsia="Cambria" w:hAnsi="Calibri"/>
          <w:sz w:val="20"/>
          <w:szCs w:val="20"/>
        </w:rPr>
        <w:t>transport</w:t>
      </w:r>
      <w:r w:rsidRPr="00D61C8A">
        <w:rPr>
          <w:rFonts w:ascii="Calibri" w:eastAsia="Cambria" w:hAnsi="Calibri"/>
          <w:sz w:val="20"/>
          <w:szCs w:val="20"/>
        </w:rPr>
        <w:t xml:space="preserve">.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A third version of MRE materials was endorsed by the MAJWG and the </w:t>
      </w:r>
      <w:r>
        <w:rPr>
          <w:rFonts w:ascii="Calibri" w:eastAsia="Cambria" w:hAnsi="Calibri"/>
          <w:sz w:val="20"/>
          <w:szCs w:val="20"/>
        </w:rPr>
        <w:t>G</w:t>
      </w:r>
      <w:r w:rsidRPr="00D61C8A">
        <w:rPr>
          <w:rFonts w:ascii="Calibri" w:eastAsia="Cambria" w:hAnsi="Calibri"/>
          <w:sz w:val="20"/>
          <w:szCs w:val="20"/>
        </w:rPr>
        <w:t>overnment of Nepal and printed in February 2009.</w:t>
      </w:r>
      <w:r w:rsidRPr="00D61C8A">
        <w:rPr>
          <w:rFonts w:ascii="Calibri" w:eastAsia="Cambria" w:hAnsi="Calibri"/>
          <w:sz w:val="20"/>
          <w:vertAlign w:val="superscript"/>
        </w:rPr>
        <w:endnoteReference w:id="209"/>
      </w:r>
      <w:r w:rsidRPr="00D61C8A">
        <w:rPr>
          <w:rFonts w:ascii="Calibri" w:eastAsia="Cambria" w:hAnsi="Calibri"/>
          <w:sz w:val="20"/>
          <w:szCs w:val="20"/>
        </w:rPr>
        <w:t xml:space="preserve">  The MRE flipchart, leaflet and user guide are described below.</w:t>
      </w:r>
    </w:p>
    <w:p w:rsidR="00B454FB" w:rsidRPr="00D61C8A" w:rsidRDefault="00B454FB" w:rsidP="00B454FB">
      <w:pPr>
        <w:rPr>
          <w:rFonts w:ascii="Calibri" w:hAnsi="Calibri"/>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VI.B.1.a (1)</w:t>
      </w:r>
      <w:r>
        <w:rPr>
          <w:rFonts w:ascii="Calibri" w:hAnsi="Calibri"/>
          <w:sz w:val="20"/>
          <w:szCs w:val="20"/>
        </w:rPr>
        <w:tab/>
      </w:r>
      <w:r>
        <w:rPr>
          <w:rFonts w:ascii="Calibri" w:hAnsi="Calibri"/>
          <w:sz w:val="20"/>
          <w:szCs w:val="20"/>
        </w:rPr>
        <w:tab/>
      </w:r>
      <w:r w:rsidRPr="00D61C8A">
        <w:rPr>
          <w:rFonts w:ascii="Calibri" w:hAnsi="Calibri"/>
          <w:sz w:val="20"/>
          <w:szCs w:val="20"/>
        </w:rPr>
        <w:t>Flipcharts (see Appendix B.1.b)</w:t>
      </w:r>
    </w:p>
    <w:p w:rsidR="00B454FB" w:rsidRPr="00D61C8A" w:rsidRDefault="00B454FB" w:rsidP="00B454FB">
      <w:pPr>
        <w:rPr>
          <w:rFonts w:ascii="Calibri" w:hAnsi="Calibri"/>
        </w:rPr>
      </w:pP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Flipcharts were designed for use by trainers conducting emergency, regular and systematic MRE sessions</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 xml:space="preserve">Flipcharts are divided into two parts, each of which contains 13 </w:t>
      </w:r>
      <w:r>
        <w:rPr>
          <w:rFonts w:ascii="Calibri" w:hAnsi="Calibri"/>
          <w:sz w:val="20"/>
          <w:szCs w:val="20"/>
        </w:rPr>
        <w:t>pages.</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Each page in a flipchart is double-sided; the audience side contains a large color picture while the trainer side contains a script and a small black-and-white image of the picture shown to the audience</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 xml:space="preserve">An introduction for the trainer explains the purpose of the flipcharts and provides tips for creating a dynamic performance, such as asking questions and encouraging participants to describe what is happening in the </w:t>
      </w:r>
      <w:r>
        <w:rPr>
          <w:rFonts w:ascii="Calibri" w:hAnsi="Calibri"/>
          <w:sz w:val="20"/>
          <w:szCs w:val="20"/>
        </w:rPr>
        <w:t>images.</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Trainers are encouraged to speak without reading directly from the script, which is meant to be used for prompting</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 xml:space="preserve">Some slides were </w:t>
      </w:r>
      <w:r>
        <w:rPr>
          <w:rFonts w:ascii="Calibri" w:hAnsi="Calibri"/>
          <w:sz w:val="20"/>
          <w:szCs w:val="20"/>
        </w:rPr>
        <w:t>created to target certain age groups</w:t>
      </w:r>
      <w:r w:rsidRPr="00D61C8A">
        <w:rPr>
          <w:rFonts w:ascii="Calibri" w:hAnsi="Calibri"/>
          <w:sz w:val="20"/>
          <w:szCs w:val="20"/>
        </w:rPr>
        <w:t>; trainers may spend more or less time explaining particular slides</w:t>
      </w:r>
      <w:r>
        <w:rPr>
          <w:rFonts w:ascii="Calibri" w:hAnsi="Calibri"/>
          <w:sz w:val="20"/>
          <w:szCs w:val="20"/>
        </w:rPr>
        <w:t xml:space="preserve"> as appropriate for different audiences.</w:t>
      </w:r>
      <w:r w:rsidRPr="000C2791">
        <w:rPr>
          <w:rStyle w:val="EndnoteReference"/>
          <w:rFonts w:ascii="Calibri" w:hAnsi="Calibri"/>
          <w:sz w:val="20"/>
        </w:rPr>
        <w:endnoteReference w:id="210"/>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See Appendix B.1.f for a summary of messages found in the flipchart.</w:t>
      </w:r>
    </w:p>
    <w:p w:rsidR="00B454FB" w:rsidRPr="00D61C8A" w:rsidRDefault="00B454FB" w:rsidP="00B454FB">
      <w:pPr>
        <w:rPr>
          <w:rFonts w:ascii="Calibri" w:hAnsi="Calibri"/>
        </w:rPr>
      </w:pPr>
    </w:p>
    <w:p w:rsidR="00B454FB" w:rsidRPr="00D61C8A" w:rsidRDefault="00B454FB" w:rsidP="00B454FB">
      <w:pPr>
        <w:pStyle w:val="Heading5"/>
        <w:numPr>
          <w:ilvl w:val="0"/>
          <w:numId w:val="0"/>
        </w:numPr>
        <w:spacing w:before="0"/>
        <w:rPr>
          <w:rFonts w:ascii="Calibri" w:hAnsi="Calibri"/>
          <w:sz w:val="20"/>
          <w:szCs w:val="20"/>
        </w:rPr>
      </w:pPr>
      <w:r>
        <w:rPr>
          <w:rFonts w:ascii="Calibri" w:hAnsi="Calibri"/>
          <w:sz w:val="20"/>
          <w:szCs w:val="20"/>
        </w:rPr>
        <w:t>VI.B.1.a (2)</w:t>
      </w:r>
      <w:r>
        <w:rPr>
          <w:rFonts w:ascii="Calibri" w:hAnsi="Calibri"/>
          <w:sz w:val="20"/>
          <w:szCs w:val="20"/>
        </w:rPr>
        <w:tab/>
      </w:r>
      <w:r>
        <w:rPr>
          <w:rFonts w:ascii="Calibri" w:hAnsi="Calibri"/>
          <w:sz w:val="20"/>
          <w:szCs w:val="20"/>
        </w:rPr>
        <w:tab/>
      </w:r>
      <w:r w:rsidRPr="00D61C8A">
        <w:rPr>
          <w:rFonts w:ascii="Calibri" w:hAnsi="Calibri"/>
          <w:sz w:val="20"/>
          <w:szCs w:val="20"/>
        </w:rPr>
        <w:t>Leaflet (see Appendix B.1.a)</w:t>
      </w:r>
    </w:p>
    <w:p w:rsidR="00B454FB" w:rsidRPr="00D61C8A" w:rsidRDefault="00B454FB" w:rsidP="00B454FB">
      <w:pPr>
        <w:rPr>
          <w:rFonts w:ascii="Calibri" w:hAnsi="Calibri"/>
        </w:rPr>
      </w:pP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The leaflet was designed for wide distribution to MRE session participants, who are encouraged to share it with their families, friends and acquaintances</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The leaflet contains minimal text and was created for illiterate as well as literate individuals</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The leaflet contains the following images used in the flipcharts (see Appendix B.1.f):</w:t>
      </w:r>
    </w:p>
    <w:p w:rsidR="00B454FB" w:rsidRPr="00D61C8A" w:rsidRDefault="00B454FB" w:rsidP="00B454FB">
      <w:pPr>
        <w:pStyle w:val="ColorfulList-Accent11"/>
        <w:numPr>
          <w:ilvl w:val="1"/>
          <w:numId w:val="38"/>
        </w:numPr>
        <w:rPr>
          <w:rFonts w:ascii="Calibri" w:hAnsi="Calibri"/>
          <w:sz w:val="20"/>
          <w:szCs w:val="20"/>
        </w:rPr>
      </w:pPr>
      <w:r w:rsidRPr="00D61C8A">
        <w:rPr>
          <w:rFonts w:ascii="Calibri" w:hAnsi="Calibri"/>
          <w:sz w:val="20"/>
          <w:szCs w:val="20"/>
        </w:rPr>
        <w:lastRenderedPageBreak/>
        <w:t>Photographs of 13 types of ED</w:t>
      </w:r>
      <w:r>
        <w:rPr>
          <w:rFonts w:ascii="Calibri" w:hAnsi="Calibri"/>
          <w:sz w:val="20"/>
          <w:szCs w:val="20"/>
        </w:rPr>
        <w:t>;</w:t>
      </w:r>
    </w:p>
    <w:p w:rsidR="00B454FB" w:rsidRPr="00D61C8A" w:rsidRDefault="00B454FB" w:rsidP="00B454FB">
      <w:pPr>
        <w:pStyle w:val="ColorfulList-Accent11"/>
        <w:numPr>
          <w:ilvl w:val="1"/>
          <w:numId w:val="38"/>
        </w:numPr>
        <w:rPr>
          <w:rFonts w:ascii="Calibri" w:hAnsi="Calibri"/>
          <w:sz w:val="20"/>
          <w:szCs w:val="20"/>
        </w:rPr>
      </w:pPr>
      <w:r w:rsidRPr="00D61C8A">
        <w:rPr>
          <w:rFonts w:ascii="Calibri" w:hAnsi="Calibri"/>
          <w:sz w:val="20"/>
          <w:szCs w:val="20"/>
        </w:rPr>
        <w:t>Cartoon drawings of six risk behaviors and three positive behaviors</w:t>
      </w:r>
      <w:r>
        <w:rPr>
          <w:rFonts w:ascii="Calibri" w:hAnsi="Calibri"/>
          <w:sz w:val="20"/>
          <w:szCs w:val="20"/>
        </w:rPr>
        <w:t>;</w:t>
      </w:r>
    </w:p>
    <w:p w:rsidR="00B454FB" w:rsidRPr="00D61C8A" w:rsidRDefault="00B454FB" w:rsidP="00B454FB">
      <w:pPr>
        <w:pStyle w:val="ColorfulList-Accent11"/>
        <w:numPr>
          <w:ilvl w:val="1"/>
          <w:numId w:val="38"/>
        </w:numPr>
        <w:rPr>
          <w:rFonts w:ascii="Calibri" w:hAnsi="Calibri"/>
          <w:sz w:val="20"/>
          <w:szCs w:val="20"/>
        </w:rPr>
      </w:pPr>
      <w:r>
        <w:rPr>
          <w:rFonts w:ascii="Calibri" w:hAnsi="Calibri"/>
          <w:sz w:val="20"/>
          <w:szCs w:val="20"/>
        </w:rPr>
        <w:t>A p</w:t>
      </w:r>
      <w:r w:rsidRPr="00D61C8A">
        <w:rPr>
          <w:rFonts w:ascii="Calibri" w:hAnsi="Calibri"/>
          <w:sz w:val="20"/>
          <w:szCs w:val="20"/>
        </w:rPr>
        <w:t>hotograph of a child injured by an ED</w:t>
      </w:r>
      <w:r>
        <w:rPr>
          <w:rFonts w:ascii="Calibri" w:hAnsi="Calibri"/>
          <w:sz w:val="20"/>
          <w:szCs w:val="20"/>
        </w:rPr>
        <w:t>; and</w:t>
      </w:r>
    </w:p>
    <w:p w:rsidR="00B454FB" w:rsidRPr="00D61C8A" w:rsidRDefault="00B454FB" w:rsidP="00B454FB">
      <w:pPr>
        <w:pStyle w:val="ColorfulList-Accent11"/>
        <w:numPr>
          <w:ilvl w:val="1"/>
          <w:numId w:val="38"/>
        </w:numPr>
        <w:rPr>
          <w:rFonts w:ascii="Calibri" w:hAnsi="Calibri"/>
          <w:sz w:val="20"/>
          <w:szCs w:val="20"/>
        </w:rPr>
      </w:pPr>
      <w:r>
        <w:rPr>
          <w:rFonts w:ascii="Calibri" w:hAnsi="Calibri"/>
          <w:sz w:val="20"/>
          <w:szCs w:val="20"/>
        </w:rPr>
        <w:t>An e</w:t>
      </w:r>
      <w:r w:rsidRPr="00D61C8A">
        <w:rPr>
          <w:rFonts w:ascii="Calibri" w:hAnsi="Calibri"/>
          <w:sz w:val="20"/>
          <w:szCs w:val="20"/>
        </w:rPr>
        <w:t>xplanation that ED can be dangerous at distances up to and exceeding 1000 meters</w:t>
      </w:r>
      <w:r>
        <w:rPr>
          <w:rFonts w:ascii="Calibri" w:hAnsi="Calibri"/>
          <w:sz w:val="20"/>
          <w:szCs w:val="20"/>
        </w:rPr>
        <w:t>.</w:t>
      </w:r>
    </w:p>
    <w:p w:rsidR="00B454FB" w:rsidRDefault="00B454FB" w:rsidP="00B454FB">
      <w:pPr>
        <w:pStyle w:val="Heading5"/>
        <w:numPr>
          <w:ilvl w:val="0"/>
          <w:numId w:val="0"/>
        </w:numPr>
        <w:spacing w:before="0"/>
        <w:rPr>
          <w:rFonts w:ascii="Calibri" w:hAnsi="Calibri"/>
          <w:color w:val="auto"/>
        </w:rPr>
      </w:pPr>
    </w:p>
    <w:p w:rsidR="00B454FB" w:rsidRPr="00D61C8A" w:rsidRDefault="00B454FB" w:rsidP="00B454FB">
      <w:pPr>
        <w:pStyle w:val="Heading5"/>
        <w:numPr>
          <w:ilvl w:val="0"/>
          <w:numId w:val="0"/>
        </w:numPr>
        <w:spacing w:before="0"/>
        <w:rPr>
          <w:rFonts w:ascii="Calibri" w:hAnsi="Calibri"/>
          <w:sz w:val="20"/>
          <w:szCs w:val="20"/>
        </w:rPr>
      </w:pPr>
      <w:r w:rsidRPr="005243F1">
        <w:rPr>
          <w:rFonts w:ascii="Calibri" w:hAnsi="Calibri"/>
          <w:color w:val="365F91" w:themeColor="accent1" w:themeShade="BF"/>
          <w:sz w:val="20"/>
          <w:szCs w:val="20"/>
        </w:rPr>
        <w:t>VI.B.1.a (3)</w:t>
      </w:r>
      <w:r>
        <w:rPr>
          <w:rFonts w:ascii="Calibri" w:hAnsi="Calibri"/>
          <w:color w:val="auto"/>
        </w:rPr>
        <w:tab/>
      </w:r>
      <w:r>
        <w:rPr>
          <w:rFonts w:ascii="Calibri" w:hAnsi="Calibri"/>
          <w:color w:val="auto"/>
        </w:rPr>
        <w:tab/>
      </w:r>
      <w:r w:rsidRPr="00D61C8A">
        <w:rPr>
          <w:rFonts w:ascii="Calibri" w:hAnsi="Calibri"/>
          <w:sz w:val="20"/>
          <w:szCs w:val="20"/>
        </w:rPr>
        <w:t>User guide (see Appendix B.1.c)</w:t>
      </w:r>
    </w:p>
    <w:p w:rsidR="00B454FB" w:rsidRPr="00D61C8A" w:rsidRDefault="00B454FB" w:rsidP="00B454FB">
      <w:pPr>
        <w:rPr>
          <w:rFonts w:ascii="Calibri" w:hAnsi="Calibri"/>
        </w:rPr>
      </w:pP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The user guide was designed to remind MRE trainers how to explain images in the MRE leaflet</w:t>
      </w:r>
      <w:r>
        <w:rPr>
          <w:rFonts w:ascii="Calibri" w:hAnsi="Calibri"/>
          <w:sz w:val="20"/>
          <w:szCs w:val="20"/>
        </w:rPr>
        <w: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 xml:space="preserve">The user guide is a two-sided color document; each side corresponds to one </w:t>
      </w:r>
      <w:r>
        <w:rPr>
          <w:rFonts w:ascii="Calibri" w:hAnsi="Calibri"/>
          <w:sz w:val="20"/>
          <w:szCs w:val="20"/>
        </w:rPr>
        <w:t>side of an unfolded MRE leaflet.</w:t>
      </w:r>
    </w:p>
    <w:p w:rsidR="00B454FB" w:rsidRPr="00D61C8A" w:rsidRDefault="00B454FB" w:rsidP="00B454FB">
      <w:pPr>
        <w:pStyle w:val="ColorfulList-Accent11"/>
        <w:numPr>
          <w:ilvl w:val="0"/>
          <w:numId w:val="38"/>
        </w:numPr>
        <w:rPr>
          <w:rFonts w:ascii="Calibri" w:hAnsi="Calibri"/>
          <w:sz w:val="20"/>
          <w:szCs w:val="20"/>
        </w:rPr>
      </w:pPr>
      <w:r w:rsidRPr="00D61C8A">
        <w:rPr>
          <w:rFonts w:ascii="Calibri" w:hAnsi="Calibri"/>
          <w:sz w:val="20"/>
          <w:szCs w:val="20"/>
        </w:rPr>
        <w:t>Detailed instructions clarify how the trainer should explain each image in the leaflet</w:t>
      </w:r>
      <w:r>
        <w:rPr>
          <w:rFonts w:ascii="Calibri" w:hAnsi="Calibri"/>
          <w:sz w:val="20"/>
          <w:szCs w:val="20"/>
        </w:rPr>
        <w:t>.</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VI.B.1.b</w:t>
      </w:r>
      <w:r>
        <w:rPr>
          <w:rFonts w:ascii="Calibri" w:hAnsi="Calibri"/>
          <w:sz w:val="20"/>
          <w:szCs w:val="20"/>
        </w:rPr>
        <w:tab/>
      </w:r>
      <w:r>
        <w:rPr>
          <w:rFonts w:ascii="Calibri" w:hAnsi="Calibri"/>
          <w:sz w:val="20"/>
          <w:szCs w:val="20"/>
        </w:rPr>
        <w:tab/>
      </w:r>
      <w:r w:rsidRPr="00D61C8A">
        <w:rPr>
          <w:rFonts w:ascii="Calibri" w:hAnsi="Calibri"/>
          <w:sz w:val="20"/>
          <w:szCs w:val="20"/>
        </w:rPr>
        <w:t>Production, distribution and use of MRE materials</w:t>
      </w:r>
    </w:p>
    <w:p w:rsidR="00B454FB" w:rsidRPr="00D61C8A" w:rsidRDefault="00B454FB" w:rsidP="00B454FB">
      <w:pPr>
        <w:rPr>
          <w:rFonts w:ascii="Calibri" w:hAnsi="Calibri"/>
          <w:sz w:val="20"/>
          <w:szCs w:val="20"/>
        </w:rPr>
      </w:pPr>
    </w:p>
    <w:p w:rsidR="00B454FB" w:rsidRPr="00D61C8A" w:rsidRDefault="00B454FB" w:rsidP="00B454FB">
      <w:pPr>
        <w:pStyle w:val="CommentText"/>
        <w:rPr>
          <w:rFonts w:ascii="Calibri" w:hAnsi="Calibri"/>
        </w:rPr>
      </w:pPr>
      <w:r w:rsidRPr="00D61C8A">
        <w:rPr>
          <w:rFonts w:ascii="Calibri" w:hAnsi="Calibri"/>
        </w:rPr>
        <w:t xml:space="preserve">UNICEF began producing and distributing MRE materials in 2005 and continued through 2009.  UNICEF uses a bidding process to select printers; costs vary with each printing and decrease with higher volumes purchased.  While UNICEF does not maintain complete records of costs and patterns of production and distribution, some details were </w:t>
      </w:r>
      <w:r>
        <w:rPr>
          <w:rFonts w:ascii="Calibri" w:hAnsi="Calibri"/>
        </w:rPr>
        <w:t>provided to the evaluation team</w:t>
      </w:r>
      <w:r w:rsidRPr="00D61C8A">
        <w:rPr>
          <w:rFonts w:ascii="Calibri" w:hAnsi="Calibri"/>
        </w:rPr>
        <w:t>:</w:t>
      </w:r>
    </w:p>
    <w:p w:rsidR="00B454FB" w:rsidRPr="00D61C8A" w:rsidRDefault="00B454FB" w:rsidP="00B454FB">
      <w:pPr>
        <w:pStyle w:val="CommentText"/>
        <w:numPr>
          <w:ilvl w:val="0"/>
          <w:numId w:val="72"/>
        </w:numPr>
        <w:rPr>
          <w:rFonts w:ascii="Calibri" w:hAnsi="Calibri"/>
        </w:rPr>
      </w:pPr>
      <w:r w:rsidRPr="00D61C8A">
        <w:rPr>
          <w:rFonts w:ascii="Calibri" w:hAnsi="Calibri"/>
        </w:rPr>
        <w:t>Leaflets</w:t>
      </w:r>
    </w:p>
    <w:p w:rsidR="00B454FB" w:rsidRPr="00D61C8A" w:rsidRDefault="00B454FB" w:rsidP="00B454FB">
      <w:pPr>
        <w:pStyle w:val="CommentText"/>
        <w:numPr>
          <w:ilvl w:val="1"/>
          <w:numId w:val="72"/>
        </w:numPr>
        <w:rPr>
          <w:rFonts w:ascii="Calibri" w:hAnsi="Calibri"/>
        </w:rPr>
      </w:pPr>
      <w:r w:rsidRPr="00D61C8A">
        <w:rPr>
          <w:rFonts w:ascii="Calibri" w:hAnsi="Calibri"/>
        </w:rPr>
        <w:t>In 2007, 100,000 leaflets were distributed through the MAJWG and other organizations</w:t>
      </w:r>
      <w:r>
        <w:rPr>
          <w:rFonts w:ascii="Calibri" w:hAnsi="Calibri"/>
        </w:rPr>
        <w:t>.</w:t>
      </w:r>
      <w:r w:rsidRPr="00D61C8A">
        <w:rPr>
          <w:rStyle w:val="EndnoteReference"/>
          <w:rFonts w:ascii="Calibri" w:hAnsi="Calibri"/>
        </w:rPr>
        <w:endnoteReference w:id="211"/>
      </w:r>
    </w:p>
    <w:p w:rsidR="00B454FB" w:rsidRPr="00D61C8A" w:rsidRDefault="00B454FB" w:rsidP="00B454FB">
      <w:pPr>
        <w:pStyle w:val="CommentText"/>
        <w:numPr>
          <w:ilvl w:val="1"/>
          <w:numId w:val="72"/>
        </w:numPr>
        <w:rPr>
          <w:rFonts w:ascii="Calibri" w:hAnsi="Calibri"/>
        </w:rPr>
      </w:pPr>
      <w:r w:rsidRPr="00D61C8A">
        <w:rPr>
          <w:rFonts w:ascii="Calibri" w:hAnsi="Calibri"/>
        </w:rPr>
        <w:t>In November 2009, representatives of the Nepal</w:t>
      </w:r>
      <w:r>
        <w:rPr>
          <w:rFonts w:ascii="Calibri" w:hAnsi="Calibri"/>
        </w:rPr>
        <w:t>ese</w:t>
      </w:r>
      <w:r w:rsidRPr="00D61C8A">
        <w:rPr>
          <w:rFonts w:ascii="Calibri" w:hAnsi="Calibri"/>
        </w:rPr>
        <w:t xml:space="preserve"> Army reported that they had d</w:t>
      </w:r>
      <w:r>
        <w:rPr>
          <w:rFonts w:ascii="Calibri" w:hAnsi="Calibri"/>
        </w:rPr>
        <w:t>istributed over 10,000 leaflets.</w:t>
      </w:r>
    </w:p>
    <w:p w:rsidR="00B454FB" w:rsidRPr="00D61C8A" w:rsidRDefault="00B454FB" w:rsidP="00B454FB">
      <w:pPr>
        <w:pStyle w:val="CommentText"/>
        <w:numPr>
          <w:ilvl w:val="1"/>
          <w:numId w:val="72"/>
        </w:numPr>
        <w:rPr>
          <w:rFonts w:ascii="Calibri" w:hAnsi="Calibri"/>
        </w:rPr>
      </w:pPr>
      <w:r w:rsidRPr="00D61C8A">
        <w:rPr>
          <w:rFonts w:ascii="Calibri" w:hAnsi="Calibri"/>
        </w:rPr>
        <w:t>In 2009, on</w:t>
      </w:r>
      <w:r>
        <w:rPr>
          <w:rFonts w:ascii="Calibri" w:hAnsi="Calibri"/>
        </w:rPr>
        <w:t>e leaflet cost NPR 5 (USD 0.07).</w:t>
      </w:r>
    </w:p>
    <w:p w:rsidR="00B454FB" w:rsidRPr="00D61C8A" w:rsidRDefault="00B454FB" w:rsidP="00B454FB">
      <w:pPr>
        <w:pStyle w:val="CommentText"/>
        <w:numPr>
          <w:ilvl w:val="0"/>
          <w:numId w:val="72"/>
        </w:numPr>
        <w:rPr>
          <w:rFonts w:ascii="Calibri" w:hAnsi="Calibri"/>
        </w:rPr>
      </w:pPr>
      <w:r w:rsidRPr="00D61C8A">
        <w:rPr>
          <w:rFonts w:ascii="Calibri" w:hAnsi="Calibri"/>
        </w:rPr>
        <w:t>Flipcharts</w:t>
      </w:r>
    </w:p>
    <w:p w:rsidR="00B454FB" w:rsidRPr="00D61C8A" w:rsidRDefault="00B454FB" w:rsidP="00B454FB">
      <w:pPr>
        <w:pStyle w:val="CommentText"/>
        <w:numPr>
          <w:ilvl w:val="1"/>
          <w:numId w:val="72"/>
        </w:numPr>
        <w:rPr>
          <w:rFonts w:ascii="Calibri" w:hAnsi="Calibri"/>
        </w:rPr>
      </w:pPr>
      <w:r w:rsidRPr="00D61C8A">
        <w:rPr>
          <w:rFonts w:ascii="Calibri" w:hAnsi="Calibri"/>
        </w:rPr>
        <w:t>As of November 2009, 200 sets of large flipcharts and 190 sets of sma</w:t>
      </w:r>
      <w:r>
        <w:rPr>
          <w:rFonts w:ascii="Calibri" w:hAnsi="Calibri"/>
        </w:rPr>
        <w:t>ll flipcharts remained in stock.</w:t>
      </w:r>
    </w:p>
    <w:p w:rsidR="00B454FB" w:rsidRPr="00D61C8A" w:rsidRDefault="00B454FB" w:rsidP="00B454FB">
      <w:pPr>
        <w:pStyle w:val="CommentText"/>
        <w:numPr>
          <w:ilvl w:val="1"/>
          <w:numId w:val="72"/>
        </w:numPr>
        <w:rPr>
          <w:rFonts w:ascii="Calibri" w:hAnsi="Calibri"/>
        </w:rPr>
      </w:pPr>
      <w:r w:rsidRPr="00D61C8A">
        <w:rPr>
          <w:rFonts w:ascii="Calibri" w:hAnsi="Calibri"/>
        </w:rPr>
        <w:t>In 2009, one set of large flipcharts cost N</w:t>
      </w:r>
      <w:r>
        <w:rPr>
          <w:rFonts w:ascii="Calibri" w:hAnsi="Calibri"/>
        </w:rPr>
        <w:t>PR 1900 (USD 26.64).</w:t>
      </w:r>
    </w:p>
    <w:p w:rsidR="00B454FB" w:rsidRPr="00D61C8A" w:rsidRDefault="00B454FB" w:rsidP="00B454FB">
      <w:pPr>
        <w:pStyle w:val="CommentText"/>
        <w:rPr>
          <w:rFonts w:ascii="Calibri" w:hAnsi="Calibri"/>
        </w:rPr>
      </w:pPr>
    </w:p>
    <w:p w:rsidR="00B454FB" w:rsidRPr="00D61C8A" w:rsidRDefault="00B454FB" w:rsidP="00B454FB">
      <w:pPr>
        <w:rPr>
          <w:rFonts w:ascii="Calibri" w:hAnsi="Calibri"/>
          <w:sz w:val="20"/>
          <w:szCs w:val="20"/>
        </w:rPr>
      </w:pPr>
      <w:r>
        <w:rPr>
          <w:rFonts w:ascii="Calibri" w:hAnsi="Calibri"/>
          <w:sz w:val="20"/>
          <w:szCs w:val="20"/>
        </w:rPr>
        <w:t>MAJWG</w:t>
      </w:r>
      <w:r w:rsidRPr="00D61C8A">
        <w:rPr>
          <w:rFonts w:ascii="Calibri" w:hAnsi="Calibri"/>
          <w:sz w:val="20"/>
          <w:szCs w:val="20"/>
        </w:rPr>
        <w:t xml:space="preserve"> MRE materials are distributed to and used by a wide range of partners.  This includes all three </w:t>
      </w:r>
      <w:r>
        <w:rPr>
          <w:rFonts w:ascii="Calibri" w:hAnsi="Calibri"/>
          <w:sz w:val="20"/>
          <w:szCs w:val="20"/>
        </w:rPr>
        <w:t xml:space="preserve">government </w:t>
      </w:r>
      <w:r w:rsidRPr="00D61C8A">
        <w:rPr>
          <w:rFonts w:ascii="Calibri" w:hAnsi="Calibri"/>
          <w:sz w:val="20"/>
          <w:szCs w:val="20"/>
        </w:rPr>
        <w:t>security forces, government schools</w:t>
      </w:r>
      <w:r>
        <w:rPr>
          <w:rFonts w:ascii="Calibri" w:hAnsi="Calibri"/>
          <w:sz w:val="20"/>
          <w:szCs w:val="20"/>
        </w:rPr>
        <w:t xml:space="preserve">, NRCS and </w:t>
      </w:r>
      <w:r w:rsidRPr="00D61C8A">
        <w:rPr>
          <w:rFonts w:ascii="Calibri" w:hAnsi="Calibri"/>
          <w:sz w:val="20"/>
          <w:szCs w:val="20"/>
        </w:rPr>
        <w:t xml:space="preserve">NGOs such as Save the Children.  NCBL, which formerly used its own MRE materials, now uses </w:t>
      </w:r>
      <w:r>
        <w:rPr>
          <w:rFonts w:ascii="Calibri" w:hAnsi="Calibri"/>
          <w:sz w:val="20"/>
          <w:szCs w:val="20"/>
        </w:rPr>
        <w:t>MAJWG</w:t>
      </w:r>
      <w:r w:rsidRPr="00D61C8A">
        <w:rPr>
          <w:rFonts w:ascii="Calibri" w:hAnsi="Calibri"/>
          <w:sz w:val="20"/>
          <w:szCs w:val="20"/>
        </w:rPr>
        <w:t xml:space="preserve"> materials.  </w:t>
      </w:r>
      <w:r>
        <w:rPr>
          <w:rFonts w:ascii="Calibri" w:hAnsi="Calibri"/>
          <w:sz w:val="20"/>
          <w:szCs w:val="20"/>
        </w:rPr>
        <w:t>Figure 5</w:t>
      </w:r>
      <w:r w:rsidRPr="00D61C8A">
        <w:rPr>
          <w:rFonts w:ascii="Calibri" w:hAnsi="Calibri"/>
          <w:sz w:val="20"/>
          <w:szCs w:val="20"/>
        </w:rPr>
        <w:t xml:space="preserve"> below shows years, numbers, and recipients of some MRE materials distributed between 2007 and 2009.</w:t>
      </w:r>
    </w:p>
    <w:p w:rsidR="00B454FB" w:rsidRPr="00240A26" w:rsidRDefault="00B454FB" w:rsidP="00B454FB">
      <w:pPr>
        <w:rPr>
          <w:rFonts w:ascii="Calibri" w:hAnsi="Calibri"/>
          <w:sz w:val="20"/>
          <w:szCs w:val="20"/>
        </w:rPr>
      </w:pPr>
    </w:p>
    <w:p w:rsidR="00B454FB" w:rsidRPr="00137466" w:rsidRDefault="00B454FB" w:rsidP="00B454FB">
      <w:pPr>
        <w:pStyle w:val="Caption"/>
        <w:keepNext/>
        <w:rPr>
          <w:rFonts w:ascii="Calibri" w:hAnsi="Calibri"/>
          <w:b w:val="0"/>
          <w:sz w:val="16"/>
          <w:szCs w:val="16"/>
        </w:rPr>
      </w:pPr>
      <w:r w:rsidRPr="00137466">
        <w:rPr>
          <w:rFonts w:ascii="Calibri" w:hAnsi="Calibri"/>
          <w:b w:val="0"/>
          <w:sz w:val="16"/>
          <w:szCs w:val="16"/>
        </w:rPr>
        <w:t xml:space="preserve">Figure </w:t>
      </w:r>
      <w:r>
        <w:rPr>
          <w:rFonts w:ascii="Calibri" w:hAnsi="Calibri"/>
          <w:b w:val="0"/>
          <w:sz w:val="16"/>
          <w:szCs w:val="16"/>
        </w:rPr>
        <w:t>5</w:t>
      </w:r>
      <w:r w:rsidRPr="00137466">
        <w:rPr>
          <w:rFonts w:ascii="Calibri" w:hAnsi="Calibri"/>
          <w:b w:val="0"/>
          <w:sz w:val="16"/>
          <w:szCs w:val="16"/>
        </w:rPr>
        <w:t>. Distribution of MAJWG MRE Materials (</w:t>
      </w:r>
      <w:r w:rsidRPr="00137466">
        <w:rPr>
          <w:rFonts w:ascii="Calibri" w:hAnsi="Calibri"/>
          <w:b w:val="0"/>
          <w:i/>
          <w:sz w:val="16"/>
          <w:szCs w:val="16"/>
        </w:rPr>
        <w:t>Source: UNICEF</w:t>
      </w:r>
      <w:r w:rsidRPr="00137466">
        <w:rPr>
          <w:rFonts w:ascii="Calibri" w:hAnsi="Calibri"/>
          <w:b w:val="0"/>
          <w:sz w:val="16"/>
          <w:szCs w:val="16"/>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8"/>
        <w:gridCol w:w="722"/>
        <w:gridCol w:w="1258"/>
        <w:gridCol w:w="1478"/>
        <w:gridCol w:w="1368"/>
        <w:gridCol w:w="2736"/>
      </w:tblGrid>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Material</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Year</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Number of distributions</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Recipients*</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Range of numbers received per distribution</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Total numbers received</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Posters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2007</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36</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C</w:t>
            </w:r>
            <w:r>
              <w:rPr>
                <w:rFonts w:ascii="Calibri" w:hAnsi="Calibri"/>
                <w:sz w:val="20"/>
                <w:szCs w:val="20"/>
              </w:rPr>
              <w:t>,</w:t>
            </w: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P</w:t>
            </w:r>
            <w:r>
              <w:rPr>
                <w:rFonts w:ascii="Calibri" w:hAnsi="Calibri"/>
                <w:sz w:val="20"/>
                <w:szCs w:val="20"/>
              </w:rPr>
              <w:t>,</w:t>
            </w:r>
            <w:r w:rsidRPr="00D61C8A">
              <w:rPr>
                <w:rFonts w:ascii="Calibri" w:hAnsi="Calibri"/>
                <w:sz w:val="20"/>
                <w:szCs w:val="20"/>
              </w:rPr>
              <w:t>T</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8-2000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16</w:t>
            </w:r>
            <w:r>
              <w:rPr>
                <w:rFonts w:ascii="Calibri" w:hAnsi="Calibri"/>
                <w:sz w:val="20"/>
                <w:szCs w:val="20"/>
              </w:rPr>
              <w:t>,</w:t>
            </w:r>
            <w:r w:rsidRPr="00D61C8A">
              <w:rPr>
                <w:rFonts w:ascii="Calibri" w:hAnsi="Calibri"/>
                <w:sz w:val="20"/>
                <w:szCs w:val="20"/>
              </w:rPr>
              <w:t>089</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5</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N</w:t>
            </w:r>
            <w:r>
              <w:rPr>
                <w:rFonts w:ascii="Calibri" w:hAnsi="Calibri"/>
                <w:sz w:val="20"/>
                <w:szCs w:val="20"/>
              </w:rPr>
              <w:t>,</w:t>
            </w:r>
            <w:r w:rsidRPr="00D61C8A">
              <w:rPr>
                <w:rFonts w:ascii="Calibri" w:hAnsi="Calibri"/>
                <w:sz w:val="20"/>
                <w:szCs w:val="20"/>
              </w:rPr>
              <w:t>P</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12-400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862</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2009</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2</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N</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200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400</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Leaflets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2007</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59</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M</w:t>
            </w:r>
            <w:r>
              <w:rPr>
                <w:rFonts w:ascii="Calibri" w:hAnsi="Calibri"/>
                <w:sz w:val="20"/>
                <w:szCs w:val="20"/>
              </w:rPr>
              <w:t>,</w:t>
            </w:r>
            <w:r w:rsidRPr="00D61C8A">
              <w:rPr>
                <w:rFonts w:ascii="Calibri" w:hAnsi="Calibri"/>
                <w:sz w:val="20"/>
                <w:szCs w:val="20"/>
              </w:rPr>
              <w:t>U</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20-60,000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289,360</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16</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C</w:t>
            </w:r>
            <w:r>
              <w:rPr>
                <w:rFonts w:ascii="Calibri" w:hAnsi="Calibri"/>
                <w:sz w:val="20"/>
                <w:szCs w:val="20"/>
              </w:rPr>
              <w:t>,</w:t>
            </w: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P</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25-60,000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130,625</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2009</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9</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D</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U</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50-300,000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339,250</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Flipcharts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2007</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8</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P</w:t>
            </w:r>
            <w:r>
              <w:rPr>
                <w:rFonts w:ascii="Calibri" w:hAnsi="Calibri"/>
                <w:sz w:val="20"/>
                <w:szCs w:val="20"/>
              </w:rPr>
              <w:t>,</w:t>
            </w:r>
            <w:r w:rsidRPr="00D61C8A">
              <w:rPr>
                <w:rFonts w:ascii="Calibri" w:hAnsi="Calibri"/>
                <w:sz w:val="20"/>
                <w:szCs w:val="20"/>
              </w:rPr>
              <w:t>T</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1-53</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107</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7</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1-100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234</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2009</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7</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D</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1-1292</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1672</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Emergency MRE kits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2007</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12</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T</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1-55</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246</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2</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N</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1-50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51</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First aid kits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2007</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2</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A</w:t>
            </w:r>
            <w:r>
              <w:rPr>
                <w:rFonts w:ascii="Calibri" w:hAnsi="Calibri"/>
                <w:sz w:val="20"/>
                <w:szCs w:val="20"/>
              </w:rPr>
              <w:t>,</w:t>
            </w:r>
            <w:r w:rsidRPr="00D61C8A">
              <w:rPr>
                <w:rFonts w:ascii="Calibri" w:hAnsi="Calibri"/>
                <w:sz w:val="20"/>
                <w:szCs w:val="20"/>
              </w:rPr>
              <w:t>F</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5-53</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58</w:t>
            </w:r>
          </w:p>
        </w:tc>
      </w:tr>
      <w:tr w:rsidR="00B454FB" w:rsidRPr="00D61C8A">
        <w:tc>
          <w:tcPr>
            <w:tcW w:w="1278" w:type="dxa"/>
          </w:tcPr>
          <w:p w:rsidR="00B454FB" w:rsidRPr="00D61C8A" w:rsidRDefault="00B454FB" w:rsidP="00B454FB">
            <w:pPr>
              <w:rPr>
                <w:rFonts w:ascii="Calibri" w:hAnsi="Calibri"/>
                <w:sz w:val="20"/>
                <w:szCs w:val="20"/>
              </w:rPr>
            </w:pP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4</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F</w:t>
            </w:r>
            <w:r>
              <w:rPr>
                <w:rFonts w:ascii="Calibri" w:hAnsi="Calibri"/>
                <w:sz w:val="20"/>
                <w:szCs w:val="20"/>
              </w:rPr>
              <w:t>,</w:t>
            </w:r>
            <w:r w:rsidRPr="00D61C8A">
              <w:rPr>
                <w:rFonts w:ascii="Calibri" w:hAnsi="Calibri"/>
                <w:sz w:val="20"/>
                <w:szCs w:val="20"/>
              </w:rPr>
              <w:t>N</w:t>
            </w:r>
            <w:r>
              <w:rPr>
                <w:rFonts w:ascii="Calibri" w:hAnsi="Calibri"/>
                <w:sz w:val="20"/>
                <w:szCs w:val="20"/>
              </w:rPr>
              <w:t>,</w:t>
            </w:r>
            <w:r w:rsidRPr="00D61C8A">
              <w:rPr>
                <w:rFonts w:ascii="Calibri" w:hAnsi="Calibri"/>
                <w:sz w:val="20"/>
                <w:szCs w:val="20"/>
              </w:rPr>
              <w:t>P</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11-30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99</w:t>
            </w:r>
          </w:p>
        </w:tc>
      </w:tr>
      <w:tr w:rsidR="00B454FB" w:rsidRPr="00D61C8A">
        <w:tc>
          <w:tcPr>
            <w:tcW w:w="1278" w:type="dxa"/>
          </w:tcPr>
          <w:p w:rsidR="00B454FB" w:rsidRPr="00D61C8A" w:rsidRDefault="00B454FB" w:rsidP="00B454FB">
            <w:pPr>
              <w:rPr>
                <w:rFonts w:ascii="Calibri" w:hAnsi="Calibri"/>
                <w:sz w:val="20"/>
                <w:szCs w:val="20"/>
              </w:rPr>
            </w:pPr>
            <w:r w:rsidRPr="00D61C8A">
              <w:rPr>
                <w:rFonts w:ascii="Calibri" w:hAnsi="Calibri"/>
                <w:sz w:val="20"/>
                <w:szCs w:val="20"/>
              </w:rPr>
              <w:t>Cameras</w:t>
            </w:r>
          </w:p>
        </w:tc>
        <w:tc>
          <w:tcPr>
            <w:tcW w:w="722" w:type="dxa"/>
          </w:tcPr>
          <w:p w:rsidR="00B454FB" w:rsidRPr="00D61C8A" w:rsidRDefault="00B454FB" w:rsidP="00B454FB">
            <w:pPr>
              <w:rPr>
                <w:rFonts w:ascii="Calibri" w:hAnsi="Calibri"/>
                <w:sz w:val="20"/>
                <w:szCs w:val="20"/>
              </w:rPr>
            </w:pPr>
            <w:r w:rsidRPr="00D61C8A">
              <w:rPr>
                <w:rFonts w:ascii="Calibri" w:hAnsi="Calibri"/>
                <w:sz w:val="20"/>
                <w:szCs w:val="20"/>
              </w:rPr>
              <w:t>2008</w:t>
            </w:r>
          </w:p>
        </w:tc>
        <w:tc>
          <w:tcPr>
            <w:tcW w:w="1258" w:type="dxa"/>
          </w:tcPr>
          <w:p w:rsidR="00B454FB" w:rsidRPr="00D61C8A" w:rsidRDefault="00B454FB" w:rsidP="00B454FB">
            <w:pPr>
              <w:rPr>
                <w:rFonts w:ascii="Calibri" w:hAnsi="Calibri"/>
                <w:sz w:val="20"/>
                <w:szCs w:val="20"/>
              </w:rPr>
            </w:pPr>
            <w:r w:rsidRPr="00D61C8A">
              <w:rPr>
                <w:rFonts w:ascii="Calibri" w:hAnsi="Calibri"/>
                <w:sz w:val="20"/>
                <w:szCs w:val="20"/>
              </w:rPr>
              <w:t>1</w:t>
            </w:r>
          </w:p>
        </w:tc>
        <w:tc>
          <w:tcPr>
            <w:tcW w:w="1478" w:type="dxa"/>
          </w:tcPr>
          <w:p w:rsidR="00B454FB" w:rsidRPr="00D61C8A" w:rsidRDefault="00B454FB" w:rsidP="00B454FB">
            <w:pPr>
              <w:rPr>
                <w:rFonts w:ascii="Calibri" w:hAnsi="Calibri"/>
                <w:sz w:val="20"/>
                <w:szCs w:val="20"/>
              </w:rPr>
            </w:pPr>
            <w:r w:rsidRPr="00D61C8A">
              <w:rPr>
                <w:rFonts w:ascii="Calibri" w:hAnsi="Calibri"/>
                <w:sz w:val="20"/>
                <w:szCs w:val="20"/>
              </w:rPr>
              <w:t>U</w:t>
            </w:r>
          </w:p>
        </w:tc>
        <w:tc>
          <w:tcPr>
            <w:tcW w:w="1368" w:type="dxa"/>
          </w:tcPr>
          <w:p w:rsidR="00B454FB" w:rsidRPr="00D61C8A" w:rsidRDefault="00B454FB" w:rsidP="00B454FB">
            <w:pPr>
              <w:rPr>
                <w:rFonts w:ascii="Calibri" w:hAnsi="Calibri"/>
                <w:sz w:val="20"/>
                <w:szCs w:val="20"/>
              </w:rPr>
            </w:pPr>
            <w:r w:rsidRPr="00D61C8A">
              <w:rPr>
                <w:rFonts w:ascii="Calibri" w:hAnsi="Calibri"/>
                <w:sz w:val="20"/>
                <w:szCs w:val="20"/>
              </w:rPr>
              <w:t>300</w:t>
            </w:r>
          </w:p>
        </w:tc>
        <w:tc>
          <w:tcPr>
            <w:tcW w:w="2736" w:type="dxa"/>
          </w:tcPr>
          <w:p w:rsidR="00B454FB" w:rsidRPr="00D61C8A" w:rsidRDefault="00B454FB" w:rsidP="00B454FB">
            <w:pPr>
              <w:rPr>
                <w:rFonts w:ascii="Calibri" w:hAnsi="Calibri"/>
                <w:sz w:val="20"/>
                <w:szCs w:val="20"/>
              </w:rPr>
            </w:pPr>
            <w:r w:rsidRPr="00D61C8A">
              <w:rPr>
                <w:rFonts w:ascii="Calibri" w:hAnsi="Calibri"/>
                <w:sz w:val="20"/>
                <w:szCs w:val="20"/>
              </w:rPr>
              <w:t>300</w:t>
            </w:r>
          </w:p>
        </w:tc>
      </w:tr>
    </w:tbl>
    <w:p w:rsidR="00B454FB" w:rsidRPr="00D61C8A" w:rsidRDefault="00B454FB" w:rsidP="00B454FB">
      <w:pPr>
        <w:rPr>
          <w:rFonts w:ascii="Calibri" w:hAnsi="Calibri"/>
          <w:sz w:val="20"/>
          <w:szCs w:val="20"/>
        </w:rPr>
      </w:pPr>
      <w:r w:rsidRPr="00D61C8A">
        <w:rPr>
          <w:rFonts w:ascii="Calibri" w:hAnsi="Calibri"/>
          <w:sz w:val="20"/>
          <w:szCs w:val="20"/>
        </w:rPr>
        <w:t>*A =armed forces; C = clearance and demining organizations; D = Department of Education; F = UNICEF field offices; M = Maoist cantonments; N=NGOs or foreign aid organizations; P=UNICEF programs; T=trainings; U=Other UN agencies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MRE materials are distributed by private couriers hired by UNICEF and by partner organization vehicles and drivers.  In an effort to </w:t>
      </w:r>
      <w:r>
        <w:rPr>
          <w:rFonts w:ascii="Calibri" w:hAnsi="Calibri"/>
          <w:sz w:val="20"/>
          <w:szCs w:val="20"/>
        </w:rPr>
        <w:t>en</w:t>
      </w:r>
      <w:r w:rsidRPr="00D61C8A">
        <w:rPr>
          <w:rFonts w:ascii="Calibri" w:hAnsi="Calibri"/>
          <w:sz w:val="20"/>
          <w:szCs w:val="20"/>
        </w:rPr>
        <w:t xml:space="preserve">sure that MRE messages are communicated properly, UNICEF usually distributes MRE materials alongside training in how to use </w:t>
      </w:r>
      <w:r w:rsidRPr="00D61C8A">
        <w:rPr>
          <w:rFonts w:ascii="Calibri" w:hAnsi="Calibri"/>
          <w:sz w:val="20"/>
          <w:szCs w:val="20"/>
        </w:rPr>
        <w:lastRenderedPageBreak/>
        <w:t xml:space="preserve">them.  Sometimes, however, recipients share </w:t>
      </w:r>
      <w:r>
        <w:rPr>
          <w:rFonts w:ascii="Calibri" w:hAnsi="Calibri"/>
          <w:sz w:val="20"/>
          <w:szCs w:val="20"/>
        </w:rPr>
        <w:t>materials</w:t>
      </w:r>
      <w:r w:rsidRPr="00D61C8A">
        <w:rPr>
          <w:rFonts w:ascii="Calibri" w:hAnsi="Calibri"/>
          <w:sz w:val="20"/>
          <w:szCs w:val="20"/>
        </w:rPr>
        <w:t xml:space="preserve"> with others independently of UNICEF; teachers at schools targeted by systematic MRE, for example, have shared materials with teachers whose schools have not been targeted.</w:t>
      </w:r>
      <w:r w:rsidRPr="00D61C8A">
        <w:rPr>
          <w:rStyle w:val="EndnoteReference"/>
          <w:rFonts w:ascii="Calibri" w:hAnsi="Calibri"/>
          <w:sz w:val="20"/>
          <w:szCs w:val="20"/>
        </w:rPr>
        <w:endnoteReference w:id="212"/>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VI.B.1.c</w:t>
      </w:r>
      <w:r>
        <w:rPr>
          <w:rFonts w:ascii="Calibri" w:hAnsi="Calibri"/>
          <w:sz w:val="20"/>
          <w:szCs w:val="20"/>
        </w:rPr>
        <w:tab/>
      </w:r>
      <w:r>
        <w:rPr>
          <w:rFonts w:ascii="Calibri" w:hAnsi="Calibri"/>
          <w:sz w:val="20"/>
          <w:szCs w:val="20"/>
        </w:rPr>
        <w:tab/>
      </w:r>
      <w:r w:rsidRPr="00D61C8A">
        <w:rPr>
          <w:rFonts w:ascii="Calibri" w:hAnsi="Calibri"/>
          <w:sz w:val="20"/>
          <w:szCs w:val="20"/>
        </w:rPr>
        <w:t>Development of minimum set of messages</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UNICEF and the MAJWG</w:t>
      </w:r>
      <w:r>
        <w:rPr>
          <w:rFonts w:ascii="Calibri" w:hAnsi="Calibri"/>
          <w:sz w:val="20"/>
          <w:szCs w:val="20"/>
        </w:rPr>
        <w:t xml:space="preserve"> developed a minimum set of </w:t>
      </w:r>
      <w:r w:rsidRPr="00D61C8A">
        <w:rPr>
          <w:rFonts w:ascii="Calibri" w:hAnsi="Calibri"/>
          <w:sz w:val="20"/>
          <w:szCs w:val="20"/>
        </w:rPr>
        <w:t>messages</w:t>
      </w:r>
      <w:r>
        <w:rPr>
          <w:rFonts w:ascii="Calibri" w:hAnsi="Calibri"/>
          <w:sz w:val="20"/>
          <w:szCs w:val="20"/>
        </w:rPr>
        <w:t xml:space="preserve"> for use in all MRE activities.  These messages are</w:t>
      </w:r>
      <w:r w:rsidRPr="00D61C8A">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Pr>
          <w:rFonts w:ascii="Calibri" w:hAnsi="Calibri"/>
          <w:sz w:val="20"/>
          <w:szCs w:val="20"/>
        </w:rPr>
        <w:t>“</w:t>
      </w:r>
      <w:r w:rsidRPr="00DC0481">
        <w:rPr>
          <w:rFonts w:ascii="Calibri" w:hAnsi="Calibri"/>
          <w:sz w:val="20"/>
          <w:szCs w:val="20"/>
        </w:rPr>
        <w:t>Tampering or playing with explosive devices is fatally dangerous</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How to recognize an explosive device or a suspect bag?</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Watch out for suspect bags and other suspect objects</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 xml:space="preserve">Most explosive devices are not apparent as they are wrapped into </w:t>
      </w:r>
      <w:r w:rsidRPr="00DC0481">
        <w:rPr>
          <w:rFonts w:ascii="Calibri" w:hAnsi="Calibri"/>
          <w:i/>
          <w:sz w:val="20"/>
          <w:szCs w:val="20"/>
        </w:rPr>
        <w:t>(sic)</w:t>
      </w:r>
      <w:r>
        <w:rPr>
          <w:rFonts w:ascii="Calibri" w:hAnsi="Calibri"/>
          <w:sz w:val="20"/>
          <w:szCs w:val="20"/>
        </w:rPr>
        <w:t xml:space="preserve"> </w:t>
      </w:r>
      <w:r w:rsidRPr="00DC0481">
        <w:rPr>
          <w:rFonts w:ascii="Calibri" w:hAnsi="Calibri"/>
          <w:sz w:val="20"/>
          <w:szCs w:val="20"/>
        </w:rPr>
        <w:t>something (plastic, paper, jute bag, fabric, etc.)</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What are the effects of an explosion?</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Keeping explosive devices in the house is fatally dangerous</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Entering in a restricted armed area - or being too close to a restricted armed area - can be fatally dangerous</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Bombs can kill you 50m away or more (even the small ones)</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What to do if you encounter an explosive device or suspect object?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Inform local authorities when you have seen a suspect bag or a suspect object</w:t>
      </w:r>
      <w:r>
        <w:rPr>
          <w:rFonts w:ascii="Calibri" w:hAnsi="Calibri"/>
          <w:sz w:val="20"/>
          <w:szCs w:val="20"/>
        </w:rPr>
        <w:t>.</w:t>
      </w:r>
    </w:p>
    <w:p w:rsidR="00B454FB" w:rsidRPr="00DC0481"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There might be explosive devices in clash sites, along the river banks or in the garbage dumps</w:t>
      </w:r>
      <w:r>
        <w:rPr>
          <w:rFonts w:ascii="Calibri" w:hAnsi="Calibri"/>
          <w:sz w:val="20"/>
          <w:szCs w:val="20"/>
        </w:rPr>
        <w:t>.</w:t>
      </w:r>
    </w:p>
    <w:p w:rsidR="00B454FB" w:rsidRDefault="00B454FB" w:rsidP="00B454FB">
      <w:pPr>
        <w:pStyle w:val="ColorfulList-Accent11"/>
        <w:numPr>
          <w:ilvl w:val="0"/>
          <w:numId w:val="57"/>
        </w:numPr>
        <w:rPr>
          <w:rFonts w:ascii="Calibri" w:hAnsi="Calibri"/>
          <w:sz w:val="20"/>
          <w:szCs w:val="20"/>
        </w:rPr>
      </w:pPr>
      <w:r w:rsidRPr="00DC0481">
        <w:rPr>
          <w:rFonts w:ascii="Calibri" w:hAnsi="Calibri"/>
          <w:sz w:val="20"/>
          <w:szCs w:val="20"/>
        </w:rPr>
        <w:t>Being close to a disposal team at work is very dangerous</w:t>
      </w:r>
      <w:r>
        <w:rPr>
          <w:rFonts w:ascii="Calibri" w:hAnsi="Calibri"/>
          <w:sz w:val="20"/>
          <w:szCs w:val="20"/>
        </w:rPr>
        <w:t>.”</w:t>
      </w:r>
      <w:r>
        <w:rPr>
          <w:rStyle w:val="EndnoteReference"/>
          <w:rFonts w:ascii="Calibri" w:hAnsi="Calibri"/>
          <w:sz w:val="20"/>
          <w:szCs w:val="20"/>
        </w:rPr>
        <w:endnoteReference w:id="213"/>
      </w:r>
    </w:p>
    <w:p w:rsidR="00B454FB" w:rsidRPr="00D61C8A" w:rsidRDefault="00B454FB" w:rsidP="00B454FB">
      <w:pPr>
        <w:rPr>
          <w:rFonts w:ascii="Calibri" w:hAnsi="Calibri"/>
          <w:sz w:val="20"/>
          <w:szCs w:val="20"/>
        </w:rPr>
      </w:pPr>
      <w:r w:rsidRPr="00D61C8A">
        <w:rPr>
          <w:rFonts w:ascii="Calibri" w:hAnsi="Calibri"/>
          <w:sz w:val="20"/>
          <w:szCs w:val="20"/>
        </w:rPr>
        <w:t>These messages have been used consistently in MRE materials and trainings.</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VI.B.2</w:t>
      </w:r>
      <w:r>
        <w:rPr>
          <w:rFonts w:ascii="Calibri" w:hAnsi="Calibri"/>
          <w:sz w:val="20"/>
          <w:szCs w:val="20"/>
        </w:rPr>
        <w:tab/>
      </w:r>
      <w:r>
        <w:rPr>
          <w:rFonts w:ascii="Calibri" w:hAnsi="Calibri"/>
          <w:sz w:val="20"/>
          <w:szCs w:val="20"/>
        </w:rPr>
        <w:tab/>
      </w:r>
      <w:r w:rsidRPr="00D61C8A">
        <w:rPr>
          <w:rFonts w:ascii="Calibri" w:hAnsi="Calibri"/>
          <w:sz w:val="20"/>
          <w:szCs w:val="20"/>
        </w:rPr>
        <w:t>Coordination of emergency, regular and systematic MRE</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MRE trainings coordinated by UNICEF </w:t>
      </w:r>
      <w:r>
        <w:rPr>
          <w:rFonts w:ascii="Calibri" w:hAnsi="Calibri"/>
          <w:sz w:val="20"/>
          <w:szCs w:val="20"/>
        </w:rPr>
        <w:t>and partners</w:t>
      </w:r>
      <w:r w:rsidRPr="00D61C8A">
        <w:rPr>
          <w:rFonts w:ascii="Calibri" w:hAnsi="Calibri"/>
          <w:sz w:val="20"/>
          <w:szCs w:val="20"/>
        </w:rPr>
        <w:t xml:space="preserve"> fall into three categories:</w:t>
      </w:r>
      <w:r w:rsidRPr="00D61C8A">
        <w:rPr>
          <w:rStyle w:val="EndnoteReference"/>
          <w:rFonts w:ascii="Calibri" w:hAnsi="Calibri"/>
          <w:sz w:val="20"/>
          <w:szCs w:val="20"/>
        </w:rPr>
        <w:endnoteReference w:id="214"/>
      </w:r>
    </w:p>
    <w:p w:rsidR="00B454FB" w:rsidRPr="00D61C8A" w:rsidRDefault="00B454FB" w:rsidP="00B454FB">
      <w:pPr>
        <w:pStyle w:val="ColorfulList-Accent11"/>
        <w:numPr>
          <w:ilvl w:val="0"/>
          <w:numId w:val="39"/>
        </w:numPr>
        <w:rPr>
          <w:rFonts w:ascii="Calibri" w:hAnsi="Calibri"/>
          <w:sz w:val="20"/>
          <w:szCs w:val="20"/>
        </w:rPr>
      </w:pPr>
      <w:r w:rsidRPr="00D61C8A">
        <w:rPr>
          <w:rFonts w:ascii="Calibri" w:hAnsi="Calibri"/>
          <w:b/>
          <w:sz w:val="20"/>
          <w:szCs w:val="20"/>
        </w:rPr>
        <w:t>Emergency MRE</w:t>
      </w:r>
      <w:r w:rsidRPr="00D61C8A">
        <w:rPr>
          <w:rFonts w:ascii="Calibri" w:hAnsi="Calibri"/>
          <w:sz w:val="20"/>
          <w:szCs w:val="20"/>
        </w:rPr>
        <w:t xml:space="preserve"> is conducted following recent victim-activated explosions, in situations of obvious risk and by community request.  Emergency MRE is discussed in Section VI.B.2</w:t>
      </w:r>
      <w:r>
        <w:rPr>
          <w:rFonts w:ascii="Calibri" w:hAnsi="Calibri"/>
          <w:sz w:val="20"/>
          <w:szCs w:val="20"/>
        </w:rPr>
        <w:t>.b</w:t>
      </w:r>
      <w:r w:rsidRPr="00D61C8A">
        <w:rPr>
          <w:rFonts w:ascii="Calibri" w:hAnsi="Calibri"/>
          <w:sz w:val="20"/>
          <w:szCs w:val="20"/>
        </w:rPr>
        <w:t xml:space="preserve"> below.</w:t>
      </w:r>
    </w:p>
    <w:p w:rsidR="00B454FB" w:rsidRPr="00D61C8A" w:rsidRDefault="00B454FB" w:rsidP="00B454FB">
      <w:pPr>
        <w:pStyle w:val="ColorfulList-Accent11"/>
        <w:numPr>
          <w:ilvl w:val="0"/>
          <w:numId w:val="39"/>
        </w:numPr>
        <w:rPr>
          <w:rFonts w:ascii="Calibri" w:hAnsi="Calibri"/>
          <w:sz w:val="20"/>
          <w:szCs w:val="20"/>
        </w:rPr>
      </w:pPr>
      <w:r w:rsidRPr="00D61C8A">
        <w:rPr>
          <w:rFonts w:ascii="Calibri" w:hAnsi="Calibri"/>
          <w:b/>
          <w:sz w:val="20"/>
          <w:szCs w:val="20"/>
        </w:rPr>
        <w:t>Regular MRE</w:t>
      </w:r>
      <w:r w:rsidRPr="00D61C8A">
        <w:rPr>
          <w:rFonts w:ascii="Calibri" w:hAnsi="Calibri"/>
          <w:sz w:val="20"/>
          <w:szCs w:val="20"/>
        </w:rPr>
        <w:t xml:space="preserve"> activities target a portion of the at-risk population and may be conducted independently or infused into other educational or social activities.  Regular MRE is discussed in Section VI.B.2</w:t>
      </w:r>
      <w:r>
        <w:rPr>
          <w:rFonts w:ascii="Calibri" w:hAnsi="Calibri"/>
          <w:sz w:val="20"/>
          <w:szCs w:val="20"/>
        </w:rPr>
        <w:t>.c</w:t>
      </w:r>
      <w:r w:rsidRPr="00D61C8A">
        <w:rPr>
          <w:rFonts w:ascii="Calibri" w:hAnsi="Calibri"/>
          <w:sz w:val="20"/>
          <w:szCs w:val="20"/>
        </w:rPr>
        <w:t xml:space="preserve"> below.</w:t>
      </w:r>
    </w:p>
    <w:p w:rsidR="00B454FB" w:rsidRPr="00D61C8A" w:rsidRDefault="00B454FB" w:rsidP="00B454FB">
      <w:pPr>
        <w:pStyle w:val="ColorfulList-Accent11"/>
        <w:numPr>
          <w:ilvl w:val="0"/>
          <w:numId w:val="39"/>
        </w:numPr>
        <w:rPr>
          <w:rFonts w:ascii="Calibri" w:hAnsi="Calibri"/>
          <w:sz w:val="20"/>
          <w:szCs w:val="20"/>
        </w:rPr>
      </w:pPr>
      <w:r w:rsidRPr="00D61C8A">
        <w:rPr>
          <w:rFonts w:ascii="Calibri" w:hAnsi="Calibri"/>
          <w:b/>
          <w:sz w:val="20"/>
          <w:szCs w:val="20"/>
        </w:rPr>
        <w:t>Systematic MRE</w:t>
      </w:r>
      <w:r w:rsidRPr="00D61C8A">
        <w:rPr>
          <w:rFonts w:ascii="Calibri" w:hAnsi="Calibri"/>
          <w:sz w:val="20"/>
          <w:szCs w:val="20"/>
        </w:rPr>
        <w:t xml:space="preserve"> activities target the entire population or a specific sub-population in a given territory.  Like regular MRE, systematic MRE may be conducted independently or infused into other educational or social activities.  Systematic MRE conducted in schools is addressed in Section VI.B.2</w:t>
      </w:r>
      <w:r>
        <w:rPr>
          <w:rFonts w:ascii="Calibri" w:hAnsi="Calibri"/>
          <w:sz w:val="20"/>
          <w:szCs w:val="20"/>
        </w:rPr>
        <w:t>.d</w:t>
      </w:r>
      <w:r w:rsidRPr="00D61C8A">
        <w:rPr>
          <w:rFonts w:ascii="Calibri" w:hAnsi="Calibri"/>
          <w:sz w:val="20"/>
          <w:szCs w:val="20"/>
        </w:rPr>
        <w:t>, and systematic MRE conducted via media campaigns is addressed in Section VI.B.3.</w:t>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VI.B.2.a</w:t>
      </w:r>
      <w:r>
        <w:rPr>
          <w:rFonts w:ascii="Calibri" w:hAnsi="Calibri"/>
          <w:sz w:val="20"/>
          <w:szCs w:val="20"/>
        </w:rPr>
        <w:tab/>
      </w:r>
      <w:r>
        <w:rPr>
          <w:rFonts w:ascii="Calibri" w:hAnsi="Calibri"/>
          <w:sz w:val="20"/>
          <w:szCs w:val="20"/>
        </w:rPr>
        <w:tab/>
      </w:r>
      <w:r w:rsidRPr="00D61C8A">
        <w:rPr>
          <w:rFonts w:ascii="Calibri" w:hAnsi="Calibri"/>
          <w:sz w:val="20"/>
          <w:szCs w:val="20"/>
        </w:rPr>
        <w:t>Training and capacity building for MRE personnel</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i/>
          <w:color w:val="76923C"/>
          <w:sz w:val="20"/>
          <w:szCs w:val="20"/>
        </w:rPr>
      </w:pPr>
      <w:r w:rsidRPr="00D61C8A">
        <w:rPr>
          <w:rFonts w:ascii="Calibri" w:hAnsi="Calibri"/>
          <w:i/>
          <w:color w:val="76923C"/>
          <w:sz w:val="20"/>
          <w:szCs w:val="20"/>
        </w:rPr>
        <w:t xml:space="preserve">Activity description from UNICEF Annual Work Plan 2008: </w:t>
      </w:r>
    </w:p>
    <w:p w:rsidR="00B454FB" w:rsidRDefault="00B454FB" w:rsidP="00B454FB">
      <w:pPr>
        <w:pBdr>
          <w:top w:val="single" w:sz="4" w:space="1" w:color="76923C"/>
          <w:left w:val="single" w:sz="4" w:space="4" w:color="76923C"/>
          <w:bottom w:val="single" w:sz="4" w:space="1" w:color="76923C"/>
          <w:right w:val="single" w:sz="4" w:space="4" w:color="76923C"/>
        </w:pBdr>
        <w:rPr>
          <w:rFonts w:ascii="Calibri" w:hAnsi="Calibri"/>
          <w:color w:val="76923C"/>
          <w:sz w:val="20"/>
          <w:szCs w:val="20"/>
        </w:rPr>
      </w:pPr>
      <w:r w:rsidRPr="00D61C8A">
        <w:rPr>
          <w:rFonts w:ascii="Calibri" w:hAnsi="Calibri"/>
          <w:i/>
          <w:color w:val="76923C"/>
          <w:sz w:val="20"/>
          <w:szCs w:val="20"/>
        </w:rPr>
        <w:t>· “</w:t>
      </w:r>
      <w:r w:rsidRPr="00D61C8A">
        <w:rPr>
          <w:rFonts w:ascii="Calibri" w:hAnsi="Calibri"/>
          <w:color w:val="76923C"/>
          <w:sz w:val="20"/>
          <w:szCs w:val="20"/>
        </w:rPr>
        <w:t>Support to develop practical MRE &amp; Monitoring training course for MA focal points in different organizations.”</w:t>
      </w:r>
      <w:r>
        <w:rPr>
          <w:rStyle w:val="EndnoteReference"/>
          <w:rFonts w:ascii="Calibri" w:hAnsi="Calibri"/>
          <w:color w:val="76923C"/>
          <w:sz w:val="20"/>
          <w:szCs w:val="20"/>
        </w:rPr>
        <w:endnoteReference w:id="215"/>
      </w:r>
    </w:p>
    <w:p w:rsidR="00B454FB"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 UNICEF MA personnel </w:t>
      </w:r>
      <w:r>
        <w:rPr>
          <w:rFonts w:ascii="Calibri" w:hAnsi="Calibri"/>
          <w:sz w:val="20"/>
          <w:szCs w:val="20"/>
        </w:rPr>
        <w:t xml:space="preserve">and partner organizations </w:t>
      </w:r>
      <w:r w:rsidRPr="00D61C8A">
        <w:rPr>
          <w:rFonts w:ascii="Calibri" w:hAnsi="Calibri"/>
          <w:sz w:val="20"/>
          <w:szCs w:val="20"/>
        </w:rPr>
        <w:t>have conducted trainings of MRE focal points (trainers) since 2006.  The timing, length, and attendance of trainings vary by partner organization.</w:t>
      </w:r>
    </w:p>
    <w:p w:rsidR="00B454FB" w:rsidRPr="00D61C8A" w:rsidRDefault="00B454FB" w:rsidP="00B454FB">
      <w:pPr>
        <w:pStyle w:val="ColorfulList-Accent11"/>
        <w:numPr>
          <w:ilvl w:val="0"/>
          <w:numId w:val="40"/>
        </w:numPr>
        <w:rPr>
          <w:rFonts w:ascii="Calibri" w:hAnsi="Calibri"/>
          <w:sz w:val="20"/>
          <w:szCs w:val="20"/>
        </w:rPr>
      </w:pPr>
      <w:r w:rsidRPr="00D61C8A">
        <w:rPr>
          <w:rFonts w:ascii="Calibri" w:hAnsi="Calibri"/>
          <w:sz w:val="20"/>
          <w:szCs w:val="20"/>
        </w:rPr>
        <w:t xml:space="preserve">In 2006 and 2007, UNICEF </w:t>
      </w:r>
      <w:r>
        <w:rPr>
          <w:rFonts w:ascii="Calibri" w:hAnsi="Calibri"/>
          <w:sz w:val="20"/>
          <w:szCs w:val="20"/>
        </w:rPr>
        <w:t>and</w:t>
      </w:r>
      <w:r w:rsidRPr="00D61C8A">
        <w:rPr>
          <w:rFonts w:ascii="Calibri" w:hAnsi="Calibri"/>
          <w:sz w:val="20"/>
          <w:szCs w:val="20"/>
        </w:rPr>
        <w:t xml:space="preserve"> NRCS conduct</w:t>
      </w:r>
      <w:r>
        <w:rPr>
          <w:rFonts w:ascii="Calibri" w:hAnsi="Calibri"/>
          <w:sz w:val="20"/>
          <w:szCs w:val="20"/>
        </w:rPr>
        <w:t>ed</w:t>
      </w:r>
      <w:r w:rsidRPr="00D61C8A">
        <w:rPr>
          <w:rFonts w:ascii="Calibri" w:hAnsi="Calibri"/>
          <w:sz w:val="20"/>
          <w:szCs w:val="20"/>
        </w:rPr>
        <w:t xml:space="preserve"> three-day trainings for 120 emergency MRE focal points from more than 50 districts; trainees included army and police personnel, Red Cross volunteers, and staff from local UNICEF offices and NGOs.</w:t>
      </w:r>
      <w:r w:rsidRPr="00D61C8A">
        <w:rPr>
          <w:rStyle w:val="EndnoteReference"/>
          <w:rFonts w:ascii="Calibri" w:hAnsi="Calibri"/>
          <w:sz w:val="20"/>
          <w:szCs w:val="20"/>
        </w:rPr>
        <w:endnoteReference w:id="216"/>
      </w:r>
      <w:r w:rsidRPr="00D61C8A">
        <w:rPr>
          <w:rFonts w:ascii="Calibri" w:hAnsi="Calibri"/>
          <w:sz w:val="20"/>
          <w:szCs w:val="20"/>
        </w:rPr>
        <w:t xml:space="preserve">  </w:t>
      </w:r>
    </w:p>
    <w:p w:rsidR="00B454FB" w:rsidRPr="00D61C8A" w:rsidRDefault="00B454FB" w:rsidP="00B454FB">
      <w:pPr>
        <w:pStyle w:val="ColorfulList-Accent11"/>
        <w:numPr>
          <w:ilvl w:val="0"/>
          <w:numId w:val="40"/>
        </w:numPr>
        <w:rPr>
          <w:rFonts w:ascii="Calibri" w:hAnsi="Calibri"/>
          <w:sz w:val="20"/>
          <w:szCs w:val="20"/>
        </w:rPr>
      </w:pPr>
      <w:r w:rsidRPr="00D61C8A">
        <w:rPr>
          <w:rFonts w:ascii="Calibri" w:hAnsi="Calibri"/>
          <w:sz w:val="20"/>
          <w:szCs w:val="20"/>
        </w:rPr>
        <w:t>During the first half of 2008, UNICEF partnered with 35 NGOs to train 213 focal points in 71 districts.</w:t>
      </w:r>
      <w:r w:rsidRPr="00D61C8A">
        <w:rPr>
          <w:rStyle w:val="EndnoteReference"/>
          <w:rFonts w:ascii="Calibri" w:hAnsi="Calibri"/>
          <w:sz w:val="20"/>
          <w:szCs w:val="20"/>
        </w:rPr>
        <w:endnoteReference w:id="217"/>
      </w:r>
      <w:r w:rsidRPr="00D61C8A">
        <w:rPr>
          <w:rFonts w:ascii="Calibri" w:hAnsi="Calibri"/>
          <w:sz w:val="20"/>
          <w:szCs w:val="20"/>
        </w:rPr>
        <w:t xml:space="preserve">  </w:t>
      </w:r>
    </w:p>
    <w:p w:rsidR="00B454FB" w:rsidRPr="00D61C8A" w:rsidRDefault="00B454FB" w:rsidP="00B454FB">
      <w:pPr>
        <w:pStyle w:val="ColorfulList-Accent11"/>
        <w:numPr>
          <w:ilvl w:val="0"/>
          <w:numId w:val="40"/>
        </w:numPr>
        <w:rPr>
          <w:rFonts w:ascii="Calibri" w:hAnsi="Calibri"/>
          <w:sz w:val="20"/>
          <w:szCs w:val="20"/>
        </w:rPr>
      </w:pPr>
      <w:r w:rsidRPr="00D61C8A">
        <w:rPr>
          <w:rFonts w:ascii="Calibri" w:hAnsi="Calibri"/>
          <w:sz w:val="20"/>
          <w:szCs w:val="20"/>
        </w:rPr>
        <w:t xml:space="preserve">In 2009, UNICEF and the NA conducted three 2-day trainings </w:t>
      </w:r>
      <w:r>
        <w:rPr>
          <w:rFonts w:ascii="Calibri" w:hAnsi="Calibri"/>
          <w:sz w:val="20"/>
          <w:szCs w:val="20"/>
        </w:rPr>
        <w:t xml:space="preserve">for 180 NA personnel </w:t>
      </w:r>
      <w:r w:rsidRPr="00D61C8A">
        <w:rPr>
          <w:rFonts w:ascii="Calibri" w:hAnsi="Calibri"/>
          <w:sz w:val="20"/>
          <w:szCs w:val="20"/>
        </w:rPr>
        <w:t>in Nepalgunj</w:t>
      </w:r>
      <w:r>
        <w:rPr>
          <w:rFonts w:ascii="Calibri" w:hAnsi="Calibri"/>
          <w:sz w:val="20"/>
          <w:szCs w:val="20"/>
        </w:rPr>
        <w:t>, Pokhara and Bharatp</w:t>
      </w:r>
      <w:r w:rsidRPr="00D61C8A">
        <w:rPr>
          <w:rFonts w:ascii="Calibri" w:hAnsi="Calibri"/>
          <w:sz w:val="20"/>
          <w:szCs w:val="20"/>
        </w:rPr>
        <w:t>ur</w:t>
      </w:r>
      <w:r>
        <w:rPr>
          <w:rFonts w:ascii="Calibri" w:hAnsi="Calibri"/>
          <w:sz w:val="20"/>
          <w:szCs w:val="20"/>
        </w:rPr>
        <w:t>.</w:t>
      </w:r>
      <w:r w:rsidRPr="00D61C8A">
        <w:rPr>
          <w:rStyle w:val="EndnoteReference"/>
          <w:rFonts w:ascii="Calibri" w:hAnsi="Calibri"/>
          <w:sz w:val="20"/>
          <w:szCs w:val="20"/>
        </w:rPr>
        <w:endnoteReference w:id="218"/>
      </w:r>
      <w:r w:rsidRPr="00D61C8A">
        <w:rPr>
          <w:rFonts w:ascii="Calibri" w:hAnsi="Calibri"/>
          <w:sz w:val="20"/>
          <w:szCs w:val="20"/>
        </w:rPr>
        <w:t xml:space="preserve"> </w:t>
      </w:r>
    </w:p>
    <w:p w:rsidR="00B454FB" w:rsidRPr="00D61C8A" w:rsidRDefault="00B454FB" w:rsidP="00B454FB">
      <w:pPr>
        <w:rPr>
          <w:rFonts w:ascii="Calibri" w:hAnsi="Calibri"/>
          <w:sz w:val="20"/>
          <w:szCs w:val="20"/>
        </w:rPr>
      </w:pPr>
      <w:r w:rsidRPr="00D61C8A">
        <w:rPr>
          <w:rFonts w:ascii="Calibri" w:hAnsi="Calibri"/>
          <w:sz w:val="20"/>
          <w:szCs w:val="20"/>
        </w:rPr>
        <w:t>In late 2009, UNICEF anticipated that fewer new focal points will require training in 2010.</w:t>
      </w:r>
      <w:r w:rsidRPr="00D61C8A">
        <w:rPr>
          <w:rStyle w:val="EndnoteReference"/>
          <w:rFonts w:ascii="Calibri" w:hAnsi="Calibri"/>
          <w:sz w:val="20"/>
          <w:szCs w:val="20"/>
        </w:rPr>
        <w:endnoteReference w:id="219"/>
      </w:r>
    </w:p>
    <w:p w:rsidR="00B454FB" w:rsidRDefault="00B454FB" w:rsidP="00B454FB">
      <w:pPr>
        <w:pStyle w:val="ColorfulList-Accent11"/>
        <w:ind w:left="0"/>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Focal points are trained in both MRE content and </w:t>
      </w:r>
      <w:r>
        <w:rPr>
          <w:rFonts w:ascii="Calibri" w:hAnsi="Calibri"/>
          <w:sz w:val="20"/>
          <w:szCs w:val="20"/>
        </w:rPr>
        <w:t xml:space="preserve">message </w:t>
      </w:r>
      <w:r w:rsidRPr="00D61C8A">
        <w:rPr>
          <w:rFonts w:ascii="Calibri" w:hAnsi="Calibri"/>
          <w:sz w:val="20"/>
          <w:szCs w:val="20"/>
        </w:rPr>
        <w:t>delivery skills; NRCS, for example, gives equal weight to these two themes.</w:t>
      </w:r>
      <w:r w:rsidRPr="00D61C8A">
        <w:rPr>
          <w:rStyle w:val="EndnoteReference"/>
          <w:rFonts w:ascii="Calibri" w:hAnsi="Calibri"/>
          <w:sz w:val="20"/>
          <w:szCs w:val="20"/>
        </w:rPr>
        <w:endnoteReference w:id="220"/>
      </w:r>
      <w:r w:rsidRPr="00D61C8A">
        <w:rPr>
          <w:rFonts w:ascii="Calibri" w:hAnsi="Calibri"/>
          <w:sz w:val="20"/>
          <w:szCs w:val="20"/>
        </w:rPr>
        <w:t xml:space="preserve">  Focal points are encouraged to tailor their sessions to their audiences; they may wish, for example, to spend more time </w:t>
      </w:r>
      <w:r>
        <w:rPr>
          <w:rFonts w:ascii="Calibri" w:hAnsi="Calibri"/>
          <w:sz w:val="20"/>
          <w:szCs w:val="20"/>
        </w:rPr>
        <w:t>explaining</w:t>
      </w:r>
      <w:r w:rsidRPr="00D61C8A">
        <w:rPr>
          <w:rFonts w:ascii="Calibri" w:hAnsi="Calibri"/>
          <w:sz w:val="20"/>
          <w:szCs w:val="20"/>
        </w:rPr>
        <w:t xml:space="preserve"> certain flipchart images </w:t>
      </w:r>
      <w:r>
        <w:rPr>
          <w:rFonts w:ascii="Calibri" w:hAnsi="Calibri"/>
          <w:sz w:val="20"/>
          <w:szCs w:val="20"/>
        </w:rPr>
        <w:t>to either</w:t>
      </w:r>
      <w:r w:rsidRPr="00D61C8A">
        <w:rPr>
          <w:rFonts w:ascii="Calibri" w:hAnsi="Calibri"/>
          <w:sz w:val="20"/>
          <w:szCs w:val="20"/>
        </w:rPr>
        <w:t xml:space="preserve"> children or adults.</w:t>
      </w:r>
      <w:r w:rsidRPr="00D61C8A">
        <w:rPr>
          <w:rStyle w:val="EndnoteReference"/>
          <w:rFonts w:ascii="Calibri" w:hAnsi="Calibri"/>
          <w:sz w:val="20"/>
          <w:szCs w:val="20"/>
        </w:rPr>
        <w:endnoteReference w:id="221"/>
      </w:r>
      <w:r>
        <w:rPr>
          <w:rFonts w:ascii="Calibri" w:hAnsi="Calibri"/>
          <w:sz w:val="20"/>
          <w:szCs w:val="20"/>
        </w:rPr>
        <w:t xml:space="preserve">  During </w:t>
      </w:r>
      <w:r w:rsidRPr="00D61C8A">
        <w:rPr>
          <w:rFonts w:ascii="Calibri" w:hAnsi="Calibri"/>
          <w:sz w:val="20"/>
          <w:szCs w:val="20"/>
        </w:rPr>
        <w:t>trainings, focal points are asked to create individual action plans outlining their intended MRE activities for the following six months.</w:t>
      </w:r>
      <w:r w:rsidRPr="00D61C8A">
        <w:rPr>
          <w:rStyle w:val="EndnoteReference"/>
          <w:rFonts w:ascii="Calibri" w:hAnsi="Calibri"/>
          <w:sz w:val="20"/>
          <w:szCs w:val="20"/>
        </w:rPr>
        <w:endnoteReference w:id="222"/>
      </w:r>
      <w:r w:rsidRPr="00D61C8A">
        <w:rPr>
          <w:rFonts w:ascii="Calibri" w:hAnsi="Calibri"/>
          <w:sz w:val="20"/>
          <w:szCs w:val="20"/>
        </w:rPr>
        <w:t xml:space="preserve">  Most focal points receive emergency MRE kits (see Section VI.B.2.</w:t>
      </w:r>
      <w:r>
        <w:rPr>
          <w:rFonts w:ascii="Calibri" w:hAnsi="Calibri"/>
          <w:sz w:val="20"/>
          <w:szCs w:val="20"/>
        </w:rPr>
        <w:t>b</w:t>
      </w:r>
      <w:r w:rsidRPr="00D61C8A">
        <w:rPr>
          <w:rFonts w:ascii="Calibri" w:hAnsi="Calibri"/>
          <w:sz w:val="20"/>
          <w:szCs w:val="20"/>
        </w:rPr>
        <w:t xml:space="preserve">) during trainings, although some focal points share kits within </w:t>
      </w:r>
      <w:r>
        <w:rPr>
          <w:rFonts w:ascii="Calibri" w:hAnsi="Calibri"/>
          <w:sz w:val="20"/>
          <w:szCs w:val="20"/>
        </w:rPr>
        <w:t>their districts.</w:t>
      </w:r>
    </w:p>
    <w:p w:rsidR="00B454FB" w:rsidRDefault="00B454FB" w:rsidP="00B454FB"/>
    <w:p w:rsidR="00B454FB" w:rsidRPr="00D61C8A" w:rsidRDefault="00B454FB" w:rsidP="00B454FB">
      <w:pPr>
        <w:rPr>
          <w:rFonts w:ascii="Calibri" w:hAnsi="Calibri"/>
          <w:sz w:val="20"/>
          <w:szCs w:val="20"/>
        </w:rPr>
      </w:pPr>
      <w:r w:rsidRPr="00D61C8A">
        <w:rPr>
          <w:rFonts w:ascii="Calibri" w:hAnsi="Calibri"/>
          <w:sz w:val="20"/>
          <w:szCs w:val="20"/>
        </w:rPr>
        <w:t xml:space="preserve">Some stakeholders who met with the evaluation team expressed an interest in attending refresher trainings.  UNICEF </w:t>
      </w:r>
      <w:r>
        <w:rPr>
          <w:rFonts w:ascii="Calibri" w:hAnsi="Calibri"/>
          <w:sz w:val="20"/>
          <w:szCs w:val="20"/>
        </w:rPr>
        <w:t>and partners such as NRCS are</w:t>
      </w:r>
      <w:r w:rsidRPr="00D61C8A">
        <w:rPr>
          <w:rFonts w:ascii="Calibri" w:hAnsi="Calibri"/>
          <w:sz w:val="20"/>
          <w:szCs w:val="20"/>
        </w:rPr>
        <w:t xml:space="preserve"> already conducting some refresher trainings:</w:t>
      </w:r>
    </w:p>
    <w:p w:rsidR="00B454FB" w:rsidRPr="00D61C8A" w:rsidRDefault="00B454FB" w:rsidP="00B454FB">
      <w:pPr>
        <w:pStyle w:val="ColorfulList-Accent11"/>
        <w:numPr>
          <w:ilvl w:val="0"/>
          <w:numId w:val="41"/>
        </w:numPr>
        <w:rPr>
          <w:rFonts w:ascii="Calibri" w:hAnsi="Calibri"/>
          <w:sz w:val="20"/>
          <w:szCs w:val="20"/>
        </w:rPr>
      </w:pPr>
      <w:r w:rsidRPr="00D61C8A">
        <w:rPr>
          <w:rFonts w:ascii="Calibri" w:hAnsi="Calibri"/>
          <w:sz w:val="20"/>
          <w:szCs w:val="20"/>
        </w:rPr>
        <w:lastRenderedPageBreak/>
        <w:t>The NRCS MRE focal point for Kailali District reported that he had attended three annual refresher trainings since his initial training in 2006.</w:t>
      </w:r>
      <w:r w:rsidRPr="00D61C8A">
        <w:rPr>
          <w:rStyle w:val="EndnoteReference"/>
          <w:rFonts w:ascii="Calibri" w:hAnsi="Calibri"/>
          <w:sz w:val="20"/>
          <w:szCs w:val="20"/>
        </w:rPr>
        <w:endnoteReference w:id="223"/>
      </w:r>
    </w:p>
    <w:p w:rsidR="00B454FB" w:rsidRPr="00D61C8A" w:rsidRDefault="00B454FB" w:rsidP="00B454FB">
      <w:pPr>
        <w:pStyle w:val="ColorfulList-Accent11"/>
        <w:numPr>
          <w:ilvl w:val="0"/>
          <w:numId w:val="41"/>
        </w:numPr>
        <w:rPr>
          <w:rFonts w:ascii="Calibri" w:hAnsi="Calibri"/>
          <w:sz w:val="20"/>
          <w:szCs w:val="20"/>
        </w:rPr>
      </w:pPr>
      <w:r w:rsidRPr="00D61C8A">
        <w:rPr>
          <w:rFonts w:ascii="Calibri" w:hAnsi="Calibri"/>
          <w:sz w:val="20"/>
          <w:szCs w:val="20"/>
        </w:rPr>
        <w:t xml:space="preserve">UNICEF </w:t>
      </w:r>
      <w:r>
        <w:rPr>
          <w:rFonts w:ascii="Calibri" w:hAnsi="Calibri"/>
          <w:sz w:val="20"/>
          <w:szCs w:val="20"/>
        </w:rPr>
        <w:t xml:space="preserve">and partners </w:t>
      </w:r>
      <w:r w:rsidRPr="00D61C8A">
        <w:rPr>
          <w:rFonts w:ascii="Calibri" w:hAnsi="Calibri"/>
          <w:sz w:val="20"/>
          <w:szCs w:val="20"/>
        </w:rPr>
        <w:t>provided some refresher trainings to emergency MRE focal points in 2008.</w:t>
      </w:r>
      <w:r w:rsidRPr="00D61C8A">
        <w:rPr>
          <w:rStyle w:val="EndnoteReference"/>
          <w:rFonts w:ascii="Calibri" w:hAnsi="Calibri"/>
          <w:sz w:val="20"/>
          <w:szCs w:val="20"/>
        </w:rPr>
        <w:endnoteReference w:id="224"/>
      </w:r>
      <w:r w:rsidRPr="00D61C8A">
        <w:rPr>
          <w:rFonts w:ascii="Calibri" w:hAnsi="Calibri"/>
          <w:sz w:val="20"/>
          <w:szCs w:val="20"/>
        </w:rPr>
        <w:t xml:space="preserve">    </w:t>
      </w:r>
    </w:p>
    <w:p w:rsidR="00B454FB" w:rsidRPr="00D61C8A" w:rsidRDefault="00B454FB" w:rsidP="00B454FB">
      <w:pPr>
        <w:pStyle w:val="ColorfulList-Accent11"/>
        <w:numPr>
          <w:ilvl w:val="0"/>
          <w:numId w:val="41"/>
        </w:numPr>
        <w:rPr>
          <w:rFonts w:ascii="Calibri" w:hAnsi="Calibri"/>
          <w:sz w:val="20"/>
          <w:szCs w:val="20"/>
        </w:rPr>
      </w:pPr>
      <w:r w:rsidRPr="00D61C8A">
        <w:rPr>
          <w:rFonts w:ascii="Calibri" w:hAnsi="Calibri"/>
          <w:sz w:val="20"/>
          <w:szCs w:val="20"/>
        </w:rPr>
        <w:t>UNICEF has planned future refresher trainings with the NA and other partners.</w:t>
      </w:r>
      <w:r w:rsidRPr="00D61C8A">
        <w:rPr>
          <w:rStyle w:val="EndnoteReference"/>
          <w:rFonts w:ascii="Calibri" w:hAnsi="Calibri"/>
          <w:sz w:val="20"/>
          <w:szCs w:val="20"/>
        </w:rPr>
        <w:endnoteReference w:id="225"/>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VI.B.2.b</w:t>
      </w:r>
      <w:r>
        <w:rPr>
          <w:rFonts w:ascii="Calibri" w:hAnsi="Calibri"/>
          <w:sz w:val="20"/>
          <w:szCs w:val="20"/>
        </w:rPr>
        <w:tab/>
      </w:r>
      <w:r>
        <w:rPr>
          <w:rFonts w:ascii="Calibri" w:hAnsi="Calibri"/>
          <w:sz w:val="20"/>
          <w:szCs w:val="20"/>
        </w:rPr>
        <w:tab/>
      </w:r>
      <w:r w:rsidRPr="00D61C8A">
        <w:rPr>
          <w:rFonts w:ascii="Calibri" w:hAnsi="Calibri"/>
          <w:sz w:val="20"/>
          <w:szCs w:val="20"/>
        </w:rPr>
        <w:t>Coordination of emergency MRE</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i/>
          <w:color w:val="76923C"/>
          <w:sz w:val="20"/>
          <w:szCs w:val="20"/>
        </w:rPr>
      </w:pPr>
      <w:r w:rsidRPr="00D61C8A">
        <w:rPr>
          <w:rFonts w:ascii="Calibri" w:hAnsi="Calibri"/>
          <w:i/>
          <w:color w:val="76923C"/>
          <w:sz w:val="20"/>
          <w:szCs w:val="20"/>
        </w:rPr>
        <w:t xml:space="preserve">Activity description from UNICEF Annual Work Plan 2008-2009: </w:t>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color w:val="76923C"/>
          <w:sz w:val="20"/>
          <w:szCs w:val="20"/>
        </w:rPr>
      </w:pPr>
      <w:r w:rsidRPr="00D61C8A">
        <w:rPr>
          <w:rFonts w:ascii="Calibri" w:hAnsi="Calibri"/>
          <w:color w:val="76923C"/>
          <w:sz w:val="20"/>
          <w:szCs w:val="20"/>
        </w:rPr>
        <w:t>· “Disseminate, train and monitor the use of emergency mine risk education kit.”</w:t>
      </w:r>
      <w:r>
        <w:rPr>
          <w:rStyle w:val="EndnoteReference"/>
          <w:rFonts w:ascii="Calibri" w:hAnsi="Calibri"/>
          <w:color w:val="76923C"/>
          <w:sz w:val="20"/>
          <w:szCs w:val="20"/>
        </w:rPr>
        <w:endnoteReference w:id="226"/>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Emergency MRE is conducted according to three scenarios: </w:t>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42"/>
        </w:numPr>
        <w:spacing w:line="276" w:lineRule="auto"/>
        <w:rPr>
          <w:rFonts w:ascii="Calibri" w:hAnsi="Calibri"/>
          <w:b/>
          <w:sz w:val="20"/>
          <w:szCs w:val="20"/>
        </w:rPr>
      </w:pPr>
      <w:r w:rsidRPr="00D61C8A">
        <w:rPr>
          <w:rFonts w:ascii="Calibri" w:hAnsi="Calibri"/>
          <w:b/>
          <w:sz w:val="20"/>
          <w:szCs w:val="20"/>
        </w:rPr>
        <w:t xml:space="preserve">Following a recent VAE.  </w:t>
      </w:r>
      <w:r w:rsidRPr="00D61C8A">
        <w:rPr>
          <w:rFonts w:ascii="Calibri" w:hAnsi="Calibri"/>
          <w:sz w:val="20"/>
          <w:szCs w:val="20"/>
        </w:rPr>
        <w:t>INSEC contacts UNICEF upon investigation of each VAE</w:t>
      </w:r>
      <w:r>
        <w:rPr>
          <w:rFonts w:ascii="Calibri" w:hAnsi="Calibri"/>
          <w:sz w:val="20"/>
          <w:szCs w:val="20"/>
        </w:rPr>
        <w:t>.  In most cases, an emergency MRE focal point</w:t>
      </w:r>
      <w:r w:rsidRPr="00D61C8A">
        <w:rPr>
          <w:rFonts w:ascii="Calibri" w:hAnsi="Calibri"/>
          <w:sz w:val="20"/>
          <w:szCs w:val="20"/>
        </w:rPr>
        <w:t xml:space="preserve"> </w:t>
      </w:r>
      <w:r>
        <w:rPr>
          <w:rFonts w:ascii="Calibri" w:hAnsi="Calibri"/>
          <w:sz w:val="20"/>
          <w:szCs w:val="20"/>
        </w:rPr>
        <w:t>is</w:t>
      </w:r>
      <w:r w:rsidRPr="00D61C8A">
        <w:rPr>
          <w:rFonts w:ascii="Calibri" w:hAnsi="Calibri"/>
          <w:sz w:val="20"/>
          <w:szCs w:val="20"/>
        </w:rPr>
        <w:t xml:space="preserve"> deployed within one week of </w:t>
      </w:r>
      <w:r>
        <w:rPr>
          <w:rFonts w:ascii="Calibri" w:hAnsi="Calibri"/>
          <w:sz w:val="20"/>
          <w:szCs w:val="20"/>
        </w:rPr>
        <w:t>the incident</w:t>
      </w:r>
      <w:r w:rsidRPr="00D61C8A">
        <w:rPr>
          <w:rFonts w:ascii="Calibri" w:hAnsi="Calibri"/>
          <w:sz w:val="20"/>
          <w:szCs w:val="20"/>
        </w:rPr>
        <w:t>.</w:t>
      </w:r>
      <w:r w:rsidRPr="00D61C8A">
        <w:rPr>
          <w:rStyle w:val="EndnoteReference"/>
          <w:rFonts w:ascii="Calibri" w:hAnsi="Calibri"/>
          <w:sz w:val="20"/>
          <w:szCs w:val="20"/>
        </w:rPr>
        <w:endnoteReference w:id="227"/>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42"/>
        </w:numPr>
        <w:spacing w:line="276" w:lineRule="auto"/>
        <w:rPr>
          <w:rFonts w:ascii="Calibri" w:hAnsi="Calibri"/>
          <w:sz w:val="20"/>
          <w:szCs w:val="20"/>
        </w:rPr>
      </w:pPr>
      <w:r w:rsidRPr="00D61C8A">
        <w:rPr>
          <w:rFonts w:ascii="Calibri" w:hAnsi="Calibri"/>
          <w:b/>
          <w:sz w:val="20"/>
          <w:szCs w:val="20"/>
        </w:rPr>
        <w:t>In areas of obvious risk.</w:t>
      </w:r>
      <w:r w:rsidRPr="00D61C8A">
        <w:rPr>
          <w:rFonts w:ascii="Calibri" w:hAnsi="Calibri"/>
          <w:sz w:val="20"/>
          <w:szCs w:val="20"/>
        </w:rPr>
        <w:t xml:space="preserve">  These may include battle or clash sites, landmine or IED fields (especially those affected by landslides), or inhabited areas where ED have been found.</w:t>
      </w:r>
      <w:r w:rsidRPr="00D61C8A">
        <w:rPr>
          <w:rStyle w:val="EndnoteReference"/>
          <w:rFonts w:ascii="Calibri" w:hAnsi="Calibri"/>
          <w:sz w:val="20"/>
          <w:szCs w:val="20"/>
        </w:rPr>
        <w:endnoteReference w:id="228"/>
      </w:r>
    </w:p>
    <w:p w:rsidR="00B454FB" w:rsidRPr="00D61C8A" w:rsidRDefault="00B454FB" w:rsidP="00B454FB">
      <w:pPr>
        <w:rPr>
          <w:rFonts w:ascii="Calibri" w:hAnsi="Calibri"/>
          <w:sz w:val="20"/>
          <w:szCs w:val="20"/>
        </w:rPr>
      </w:pPr>
    </w:p>
    <w:p w:rsidR="00B454FB" w:rsidRPr="00D61C8A" w:rsidRDefault="00B454FB" w:rsidP="00B454FB">
      <w:pPr>
        <w:pStyle w:val="ColorfulList-Accent11"/>
        <w:numPr>
          <w:ilvl w:val="0"/>
          <w:numId w:val="42"/>
        </w:numPr>
        <w:spacing w:line="276" w:lineRule="auto"/>
        <w:rPr>
          <w:rFonts w:ascii="Calibri" w:hAnsi="Calibri"/>
          <w:sz w:val="20"/>
          <w:szCs w:val="20"/>
        </w:rPr>
      </w:pPr>
      <w:r w:rsidRPr="00D61C8A">
        <w:rPr>
          <w:rFonts w:ascii="Calibri" w:hAnsi="Calibri"/>
          <w:b/>
          <w:sz w:val="20"/>
          <w:szCs w:val="20"/>
        </w:rPr>
        <w:t>At the request of communities.</w:t>
      </w:r>
      <w:r w:rsidRPr="00D61C8A">
        <w:rPr>
          <w:rFonts w:ascii="Calibri" w:hAnsi="Calibri"/>
          <w:sz w:val="20"/>
          <w:szCs w:val="20"/>
        </w:rPr>
        <w:t xml:space="preserve">  Requests may originate from community members, local civil authorities, UN or NGO personnel, or members of government security forces.  Requests are fulfilled regardless of whether risk in the community is considered low, medium, or high.</w:t>
      </w:r>
      <w:r w:rsidRPr="00D61C8A">
        <w:rPr>
          <w:rStyle w:val="EndnoteReference"/>
          <w:rFonts w:ascii="Calibri" w:hAnsi="Calibri"/>
          <w:sz w:val="20"/>
          <w:szCs w:val="20"/>
        </w:rPr>
        <w:endnoteReference w:id="229"/>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UNICEF began emergency MRE activities in 2006,</w:t>
      </w:r>
      <w:r w:rsidRPr="00D61C8A">
        <w:rPr>
          <w:rStyle w:val="EndnoteReference"/>
          <w:rFonts w:ascii="Calibri" w:hAnsi="Calibri"/>
          <w:sz w:val="20"/>
          <w:szCs w:val="20"/>
        </w:rPr>
        <w:endnoteReference w:id="230"/>
      </w:r>
      <w:r w:rsidRPr="00D61C8A">
        <w:rPr>
          <w:rFonts w:ascii="Calibri" w:hAnsi="Calibri"/>
          <w:sz w:val="20"/>
          <w:szCs w:val="20"/>
        </w:rPr>
        <w:t xml:space="preserve"> starting a formal program in 2007.</w:t>
      </w:r>
      <w:r w:rsidRPr="00D61C8A">
        <w:rPr>
          <w:rStyle w:val="EndnoteReference"/>
          <w:rFonts w:ascii="Calibri" w:hAnsi="Calibri"/>
          <w:b/>
          <w:sz w:val="20"/>
          <w:szCs w:val="20"/>
        </w:rPr>
        <w:endnoteReference w:id="231"/>
      </w:r>
      <w:r w:rsidRPr="00D61C8A">
        <w:rPr>
          <w:rFonts w:ascii="Calibri" w:hAnsi="Calibri"/>
          <w:sz w:val="20"/>
          <w:szCs w:val="20"/>
        </w:rPr>
        <w:t xml:space="preserve">  UNICEF </w:t>
      </w:r>
      <w:r>
        <w:rPr>
          <w:rFonts w:ascii="Calibri" w:hAnsi="Calibri"/>
          <w:sz w:val="20"/>
          <w:szCs w:val="20"/>
        </w:rPr>
        <w:t xml:space="preserve">and partners </w:t>
      </w:r>
      <w:r w:rsidRPr="00D61C8A">
        <w:rPr>
          <w:rFonts w:ascii="Calibri" w:hAnsi="Calibri"/>
          <w:sz w:val="20"/>
          <w:szCs w:val="20"/>
        </w:rPr>
        <w:t>trained 250 emergency MRE focal points in 30 districts in 2008.</w:t>
      </w:r>
      <w:r w:rsidRPr="00D61C8A">
        <w:rPr>
          <w:rStyle w:val="EndnoteReference"/>
          <w:rFonts w:ascii="Calibri" w:hAnsi="Calibri"/>
          <w:sz w:val="20"/>
          <w:szCs w:val="20"/>
        </w:rPr>
        <w:endnoteReference w:id="232"/>
      </w:r>
      <w:r w:rsidRPr="00D61C8A">
        <w:rPr>
          <w:rFonts w:ascii="Calibri" w:hAnsi="Calibri"/>
          <w:sz w:val="20"/>
          <w:szCs w:val="20"/>
        </w:rPr>
        <w:t xml:space="preserve">  By November 2009</w:t>
      </w:r>
      <w:r w:rsidR="005226B6">
        <w:rPr>
          <w:rFonts w:ascii="Calibri" w:hAnsi="Calibri"/>
          <w:sz w:val="20"/>
          <w:szCs w:val="20"/>
        </w:rPr>
        <w:t>,</w:t>
      </w:r>
      <w:r w:rsidRPr="00D61C8A">
        <w:rPr>
          <w:rFonts w:ascii="Calibri" w:hAnsi="Calibri"/>
          <w:sz w:val="20"/>
          <w:szCs w:val="20"/>
        </w:rPr>
        <w:t xml:space="preserve"> a network of 430 focal points were working in 68 affected districts,</w:t>
      </w:r>
      <w:r w:rsidRPr="00D61C8A">
        <w:rPr>
          <w:rStyle w:val="EndnoteReference"/>
          <w:rFonts w:ascii="Calibri" w:hAnsi="Calibri"/>
          <w:sz w:val="20"/>
          <w:szCs w:val="20"/>
        </w:rPr>
        <w:endnoteReference w:id="233"/>
      </w:r>
      <w:r w:rsidRPr="00D61C8A">
        <w:rPr>
          <w:rFonts w:ascii="Calibri" w:hAnsi="Calibri"/>
          <w:sz w:val="20"/>
          <w:szCs w:val="20"/>
        </w:rPr>
        <w:t xml:space="preserve"> including the 58 districts considered most affected by ED contamination.</w:t>
      </w:r>
      <w:r w:rsidRPr="00D61C8A">
        <w:rPr>
          <w:rStyle w:val="EndnoteReference"/>
          <w:rFonts w:ascii="Calibri" w:hAnsi="Calibri"/>
          <w:sz w:val="20"/>
          <w:szCs w:val="20"/>
        </w:rPr>
        <w:endnoteReference w:id="234"/>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MRE focal points are nominated for training by members of the MAJWG and come from a variety of backgrounds.  Some are affiliated with partner organizations such as NRCS and INSEC.  </w:t>
      </w:r>
      <w:r>
        <w:rPr>
          <w:rFonts w:ascii="Calibri" w:hAnsi="Calibri"/>
          <w:sz w:val="20"/>
          <w:szCs w:val="20"/>
        </w:rPr>
        <w:t>Approximately one third of focal points receive pay and/or reimbursement for out-of-pocket expenses (such as travel and meals) from MRE partner organizations; other focal points do not receive pay or reimbursement.</w:t>
      </w:r>
      <w:r w:rsidRPr="00D61C8A">
        <w:rPr>
          <w:rFonts w:ascii="Calibri" w:hAnsi="Calibri"/>
          <w:sz w:val="20"/>
          <w:szCs w:val="20"/>
        </w:rPr>
        <w:t xml:space="preserve">  Numbers of focal points in districts vary in proportion to the severity of ED contamination and history of VAE injuries.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UNICEF </w:t>
      </w:r>
      <w:r>
        <w:rPr>
          <w:rFonts w:ascii="Calibri" w:hAnsi="Calibri"/>
          <w:sz w:val="20"/>
          <w:szCs w:val="20"/>
        </w:rPr>
        <w:t>MA</w:t>
      </w:r>
      <w:r w:rsidRPr="00D61C8A">
        <w:rPr>
          <w:rFonts w:ascii="Calibri" w:hAnsi="Calibri"/>
          <w:sz w:val="20"/>
          <w:szCs w:val="20"/>
        </w:rPr>
        <w:t xml:space="preserve"> personnel maintain a list of active focal points in each of the 68 covered districts.  When the need for emergency MRE arises, they contact the appropriate focal point and send him/her to the affected community.  The focal point travels to the community and conducts a training for community members in a common area.</w:t>
      </w:r>
      <w:r w:rsidRPr="00D61C8A">
        <w:rPr>
          <w:rStyle w:val="EndnoteReference"/>
          <w:rFonts w:ascii="Calibri" w:hAnsi="Calibri"/>
          <w:sz w:val="20"/>
          <w:szCs w:val="20"/>
        </w:rPr>
        <w:endnoteReference w:id="235"/>
      </w:r>
      <w:r w:rsidRPr="00D61C8A">
        <w:rPr>
          <w:rFonts w:ascii="Calibri" w:hAnsi="Calibri"/>
          <w:sz w:val="20"/>
          <w:szCs w:val="20"/>
        </w:rPr>
        <w:t xml:space="preserve">  Sessions usually last one hour, although more time may be spent with small children.</w:t>
      </w:r>
      <w:r w:rsidRPr="00D61C8A">
        <w:rPr>
          <w:rStyle w:val="EndnoteReference"/>
          <w:rFonts w:ascii="Calibri" w:hAnsi="Calibri"/>
          <w:sz w:val="20"/>
          <w:szCs w:val="20"/>
        </w:rPr>
        <w:endnoteReference w:id="236"/>
      </w:r>
      <w:r w:rsidRPr="00D61C8A">
        <w:rPr>
          <w:rFonts w:ascii="Calibri" w:hAnsi="Calibri"/>
          <w:sz w:val="20"/>
          <w:szCs w:val="20"/>
        </w:rPr>
        <w:t xml:space="preserve">  Many focal points conduct multiple emergency MRE sessions within each affected community.</w:t>
      </w:r>
    </w:p>
    <w:p w:rsidR="00B454FB" w:rsidRPr="00D61C8A" w:rsidRDefault="00B454FB" w:rsidP="00B454FB">
      <w:pPr>
        <w:rPr>
          <w:rFonts w:ascii="Calibri"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b/>
          <w:sz w:val="20"/>
          <w:szCs w:val="20"/>
        </w:rPr>
      </w:pPr>
      <w:r>
        <w:rPr>
          <w:rFonts w:ascii="Calibri" w:hAnsi="Calibri"/>
          <w:b/>
          <w:sz w:val="20"/>
          <w:szCs w:val="20"/>
        </w:rPr>
        <w:t>MAJWG</w:t>
      </w:r>
      <w:r w:rsidRPr="00D61C8A">
        <w:rPr>
          <w:rFonts w:ascii="Calibri" w:hAnsi="Calibri"/>
          <w:b/>
          <w:sz w:val="20"/>
          <w:szCs w:val="20"/>
        </w:rPr>
        <w:t xml:space="preserve"> MRE KITS (See Appendix B.1.d for photograph)</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Pr>
          <w:rFonts w:ascii="Calibri" w:hAnsi="Calibri"/>
          <w:sz w:val="20"/>
          <w:szCs w:val="20"/>
        </w:rPr>
        <w:t>MAJWG</w:t>
      </w:r>
      <w:r w:rsidRPr="00D61C8A">
        <w:rPr>
          <w:rFonts w:ascii="Calibri" w:hAnsi="Calibri"/>
          <w:sz w:val="20"/>
          <w:szCs w:val="20"/>
        </w:rPr>
        <w:t xml:space="preserve"> emergency MRE kits provide the basis for standardized MRE messaging throughout Nepal.</w:t>
      </w:r>
      <w:r w:rsidRPr="00D61C8A">
        <w:rPr>
          <w:rStyle w:val="EndnoteReference"/>
          <w:rFonts w:ascii="Calibri" w:hAnsi="Calibri"/>
          <w:sz w:val="20"/>
          <w:szCs w:val="20"/>
        </w:rPr>
        <w:endnoteReference w:id="237"/>
      </w:r>
      <w:r w:rsidRPr="00D61C8A">
        <w:rPr>
          <w:rFonts w:ascii="Calibri" w:hAnsi="Calibri"/>
          <w:sz w:val="20"/>
          <w:szCs w:val="20"/>
        </w:rPr>
        <w:t xml:space="preserve">  The kit prototype was developed, field tested and finalized in 2006.</w:t>
      </w:r>
      <w:r w:rsidRPr="00D61C8A">
        <w:rPr>
          <w:rStyle w:val="EndnoteReference"/>
          <w:rFonts w:ascii="Calibri" w:hAnsi="Calibri"/>
          <w:sz w:val="20"/>
          <w:szCs w:val="20"/>
        </w:rPr>
        <w:endnoteReference w:id="238"/>
      </w:r>
      <w:r w:rsidRPr="00D61C8A">
        <w:rPr>
          <w:rFonts w:ascii="Calibri" w:hAnsi="Calibri"/>
          <w:sz w:val="20"/>
          <w:szCs w:val="20"/>
        </w:rPr>
        <w:t xml:space="preserve">  Each kit is contained in a UNICEF duffel bag and includes flipcharts, leaflets, a user guide for the leaflets,</w:t>
      </w:r>
      <w:r w:rsidRPr="00D61C8A">
        <w:rPr>
          <w:rStyle w:val="EndnoteReference"/>
          <w:rFonts w:ascii="Calibri" w:hAnsi="Calibri"/>
          <w:sz w:val="20"/>
          <w:szCs w:val="20"/>
        </w:rPr>
        <w:endnoteReference w:id="239"/>
      </w:r>
      <w:r w:rsidRPr="00D61C8A">
        <w:rPr>
          <w:rFonts w:ascii="Calibri" w:hAnsi="Calibri"/>
          <w:sz w:val="20"/>
          <w:szCs w:val="20"/>
        </w:rPr>
        <w:t xml:space="preserve"> a cd-rom, red paint for marking contaminated areas, and a camera for taking photographs of MRE activities.</w:t>
      </w:r>
      <w:r w:rsidRPr="00D61C8A">
        <w:rPr>
          <w:rStyle w:val="EndnoteReference"/>
          <w:rFonts w:ascii="Calibri" w:hAnsi="Calibri"/>
          <w:sz w:val="20"/>
          <w:szCs w:val="20"/>
        </w:rPr>
        <w:endnoteReference w:id="240"/>
      </w:r>
      <w:r w:rsidRPr="00D61C8A">
        <w:rPr>
          <w:rFonts w:ascii="Calibri" w:hAnsi="Calibri"/>
          <w:sz w:val="20"/>
          <w:szCs w:val="20"/>
        </w:rPr>
        <w:t xml:space="preserve">  An emergency MRE kit user guide (Appendix B.1.d) explains how each item in the kit should be used.</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b/>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hAnsi="Calibri"/>
          <w:sz w:val="20"/>
          <w:szCs w:val="20"/>
        </w:rPr>
      </w:pPr>
      <w:r w:rsidRPr="00D61C8A">
        <w:rPr>
          <w:rFonts w:ascii="Calibri" w:hAnsi="Calibri"/>
          <w:sz w:val="20"/>
          <w:szCs w:val="20"/>
        </w:rPr>
        <w:t>Kits are numbered for tracking and monitored by UNICEF MA personnel (see Section VI.B.4.a).  If the MRE monitoring officer</w:t>
      </w:r>
      <w:r>
        <w:rPr>
          <w:rFonts w:ascii="Calibri" w:hAnsi="Calibri"/>
          <w:sz w:val="20"/>
          <w:szCs w:val="20"/>
        </w:rPr>
        <w:t xml:space="preserve"> finds that a</w:t>
      </w:r>
      <w:r w:rsidRPr="00D61C8A">
        <w:rPr>
          <w:rFonts w:ascii="Calibri" w:hAnsi="Calibri"/>
          <w:sz w:val="20"/>
          <w:szCs w:val="20"/>
        </w:rPr>
        <w:t xml:space="preserve"> focal point is no longer active, the focal point is asked to return the MRE kit and other materials to his/her organization for future use by other focal points.</w:t>
      </w:r>
      <w:r w:rsidRPr="00D61C8A">
        <w:rPr>
          <w:rStyle w:val="EndnoteReference"/>
          <w:rFonts w:ascii="Calibri" w:hAnsi="Calibri"/>
          <w:sz w:val="20"/>
          <w:szCs w:val="20"/>
        </w:rPr>
        <w:endnoteReference w:id="241"/>
      </w:r>
    </w:p>
    <w:p w:rsidR="00B454FB" w:rsidRDefault="00B454FB" w:rsidP="00B454FB">
      <w:pPr>
        <w:pStyle w:val="Heading4"/>
        <w:numPr>
          <w:ilvl w:val="0"/>
          <w:numId w:val="0"/>
        </w:numPr>
        <w:spacing w:before="0"/>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VI.B.2.c</w:t>
      </w:r>
      <w:r>
        <w:rPr>
          <w:rFonts w:ascii="Calibri" w:hAnsi="Calibri"/>
          <w:sz w:val="20"/>
          <w:szCs w:val="20"/>
        </w:rPr>
        <w:tab/>
      </w:r>
      <w:r>
        <w:rPr>
          <w:rFonts w:ascii="Calibri" w:hAnsi="Calibri"/>
          <w:sz w:val="20"/>
          <w:szCs w:val="20"/>
        </w:rPr>
        <w:tab/>
      </w:r>
      <w:r w:rsidRPr="00D61C8A">
        <w:rPr>
          <w:rFonts w:ascii="Calibri" w:hAnsi="Calibri"/>
          <w:sz w:val="20"/>
          <w:szCs w:val="20"/>
        </w:rPr>
        <w:t>Coordination of regular MRE</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i/>
          <w:color w:val="76923C"/>
          <w:sz w:val="20"/>
          <w:szCs w:val="20"/>
        </w:rPr>
      </w:pPr>
      <w:r w:rsidRPr="00D61C8A">
        <w:rPr>
          <w:rFonts w:ascii="Calibri" w:eastAsia="Cambria" w:hAnsi="Calibri"/>
          <w:i/>
          <w:color w:val="76923C"/>
          <w:sz w:val="20"/>
          <w:szCs w:val="20"/>
        </w:rPr>
        <w:t>Activity descriptions from UNICEF Annual Work Plan 2009:</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color w:val="76923C"/>
          <w:sz w:val="20"/>
          <w:szCs w:val="20"/>
        </w:rPr>
      </w:pPr>
      <w:r w:rsidRPr="00D61C8A">
        <w:rPr>
          <w:rFonts w:ascii="Calibri" w:eastAsia="Cambria" w:hAnsi="Calibri"/>
          <w:color w:val="76923C"/>
          <w:sz w:val="20"/>
          <w:szCs w:val="20"/>
        </w:rPr>
        <w:t xml:space="preserve">· </w:t>
      </w:r>
      <w:r>
        <w:rPr>
          <w:rFonts w:ascii="Calibri" w:eastAsia="Cambria" w:hAnsi="Calibri"/>
          <w:color w:val="76923C"/>
          <w:sz w:val="20"/>
          <w:szCs w:val="20"/>
        </w:rPr>
        <w:t>“</w:t>
      </w:r>
      <w:r w:rsidRPr="00D61C8A">
        <w:rPr>
          <w:rFonts w:ascii="Calibri" w:eastAsia="Cambria" w:hAnsi="Calibri"/>
          <w:color w:val="76923C"/>
          <w:sz w:val="20"/>
          <w:szCs w:val="20"/>
        </w:rPr>
        <w:t>Work with the Nepal Police to integrate systematic MRE training for constables.</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hAnsi="Calibri"/>
        </w:rPr>
      </w:pPr>
      <w:r w:rsidRPr="00D61C8A">
        <w:rPr>
          <w:rFonts w:ascii="Calibri" w:eastAsia="Cambria" w:hAnsi="Calibri"/>
          <w:color w:val="76923C"/>
          <w:sz w:val="20"/>
          <w:szCs w:val="20"/>
        </w:rPr>
        <w:t xml:space="preserve">· Update and include MRE messages for aid workers in </w:t>
      </w:r>
      <w:r>
        <w:rPr>
          <w:rFonts w:ascii="Calibri" w:eastAsia="Cambria" w:hAnsi="Calibri"/>
          <w:color w:val="76923C"/>
          <w:sz w:val="20"/>
          <w:szCs w:val="20"/>
        </w:rPr>
        <w:t>‘</w:t>
      </w:r>
      <w:r w:rsidRPr="00D61C8A">
        <w:rPr>
          <w:rFonts w:ascii="Calibri" w:eastAsia="Cambria" w:hAnsi="Calibri"/>
          <w:color w:val="76923C"/>
          <w:sz w:val="20"/>
          <w:szCs w:val="20"/>
        </w:rPr>
        <w:t>security briefings</w:t>
      </w:r>
      <w:r>
        <w:rPr>
          <w:rFonts w:ascii="Calibri" w:eastAsia="Cambria" w:hAnsi="Calibri"/>
          <w:color w:val="76923C"/>
          <w:sz w:val="20"/>
          <w:szCs w:val="20"/>
        </w:rPr>
        <w:t>’</w:t>
      </w:r>
      <w:r w:rsidRPr="00D61C8A">
        <w:rPr>
          <w:rFonts w:ascii="Calibri" w:eastAsia="Cambria" w:hAnsi="Calibri"/>
          <w:color w:val="76923C"/>
          <w:sz w:val="20"/>
          <w:szCs w:val="20"/>
        </w:rPr>
        <w:t xml:space="preserve"> (UN, NGOs, GVT)</w:t>
      </w:r>
      <w:r>
        <w:rPr>
          <w:rFonts w:ascii="Calibri" w:eastAsia="Cambria" w:hAnsi="Calibri"/>
          <w:color w:val="76923C"/>
          <w:sz w:val="20"/>
          <w:szCs w:val="20"/>
        </w:rPr>
        <w:t>.”</w:t>
      </w:r>
      <w:r>
        <w:rPr>
          <w:rStyle w:val="EndnoteReference"/>
          <w:rFonts w:ascii="Calibri" w:hAnsi="Calibri"/>
          <w:color w:val="76923C"/>
          <w:sz w:val="20"/>
          <w:szCs w:val="20"/>
        </w:rPr>
        <w:endnoteReference w:id="242"/>
      </w:r>
    </w:p>
    <w:p w:rsidR="00B454FB" w:rsidRDefault="00B454FB" w:rsidP="00B454FB">
      <w:pPr>
        <w:rPr>
          <w:rFonts w:ascii="Calibri" w:eastAsia="Cambria" w:hAnsi="Calibri"/>
          <w:b/>
          <w:sz w:val="20"/>
          <w:szCs w:val="20"/>
        </w:rPr>
      </w:pPr>
    </w:p>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Regular MRE activities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xml:space="preserve">Regular MRE activities are conducted in targeted portions of the population considered </w:t>
      </w:r>
      <w:r>
        <w:rPr>
          <w:rFonts w:ascii="Calibri" w:eastAsia="Cambria" w:hAnsi="Calibri"/>
          <w:sz w:val="20"/>
          <w:szCs w:val="20"/>
        </w:rPr>
        <w:t>to have</w:t>
      </w:r>
      <w:r w:rsidRPr="00D61C8A">
        <w:rPr>
          <w:rFonts w:ascii="Calibri" w:eastAsia="Cambria" w:hAnsi="Calibri"/>
          <w:sz w:val="20"/>
          <w:szCs w:val="20"/>
        </w:rPr>
        <w:t xml:space="preserve"> elevated risk of ED injury.  Regular MRE trainings are often conducted by the same MRE focal points who conduct emergency MRE.  UNICEF supports regular MRE programs by providing MRE materials, training focal points, and offering other technical assistance as needed; the actual costs of trainings are funded by partner organizations.</w:t>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xml:space="preserve">Some regular MRE activities are </w:t>
      </w:r>
      <w:r>
        <w:rPr>
          <w:rFonts w:ascii="Calibri" w:eastAsia="Cambria" w:hAnsi="Calibri"/>
          <w:sz w:val="20"/>
          <w:szCs w:val="20"/>
        </w:rPr>
        <w:t>conducted independently by entities</w:t>
      </w:r>
      <w:r w:rsidRPr="00D61C8A">
        <w:rPr>
          <w:rFonts w:ascii="Calibri" w:eastAsia="Cambria" w:hAnsi="Calibri"/>
          <w:sz w:val="20"/>
          <w:szCs w:val="20"/>
        </w:rPr>
        <w:t xml:space="preserve"> such as NRCS, NCBL, and government security forces.  In the box below the </w:t>
      </w:r>
      <w:r>
        <w:rPr>
          <w:rFonts w:ascii="Calibri" w:eastAsia="Cambria" w:hAnsi="Calibri"/>
          <w:sz w:val="20"/>
          <w:szCs w:val="20"/>
        </w:rPr>
        <w:t xml:space="preserve">regular MRE </w:t>
      </w:r>
      <w:r w:rsidRPr="00D61C8A">
        <w:rPr>
          <w:rFonts w:ascii="Calibri" w:eastAsia="Cambria" w:hAnsi="Calibri"/>
          <w:sz w:val="20"/>
          <w:szCs w:val="20"/>
        </w:rPr>
        <w:t xml:space="preserve">activities of one organization, NRCS, are described in detail. </w:t>
      </w:r>
    </w:p>
    <w:p w:rsidR="00B454FB" w:rsidRPr="00D61C8A" w:rsidRDefault="00B454FB" w:rsidP="00B454FB">
      <w:pP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 xml:space="preserve">Case Study: Regular MRE conducted by </w:t>
      </w:r>
      <w:r>
        <w:rPr>
          <w:rFonts w:ascii="Calibri" w:eastAsia="Cambria" w:hAnsi="Calibri"/>
          <w:b/>
          <w:sz w:val="20"/>
          <w:szCs w:val="20"/>
        </w:rPr>
        <w:t>NRCS</w:t>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 xml:space="preserve">A 2004 study by ICRC recommended the introduction of MA programs in Nepal.  With the technical and financial support of ICRC, NRCS started an MA program the </w:t>
      </w:r>
      <w:r>
        <w:rPr>
          <w:rFonts w:ascii="Calibri" w:eastAsia="Cambria" w:hAnsi="Calibri"/>
          <w:sz w:val="20"/>
          <w:szCs w:val="20"/>
        </w:rPr>
        <w:t>following</w:t>
      </w:r>
      <w:r w:rsidRPr="00D61C8A">
        <w:rPr>
          <w:rFonts w:ascii="Calibri" w:eastAsia="Cambria" w:hAnsi="Calibri"/>
          <w:sz w:val="20"/>
          <w:szCs w:val="20"/>
        </w:rPr>
        <w:t xml:space="preserve"> year</w:t>
      </w:r>
      <w:r>
        <w:rPr>
          <w:rFonts w:ascii="Calibri" w:eastAsia="Cambria" w:hAnsi="Calibri"/>
          <w:sz w:val="20"/>
          <w:szCs w:val="20"/>
        </w:rPr>
        <w:t>.</w:t>
      </w:r>
      <w:r w:rsidRPr="00D61C8A">
        <w:rPr>
          <w:rFonts w:ascii="Calibri" w:eastAsia="Cambria" w:hAnsi="Calibri"/>
          <w:sz w:val="22"/>
          <w:szCs w:val="22"/>
          <w:vertAlign w:val="superscript"/>
        </w:rPr>
        <w:endnoteReference w:id="243"/>
      </w:r>
      <w:r w:rsidRPr="00D61C8A">
        <w:rPr>
          <w:rFonts w:ascii="Calibri" w:eastAsia="Cambria" w:hAnsi="Calibri"/>
          <w:sz w:val="20"/>
          <w:szCs w:val="20"/>
        </w:rPr>
        <w:t xml:space="preserve"> </w:t>
      </w:r>
      <w:r>
        <w:rPr>
          <w:rFonts w:ascii="Calibri" w:eastAsia="Cambria" w:hAnsi="Calibri"/>
          <w:sz w:val="20"/>
          <w:szCs w:val="20"/>
        </w:rPr>
        <w:t xml:space="preserve"> </w:t>
      </w:r>
      <w:r w:rsidRPr="00D61C8A">
        <w:rPr>
          <w:rFonts w:ascii="Calibri" w:eastAsia="Cambria" w:hAnsi="Calibri"/>
          <w:sz w:val="20"/>
          <w:szCs w:val="20"/>
        </w:rPr>
        <w:t>The NRCS used MRE materials</w:t>
      </w:r>
      <w:r w:rsidRPr="00D61C8A">
        <w:rPr>
          <w:rFonts w:ascii="Calibri" w:eastAsia="Cambria" w:hAnsi="Calibri"/>
          <w:sz w:val="22"/>
          <w:szCs w:val="22"/>
          <w:vertAlign w:val="superscript"/>
        </w:rPr>
        <w:endnoteReference w:id="244"/>
      </w:r>
      <w:r w:rsidRPr="00D61C8A">
        <w:rPr>
          <w:rFonts w:ascii="Calibri" w:eastAsia="Cambria" w:hAnsi="Calibri"/>
          <w:sz w:val="20"/>
          <w:szCs w:val="20"/>
        </w:rPr>
        <w:t xml:space="preserve"> developed by </w:t>
      </w:r>
      <w:r>
        <w:rPr>
          <w:rFonts w:ascii="Calibri" w:eastAsia="Cambria" w:hAnsi="Calibri"/>
          <w:sz w:val="20"/>
          <w:szCs w:val="20"/>
        </w:rPr>
        <w:t xml:space="preserve">the </w:t>
      </w:r>
      <w:r w:rsidRPr="00D61C8A">
        <w:rPr>
          <w:rFonts w:ascii="Calibri" w:eastAsia="Cambria" w:hAnsi="Calibri"/>
          <w:sz w:val="20"/>
          <w:szCs w:val="20"/>
        </w:rPr>
        <w:t xml:space="preserve">MAJWG.  As of November 2009, this program had reached almost 150,000 beneficiaries </w:t>
      </w:r>
      <w:r>
        <w:rPr>
          <w:rFonts w:ascii="Calibri" w:eastAsia="Cambria" w:hAnsi="Calibri"/>
          <w:sz w:val="20"/>
          <w:szCs w:val="20"/>
        </w:rPr>
        <w:t xml:space="preserve">via </w:t>
      </w:r>
      <w:r w:rsidRPr="00D61C8A">
        <w:rPr>
          <w:rFonts w:ascii="Calibri" w:eastAsia="Cambria" w:hAnsi="Calibri"/>
          <w:sz w:val="20"/>
          <w:szCs w:val="20"/>
        </w:rPr>
        <w:t xml:space="preserve">schools, communities, and </w:t>
      </w:r>
      <w:r>
        <w:rPr>
          <w:rFonts w:ascii="Calibri" w:eastAsia="Cambria" w:hAnsi="Calibri"/>
          <w:sz w:val="20"/>
          <w:szCs w:val="20"/>
        </w:rPr>
        <w:t>the NRCS network.</w:t>
      </w:r>
      <w:r w:rsidRPr="00D61C8A">
        <w:rPr>
          <w:rFonts w:ascii="Calibri" w:eastAsia="Cambria" w:hAnsi="Calibri"/>
          <w:sz w:val="22"/>
          <w:szCs w:val="22"/>
          <w:vertAlign w:val="superscript"/>
        </w:rPr>
        <w:endnoteReference w:id="245"/>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NRCS started conducting MRE trainings in the 10 districts with the most reported VAE injuries in 2005.  It scaled up its coverage to 20 districts in 2006 and 46 in 2007, then reduced coverage to 30 districts in 2008 and 20 in 2009.</w:t>
      </w:r>
      <w:r w:rsidRPr="00D61C8A">
        <w:rPr>
          <w:rFonts w:ascii="Calibri" w:eastAsia="Cambria" w:hAnsi="Calibri"/>
          <w:sz w:val="22"/>
          <w:szCs w:val="22"/>
          <w:vertAlign w:val="superscript"/>
        </w:rPr>
        <w:endnoteReference w:id="246"/>
      </w:r>
      <w:r w:rsidRPr="00D61C8A">
        <w:rPr>
          <w:rFonts w:ascii="Calibri" w:eastAsia="Cambria" w:hAnsi="Calibri"/>
          <w:sz w:val="20"/>
          <w:szCs w:val="20"/>
        </w:rPr>
        <w:t xml:space="preserve">  NRCS plans to conduct regular MRE </w:t>
      </w:r>
      <w:r>
        <w:rPr>
          <w:rFonts w:ascii="Calibri" w:eastAsia="Cambria" w:hAnsi="Calibri"/>
          <w:sz w:val="20"/>
          <w:szCs w:val="20"/>
        </w:rPr>
        <w:t xml:space="preserve">trainings </w:t>
      </w:r>
      <w:r w:rsidRPr="00D61C8A">
        <w:rPr>
          <w:rFonts w:ascii="Calibri" w:eastAsia="Cambria" w:hAnsi="Calibri"/>
          <w:sz w:val="20"/>
          <w:szCs w:val="20"/>
        </w:rPr>
        <w:t>in 10 districts in 2010.</w:t>
      </w:r>
      <w:r w:rsidRPr="00D61C8A">
        <w:rPr>
          <w:rFonts w:ascii="Calibri" w:eastAsia="Cambria" w:hAnsi="Calibri"/>
          <w:sz w:val="22"/>
          <w:szCs w:val="22"/>
          <w:vertAlign w:val="superscript"/>
        </w:rPr>
        <w:endnoteReference w:id="247"/>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 xml:space="preserve">NRCS selects districts based on INSEC incident and </w:t>
      </w:r>
      <w:r>
        <w:rPr>
          <w:rFonts w:ascii="Calibri" w:eastAsia="Cambria" w:hAnsi="Calibri"/>
          <w:sz w:val="20"/>
          <w:szCs w:val="20"/>
        </w:rPr>
        <w:t xml:space="preserve">injury </w:t>
      </w:r>
      <w:r w:rsidRPr="00D61C8A">
        <w:rPr>
          <w:rFonts w:ascii="Calibri" w:eastAsia="Cambria" w:hAnsi="Calibri"/>
          <w:sz w:val="20"/>
          <w:szCs w:val="20"/>
        </w:rPr>
        <w:t>statistics, locations of high-risk areas such as Maoist cantonments</w:t>
      </w:r>
      <w:r w:rsidRPr="00D61C8A">
        <w:rPr>
          <w:rFonts w:ascii="Calibri" w:eastAsia="Cambria" w:hAnsi="Calibri"/>
          <w:sz w:val="22"/>
          <w:szCs w:val="22"/>
          <w:vertAlign w:val="superscript"/>
        </w:rPr>
        <w:endnoteReference w:id="248"/>
      </w:r>
      <w:r w:rsidRPr="00D61C8A">
        <w:rPr>
          <w:rFonts w:ascii="Calibri" w:eastAsia="Cambria" w:hAnsi="Calibri"/>
          <w:sz w:val="20"/>
          <w:szCs w:val="20"/>
        </w:rPr>
        <w:t xml:space="preserve"> and existing NRCS volunteer networks.</w:t>
      </w:r>
      <w:r w:rsidRPr="00D61C8A">
        <w:rPr>
          <w:rFonts w:ascii="Calibri" w:eastAsia="Cambria" w:hAnsi="Calibri"/>
          <w:sz w:val="22"/>
          <w:szCs w:val="22"/>
          <w:vertAlign w:val="superscript"/>
        </w:rPr>
        <w:endnoteReference w:id="249"/>
      </w:r>
      <w:r w:rsidRPr="00D61C8A">
        <w:rPr>
          <w:rFonts w:ascii="Calibri" w:eastAsia="Cambria" w:hAnsi="Calibri"/>
          <w:sz w:val="20"/>
          <w:szCs w:val="20"/>
        </w:rPr>
        <w:t xml:space="preserve">  NRCS focal points choose villages within their districts,</w:t>
      </w:r>
      <w:r w:rsidRPr="00D61C8A">
        <w:rPr>
          <w:rFonts w:ascii="Calibri" w:eastAsia="Cambria" w:hAnsi="Calibri"/>
          <w:sz w:val="22"/>
          <w:szCs w:val="22"/>
          <w:vertAlign w:val="superscript"/>
        </w:rPr>
        <w:endnoteReference w:id="250"/>
      </w:r>
      <w:r w:rsidRPr="00D61C8A">
        <w:rPr>
          <w:rFonts w:ascii="Calibri" w:eastAsia="Cambria" w:hAnsi="Calibri"/>
          <w:sz w:val="20"/>
          <w:szCs w:val="20"/>
        </w:rPr>
        <w:t xml:space="preserve"> coordinating selection with </w:t>
      </w:r>
      <w:r>
        <w:rPr>
          <w:rFonts w:ascii="Calibri" w:eastAsia="Cambria" w:hAnsi="Calibri"/>
          <w:sz w:val="20"/>
          <w:szCs w:val="20"/>
        </w:rPr>
        <w:t xml:space="preserve">the </w:t>
      </w:r>
      <w:r w:rsidRPr="00D61C8A">
        <w:rPr>
          <w:rFonts w:ascii="Calibri" w:eastAsia="Cambria" w:hAnsi="Calibri"/>
          <w:sz w:val="20"/>
          <w:szCs w:val="20"/>
        </w:rPr>
        <w:t>MAJWG to avoid duplication of activities in districts in which multiple partners are conducting MRE activities.</w:t>
      </w:r>
      <w:r w:rsidRPr="00D61C8A">
        <w:rPr>
          <w:rFonts w:ascii="Calibri" w:eastAsia="Cambria" w:hAnsi="Calibri"/>
          <w:sz w:val="22"/>
          <w:szCs w:val="22"/>
          <w:vertAlign w:val="superscript"/>
        </w:rPr>
        <w:endnoteReference w:id="251"/>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NRCS maintains chapters and active networks in each of Nepal’s 75 districts.</w:t>
      </w:r>
      <w:r w:rsidRPr="00D61C8A">
        <w:rPr>
          <w:rFonts w:ascii="Calibri" w:eastAsia="Cambria" w:hAnsi="Calibri"/>
          <w:sz w:val="22"/>
          <w:szCs w:val="22"/>
          <w:vertAlign w:val="superscript"/>
        </w:rPr>
        <w:endnoteReference w:id="252"/>
      </w:r>
      <w:r w:rsidRPr="00D61C8A">
        <w:rPr>
          <w:rFonts w:ascii="Calibri" w:eastAsia="Cambria" w:hAnsi="Calibri"/>
          <w:sz w:val="20"/>
          <w:szCs w:val="20"/>
        </w:rPr>
        <w:t xml:space="preserve">  In each district </w:t>
      </w:r>
      <w:r>
        <w:rPr>
          <w:rFonts w:ascii="Calibri" w:eastAsia="Cambria" w:hAnsi="Calibri"/>
          <w:sz w:val="20"/>
          <w:szCs w:val="20"/>
        </w:rPr>
        <w:t>where MRE activities are conducted</w:t>
      </w:r>
      <w:r w:rsidRPr="00D61C8A">
        <w:rPr>
          <w:rFonts w:ascii="Calibri" w:eastAsia="Cambria" w:hAnsi="Calibri"/>
          <w:sz w:val="20"/>
          <w:szCs w:val="20"/>
        </w:rPr>
        <w:t>, two focal points (one female and one male)</w:t>
      </w:r>
      <w:r w:rsidRPr="00D61C8A">
        <w:rPr>
          <w:rFonts w:ascii="Calibri" w:eastAsia="Cambria" w:hAnsi="Calibri"/>
          <w:sz w:val="22"/>
          <w:szCs w:val="22"/>
          <w:vertAlign w:val="superscript"/>
        </w:rPr>
        <w:endnoteReference w:id="253"/>
      </w:r>
      <w:r w:rsidRPr="00D61C8A">
        <w:rPr>
          <w:rFonts w:ascii="Calibri" w:eastAsia="Cambria" w:hAnsi="Calibri"/>
          <w:sz w:val="20"/>
          <w:szCs w:val="20"/>
        </w:rPr>
        <w:t xml:space="preserve"> are selected from district chapters </w:t>
      </w:r>
      <w:r>
        <w:rPr>
          <w:rFonts w:ascii="Calibri" w:eastAsia="Cambria" w:hAnsi="Calibri"/>
          <w:sz w:val="20"/>
          <w:szCs w:val="20"/>
        </w:rPr>
        <w:t>according to</w:t>
      </w:r>
      <w:r w:rsidRPr="00D61C8A">
        <w:rPr>
          <w:rFonts w:ascii="Calibri" w:eastAsia="Cambria" w:hAnsi="Calibri"/>
          <w:sz w:val="20"/>
          <w:szCs w:val="20"/>
        </w:rPr>
        <w:t xml:space="preserve"> criteria designed by the NRCS MRE focal point in Kathmandu</w:t>
      </w:r>
      <w:r>
        <w:rPr>
          <w:rFonts w:ascii="Calibri" w:eastAsia="Cambria" w:hAnsi="Calibri"/>
          <w:sz w:val="20"/>
          <w:szCs w:val="20"/>
        </w:rPr>
        <w:t xml:space="preserve"> and in</w:t>
      </w:r>
      <w:r w:rsidRPr="00D61C8A">
        <w:rPr>
          <w:rFonts w:ascii="Calibri" w:eastAsia="Cambria" w:hAnsi="Calibri"/>
          <w:sz w:val="20"/>
          <w:szCs w:val="20"/>
        </w:rPr>
        <w:t xml:space="preserve"> coordination with ICRC.</w:t>
      </w:r>
      <w:r w:rsidRPr="00D61C8A">
        <w:rPr>
          <w:rFonts w:ascii="Calibri" w:eastAsia="Cambria" w:hAnsi="Calibri"/>
          <w:sz w:val="22"/>
          <w:szCs w:val="22"/>
          <w:vertAlign w:val="superscript"/>
        </w:rPr>
        <w:endnoteReference w:id="254"/>
      </w:r>
      <w:r w:rsidRPr="00D61C8A">
        <w:rPr>
          <w:rFonts w:ascii="Calibri" w:eastAsia="Cambria" w:hAnsi="Calibri"/>
          <w:sz w:val="20"/>
          <w:szCs w:val="20"/>
        </w:rPr>
        <w:t xml:space="preserve">  Focal points are often “youth trainers”, 18- to 30-year-olds who volunteer in NRCS circles in communities, schools and colleges.</w:t>
      </w:r>
      <w:r w:rsidRPr="00D61C8A">
        <w:rPr>
          <w:rFonts w:ascii="Calibri" w:eastAsia="Cambria" w:hAnsi="Calibri"/>
          <w:sz w:val="22"/>
          <w:szCs w:val="22"/>
          <w:vertAlign w:val="superscript"/>
        </w:rPr>
        <w:endnoteReference w:id="255"/>
      </w:r>
      <w:r w:rsidRPr="00D61C8A">
        <w:rPr>
          <w:rFonts w:ascii="Calibri" w:eastAsia="Cambria" w:hAnsi="Calibri"/>
          <w:sz w:val="20"/>
          <w:szCs w:val="20"/>
        </w:rPr>
        <w:t xml:space="preserve">  Focal points</w:t>
      </w:r>
      <w:r>
        <w:rPr>
          <w:rFonts w:ascii="Calibri" w:eastAsia="Cambria" w:hAnsi="Calibri"/>
          <w:sz w:val="20"/>
          <w:szCs w:val="20"/>
        </w:rPr>
        <w:t xml:space="preserve"> </w:t>
      </w:r>
      <w:r w:rsidRPr="00D61C8A">
        <w:rPr>
          <w:rFonts w:ascii="Calibri" w:eastAsia="Cambria" w:hAnsi="Calibri"/>
          <w:sz w:val="20"/>
          <w:szCs w:val="20"/>
        </w:rPr>
        <w:t>must commit to worki</w:t>
      </w:r>
      <w:r>
        <w:rPr>
          <w:rFonts w:ascii="Calibri" w:eastAsia="Cambria" w:hAnsi="Calibri"/>
          <w:sz w:val="20"/>
          <w:szCs w:val="20"/>
        </w:rPr>
        <w:t xml:space="preserve">ng </w:t>
      </w:r>
      <w:r w:rsidRPr="00D61C8A">
        <w:rPr>
          <w:rFonts w:ascii="Calibri" w:eastAsia="Cambria" w:hAnsi="Calibri"/>
          <w:sz w:val="20"/>
          <w:szCs w:val="20"/>
        </w:rPr>
        <w:t>at least one year following training.</w:t>
      </w:r>
      <w:r w:rsidRPr="00D61C8A">
        <w:rPr>
          <w:rFonts w:ascii="Calibri" w:eastAsia="Cambria" w:hAnsi="Calibri"/>
          <w:sz w:val="22"/>
          <w:szCs w:val="22"/>
          <w:vertAlign w:val="superscript"/>
        </w:rPr>
        <w:endnoteReference w:id="256"/>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 xml:space="preserve">Each MRE focal point is obligated to conduct at least three sessions per month; this </w:t>
      </w:r>
      <w:r>
        <w:rPr>
          <w:rFonts w:ascii="Calibri" w:eastAsia="Cambria" w:hAnsi="Calibri"/>
          <w:sz w:val="20"/>
          <w:szCs w:val="20"/>
        </w:rPr>
        <w:t>en</w:t>
      </w:r>
      <w:r w:rsidRPr="00D61C8A">
        <w:rPr>
          <w:rFonts w:ascii="Calibri" w:eastAsia="Cambria" w:hAnsi="Calibri"/>
          <w:sz w:val="20"/>
          <w:szCs w:val="20"/>
        </w:rPr>
        <w:t xml:space="preserve">sures that a minimum of six sessions per month and 72 per year are conducted in each selected district.  Of these three sessions, two are conducted in communities and one is conducted in a school.  Focal points </w:t>
      </w:r>
      <w:r>
        <w:rPr>
          <w:rFonts w:ascii="Calibri" w:eastAsia="Cambria" w:hAnsi="Calibri"/>
          <w:sz w:val="20"/>
          <w:szCs w:val="20"/>
        </w:rPr>
        <w:t>en</w:t>
      </w:r>
      <w:r w:rsidRPr="00D61C8A">
        <w:rPr>
          <w:rFonts w:ascii="Calibri" w:eastAsia="Cambria" w:hAnsi="Calibri"/>
          <w:sz w:val="20"/>
          <w:szCs w:val="20"/>
        </w:rPr>
        <w:t>sure that selected schools and communities have not already received MRE training.</w:t>
      </w:r>
      <w:r w:rsidRPr="00D61C8A">
        <w:rPr>
          <w:rFonts w:ascii="Calibri" w:eastAsia="Cambria" w:hAnsi="Calibri"/>
          <w:sz w:val="22"/>
          <w:szCs w:val="22"/>
          <w:vertAlign w:val="superscript"/>
        </w:rPr>
        <w:endnoteReference w:id="257"/>
      </w:r>
    </w:p>
    <w:p w:rsidR="00B454FB"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p>
    <w:p w:rsidR="00B454FB" w:rsidRPr="0056074D" w:rsidRDefault="00B454FB" w:rsidP="00B454FB">
      <w:pPr>
        <w:pBdr>
          <w:top w:val="single" w:sz="4" w:space="1" w:color="76923C"/>
          <w:left w:val="single" w:sz="4" w:space="4" w:color="76923C"/>
          <w:bottom w:val="single" w:sz="4" w:space="1" w:color="76923C"/>
          <w:right w:val="single" w:sz="4" w:space="4" w:color="76923C"/>
        </w:pBdr>
        <w:rPr>
          <w:rFonts w:ascii="Calibri" w:eastAsia="Cambria" w:hAnsi="Calibri"/>
          <w:sz w:val="20"/>
          <w:szCs w:val="20"/>
        </w:rPr>
      </w:pPr>
      <w:r w:rsidRPr="00D61C8A">
        <w:rPr>
          <w:rFonts w:ascii="Calibri" w:eastAsia="Cambria" w:hAnsi="Calibri"/>
          <w:sz w:val="20"/>
          <w:szCs w:val="20"/>
        </w:rPr>
        <w:t>Focal points track their activities on monitoring forms</w:t>
      </w:r>
      <w:r w:rsidR="005226B6">
        <w:rPr>
          <w:rFonts w:ascii="Calibri" w:eastAsia="Cambria" w:hAnsi="Calibri"/>
          <w:sz w:val="20"/>
          <w:szCs w:val="20"/>
        </w:rPr>
        <w:t>,</w:t>
      </w:r>
      <w:r w:rsidRPr="00D61C8A">
        <w:rPr>
          <w:rFonts w:ascii="Calibri" w:eastAsia="Cambria" w:hAnsi="Calibri"/>
          <w:sz w:val="20"/>
          <w:szCs w:val="20"/>
        </w:rPr>
        <w:t xml:space="preserve"> which they send to their respective NRCS district chapters every three months.</w:t>
      </w:r>
      <w:r w:rsidRPr="00D61C8A">
        <w:rPr>
          <w:rFonts w:ascii="Calibri" w:eastAsia="Cambria" w:hAnsi="Calibri"/>
          <w:sz w:val="22"/>
          <w:szCs w:val="22"/>
          <w:vertAlign w:val="superscript"/>
        </w:rPr>
        <w:endnoteReference w:id="258"/>
      </w:r>
      <w:r w:rsidRPr="00D61C8A">
        <w:rPr>
          <w:rFonts w:ascii="Calibri" w:eastAsia="Cambria" w:hAnsi="Calibri"/>
          <w:sz w:val="20"/>
          <w:szCs w:val="20"/>
        </w:rPr>
        <w:t xml:space="preserve">  </w:t>
      </w:r>
      <w:r>
        <w:rPr>
          <w:rFonts w:ascii="Calibri" w:eastAsia="Cambria" w:hAnsi="Calibri"/>
          <w:sz w:val="20"/>
          <w:szCs w:val="20"/>
        </w:rPr>
        <w:t>District chapter p</w:t>
      </w:r>
      <w:r w:rsidRPr="00D61C8A">
        <w:rPr>
          <w:rFonts w:ascii="Calibri" w:eastAsia="Cambria" w:hAnsi="Calibri"/>
          <w:sz w:val="20"/>
          <w:szCs w:val="20"/>
        </w:rPr>
        <w:t xml:space="preserve">ersonnel keep one copy of each form and send original forms to </w:t>
      </w:r>
      <w:r>
        <w:rPr>
          <w:rFonts w:ascii="Calibri" w:eastAsia="Cambria" w:hAnsi="Calibri"/>
          <w:sz w:val="20"/>
          <w:szCs w:val="20"/>
        </w:rPr>
        <w:t>NRCS headquarters in Kathmandu</w:t>
      </w:r>
      <w:r w:rsidRPr="00D61C8A">
        <w:rPr>
          <w:rFonts w:ascii="Calibri" w:eastAsia="Cambria" w:hAnsi="Calibri"/>
          <w:sz w:val="20"/>
          <w:szCs w:val="20"/>
        </w:rPr>
        <w:t>.</w:t>
      </w:r>
      <w:r w:rsidRPr="00D61C8A">
        <w:rPr>
          <w:rFonts w:ascii="Calibri" w:eastAsia="Cambria" w:hAnsi="Calibri"/>
          <w:sz w:val="22"/>
          <w:szCs w:val="22"/>
          <w:vertAlign w:val="superscript"/>
        </w:rPr>
        <w:endnoteReference w:id="259"/>
      </w:r>
      <w:r>
        <w:rPr>
          <w:rFonts w:ascii="Calibri" w:eastAsia="Cambria" w:hAnsi="Calibri"/>
          <w:sz w:val="20"/>
          <w:szCs w:val="20"/>
        </w:rPr>
        <w:t xml:space="preserve">  The NRCS MRE focal point in Kathmandu shares forms with the UNICEF monitoring officer for incorporation into monitoring and mapping activities and reports to the MAJWG about NRCS MRE activities.</w:t>
      </w:r>
    </w:p>
    <w:p w:rsidR="00B454FB" w:rsidRPr="00D61C8A" w:rsidRDefault="00B454FB" w:rsidP="00B454FB">
      <w:pPr>
        <w:pStyle w:val="CommentText"/>
        <w:rPr>
          <w:rFonts w:ascii="Calibri" w:eastAsia="Cambria" w:hAnsi="Calibri"/>
        </w:rPr>
      </w:pPr>
    </w:p>
    <w:p w:rsidR="00B454FB" w:rsidRPr="00371021" w:rsidRDefault="00B454FB" w:rsidP="00B454FB">
      <w:pPr>
        <w:tabs>
          <w:tab w:val="left" w:pos="3366"/>
        </w:tabs>
        <w:spacing w:line="276" w:lineRule="auto"/>
        <w:rPr>
          <w:rFonts w:ascii="Calibri" w:eastAsia="Cambria" w:hAnsi="Calibri"/>
          <w:sz w:val="20"/>
          <w:szCs w:val="20"/>
        </w:rPr>
      </w:pPr>
      <w:r w:rsidRPr="00371021">
        <w:rPr>
          <w:rFonts w:ascii="Calibri" w:eastAsia="Cambria" w:hAnsi="Calibri"/>
          <w:sz w:val="20"/>
          <w:szCs w:val="20"/>
        </w:rPr>
        <w:t>Regular MRE trainings are also conducted by all three government security forces – the NA, APF and Nepal Police.  The 14</w:t>
      </w:r>
      <w:r w:rsidRPr="00371021">
        <w:rPr>
          <w:rFonts w:ascii="Calibri" w:eastAsia="Cambria" w:hAnsi="Calibri"/>
          <w:sz w:val="20"/>
          <w:szCs w:val="20"/>
          <w:vertAlign w:val="superscript"/>
        </w:rPr>
        <w:t>th</w:t>
      </w:r>
      <w:r w:rsidRPr="00371021">
        <w:rPr>
          <w:rFonts w:ascii="Calibri" w:eastAsia="Cambria" w:hAnsi="Calibri"/>
          <w:sz w:val="20"/>
          <w:szCs w:val="20"/>
        </w:rPr>
        <w:t xml:space="preserve"> Battalion of the NA,</w:t>
      </w:r>
      <w:r w:rsidRPr="00371021">
        <w:rPr>
          <w:rFonts w:ascii="Calibri" w:eastAsia="Cambria" w:hAnsi="Calibri"/>
          <w:sz w:val="20"/>
          <w:szCs w:val="20"/>
          <w:vertAlign w:val="superscript"/>
        </w:rPr>
        <w:endnoteReference w:id="260"/>
      </w:r>
      <w:r w:rsidRPr="00371021">
        <w:rPr>
          <w:rFonts w:ascii="Calibri" w:eastAsia="Cambria" w:hAnsi="Calibri"/>
          <w:sz w:val="20"/>
          <w:szCs w:val="20"/>
        </w:rPr>
        <w:t xml:space="preserve"> for example, began conducting MRE activities in 2007 with training and materials from UNICEF.</w:t>
      </w:r>
      <w:r w:rsidRPr="00371021">
        <w:rPr>
          <w:rFonts w:ascii="Calibri" w:eastAsia="Cambria" w:hAnsi="Calibri"/>
          <w:sz w:val="20"/>
          <w:szCs w:val="20"/>
          <w:vertAlign w:val="superscript"/>
        </w:rPr>
        <w:endnoteReference w:id="261"/>
      </w:r>
      <w:r w:rsidRPr="00371021">
        <w:rPr>
          <w:rFonts w:ascii="Calibri" w:eastAsia="Cambria" w:hAnsi="Calibri"/>
          <w:sz w:val="20"/>
          <w:szCs w:val="20"/>
        </w:rPr>
        <w:t xml:space="preserve">  The NA conducts MRE in communities near all landmine and IED fields before, during and after demining and clearance activities; </w:t>
      </w:r>
      <w:r w:rsidRPr="00371021">
        <w:rPr>
          <w:rFonts w:ascii="Calibri" w:eastAsia="Cambria" w:hAnsi="Calibri"/>
          <w:sz w:val="20"/>
          <w:szCs w:val="20"/>
          <w:vertAlign w:val="superscript"/>
        </w:rPr>
        <w:endnoteReference w:id="262"/>
      </w:r>
      <w:r w:rsidRPr="00371021">
        <w:rPr>
          <w:rFonts w:ascii="Calibri" w:eastAsia="Cambria" w:hAnsi="Calibri"/>
          <w:sz w:val="20"/>
          <w:szCs w:val="20"/>
        </w:rPr>
        <w:t xml:space="preserve"> as of November 2009 it had administered MRE to 21,565 people in 84 locations.  During MRE sessions, NA personnel try to interact positively with communities and dispel fears of reporting.</w:t>
      </w:r>
      <w:r w:rsidRPr="00371021">
        <w:rPr>
          <w:rFonts w:ascii="Calibri" w:eastAsia="Cambria" w:hAnsi="Calibri"/>
          <w:sz w:val="20"/>
          <w:szCs w:val="20"/>
          <w:vertAlign w:val="superscript"/>
        </w:rPr>
        <w:endnoteReference w:id="263"/>
      </w:r>
    </w:p>
    <w:p w:rsidR="00B454FB" w:rsidRPr="00371021" w:rsidRDefault="00B454FB" w:rsidP="00B454FB">
      <w:pPr>
        <w:spacing w:line="276" w:lineRule="auto"/>
        <w:rPr>
          <w:rFonts w:ascii="Calibri" w:eastAsia="Cambria" w:hAnsi="Calibri"/>
          <w:sz w:val="20"/>
          <w:szCs w:val="20"/>
        </w:rPr>
      </w:pPr>
    </w:p>
    <w:p w:rsidR="00B454FB" w:rsidRPr="00371021" w:rsidRDefault="00B454FB" w:rsidP="00B454FB">
      <w:pPr>
        <w:spacing w:line="276" w:lineRule="auto"/>
        <w:rPr>
          <w:rFonts w:ascii="Calibri" w:eastAsia="Cambria" w:hAnsi="Calibri"/>
          <w:sz w:val="20"/>
          <w:szCs w:val="20"/>
        </w:rPr>
      </w:pPr>
      <w:r w:rsidRPr="00371021">
        <w:rPr>
          <w:rFonts w:ascii="Calibri" w:eastAsia="Cambria" w:hAnsi="Calibri"/>
          <w:sz w:val="20"/>
          <w:szCs w:val="20"/>
        </w:rPr>
        <w:t xml:space="preserve">Some stand-alone MRE activities target specific populations.  </w:t>
      </w:r>
      <w:r w:rsidRPr="00371021">
        <w:rPr>
          <w:rFonts w:ascii="Calibri" w:hAnsi="Calibri"/>
          <w:sz w:val="20"/>
          <w:szCs w:val="20"/>
        </w:rPr>
        <w:t>UNICEF conducts MRE briefings for new personnel at government agencies, UN organizations and NGOs.  In 2007, for example, UNICEF provided safety briefings to 253 UNMIN staff members.</w:t>
      </w:r>
      <w:r w:rsidRPr="00371021">
        <w:rPr>
          <w:rFonts w:ascii="Calibri" w:hAnsi="Calibri"/>
          <w:sz w:val="20"/>
          <w:szCs w:val="20"/>
          <w:vertAlign w:val="superscript"/>
        </w:rPr>
        <w:endnoteReference w:id="264"/>
      </w:r>
      <w:r w:rsidRPr="00371021">
        <w:rPr>
          <w:rFonts w:ascii="Calibri" w:hAnsi="Calibri"/>
          <w:sz w:val="20"/>
          <w:szCs w:val="20"/>
        </w:rPr>
        <w:t xml:space="preserve">  The 2009 UNICEF Annual Work Plan</w:t>
      </w:r>
      <w:r w:rsidRPr="00371021">
        <w:rPr>
          <w:rStyle w:val="EndnoteReference"/>
          <w:rFonts w:ascii="Calibri" w:hAnsi="Calibri"/>
          <w:sz w:val="20"/>
          <w:szCs w:val="20"/>
        </w:rPr>
        <w:endnoteReference w:id="265"/>
      </w:r>
      <w:r w:rsidRPr="00371021">
        <w:rPr>
          <w:rFonts w:ascii="Calibri" w:hAnsi="Calibri"/>
          <w:sz w:val="20"/>
          <w:szCs w:val="20"/>
        </w:rPr>
        <w:t xml:space="preserve"> specifically mentions trainings for police constables; although such trainings were not funded or conducted in 2009, they may be conducted in 2010.  Some trainings of police constables have been conducted in the past; Landmine Monitor reported in 2007 that at least 330 recruits had received MRE training and materials.</w:t>
      </w:r>
      <w:r w:rsidRPr="00371021">
        <w:rPr>
          <w:rFonts w:ascii="Calibri" w:hAnsi="Calibri"/>
          <w:sz w:val="20"/>
          <w:szCs w:val="20"/>
          <w:vertAlign w:val="superscript"/>
        </w:rPr>
        <w:endnoteReference w:id="266"/>
      </w:r>
    </w:p>
    <w:p w:rsidR="00B454FB" w:rsidRPr="00371021" w:rsidRDefault="00B454FB" w:rsidP="00B454FB">
      <w:pPr>
        <w:rPr>
          <w:rFonts w:ascii="Calibri" w:eastAsia="Cambria" w:hAnsi="Calibri"/>
          <w:sz w:val="20"/>
          <w:szCs w:val="20"/>
        </w:rPr>
      </w:pPr>
    </w:p>
    <w:p w:rsidR="00B454FB" w:rsidRPr="00371021" w:rsidRDefault="00B454FB" w:rsidP="00B454FB">
      <w:pPr>
        <w:rPr>
          <w:rFonts w:ascii="Calibri" w:eastAsia="Cambria" w:hAnsi="Calibri"/>
          <w:sz w:val="20"/>
          <w:szCs w:val="20"/>
        </w:rPr>
      </w:pPr>
      <w:r w:rsidRPr="00371021">
        <w:rPr>
          <w:rFonts w:ascii="Calibri" w:eastAsia="Cambria" w:hAnsi="Calibri"/>
          <w:sz w:val="20"/>
          <w:szCs w:val="20"/>
        </w:rPr>
        <w:lastRenderedPageBreak/>
        <w:t>Other regular MRE activities are infused in ongoing educational or social activities.  UNICEF has integrated MRE activities into its Children Associated with Armed Forces and Armed Groups and peace-building programs</w:t>
      </w:r>
      <w:r w:rsidRPr="00371021">
        <w:rPr>
          <w:rFonts w:ascii="Calibri" w:eastAsia="Cambria" w:hAnsi="Calibri"/>
          <w:sz w:val="20"/>
          <w:szCs w:val="20"/>
          <w:vertAlign w:val="superscript"/>
        </w:rPr>
        <w:endnoteReference w:id="267"/>
      </w:r>
      <w:r w:rsidRPr="00371021">
        <w:rPr>
          <w:rFonts w:ascii="Calibri" w:eastAsia="Cambria" w:hAnsi="Calibri"/>
          <w:sz w:val="20"/>
          <w:szCs w:val="20"/>
        </w:rPr>
        <w:t xml:space="preserve"> and is considering including MRE in its Life Skills Project and paralegal manual.</w:t>
      </w:r>
      <w:r w:rsidRPr="00371021">
        <w:rPr>
          <w:rFonts w:ascii="Calibri" w:eastAsia="Cambria" w:hAnsi="Calibri"/>
          <w:sz w:val="20"/>
          <w:szCs w:val="20"/>
          <w:vertAlign w:val="superscript"/>
        </w:rPr>
        <w:endnoteReference w:id="268"/>
      </w:r>
      <w:r w:rsidRPr="00371021">
        <w:rPr>
          <w:rFonts w:ascii="Calibri" w:eastAsia="Cambria" w:hAnsi="Calibri"/>
          <w:sz w:val="20"/>
          <w:szCs w:val="20"/>
        </w:rPr>
        <w:t xml:space="preserve">  MRE activities have also been integrated into existing programs for journalists,</w:t>
      </w:r>
      <w:r w:rsidRPr="00371021">
        <w:rPr>
          <w:rFonts w:ascii="Calibri" w:eastAsia="Cambria" w:hAnsi="Calibri"/>
          <w:sz w:val="20"/>
          <w:szCs w:val="20"/>
          <w:vertAlign w:val="superscript"/>
        </w:rPr>
        <w:endnoteReference w:id="269"/>
      </w:r>
      <w:r w:rsidRPr="00371021">
        <w:rPr>
          <w:rFonts w:ascii="Calibri" w:eastAsia="Cambria" w:hAnsi="Calibri"/>
          <w:sz w:val="20"/>
          <w:szCs w:val="20"/>
        </w:rPr>
        <w:t xml:space="preserve"> college students and illiterate women.</w:t>
      </w:r>
      <w:r w:rsidRPr="00371021">
        <w:rPr>
          <w:rFonts w:ascii="Calibri" w:eastAsia="Cambria" w:hAnsi="Calibri"/>
          <w:sz w:val="20"/>
          <w:szCs w:val="20"/>
          <w:vertAlign w:val="superscript"/>
        </w:rPr>
        <w:endnoteReference w:id="270"/>
      </w:r>
      <w:r w:rsidRPr="00371021">
        <w:rPr>
          <w:rFonts w:ascii="Calibri" w:eastAsia="Cambria" w:hAnsi="Calibri"/>
          <w:sz w:val="20"/>
          <w:szCs w:val="20"/>
        </w:rPr>
        <w:t xml:space="preserve">  HimRights has integrated MA into its Children and Armed Conflict program.</w:t>
      </w:r>
      <w:r w:rsidRPr="00371021">
        <w:rPr>
          <w:rFonts w:ascii="Calibri" w:eastAsia="Cambria" w:hAnsi="Calibri"/>
          <w:sz w:val="20"/>
          <w:szCs w:val="20"/>
          <w:vertAlign w:val="superscript"/>
        </w:rPr>
        <w:endnoteReference w:id="271"/>
      </w:r>
      <w:r w:rsidRPr="00371021">
        <w:rPr>
          <w:rFonts w:ascii="Calibri" w:eastAsia="Cambria" w:hAnsi="Calibri"/>
          <w:sz w:val="20"/>
          <w:szCs w:val="20"/>
        </w:rPr>
        <w:t xml:space="preserve">  Some organizations that are not currently conducting MRE activities, such as the Nepal National Dalit Social Welfare Organization, have expressed interest in integrating MRE activities into ongoing programs.</w:t>
      </w:r>
      <w:r w:rsidRPr="00371021">
        <w:rPr>
          <w:rFonts w:ascii="Calibri" w:eastAsia="Cambria" w:hAnsi="Calibri"/>
          <w:sz w:val="20"/>
          <w:szCs w:val="20"/>
          <w:vertAlign w:val="superscript"/>
        </w:rPr>
        <w:endnoteReference w:id="272"/>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VI.B.2.d</w:t>
      </w:r>
      <w:r>
        <w:rPr>
          <w:rFonts w:ascii="Calibri" w:hAnsi="Calibri"/>
          <w:sz w:val="20"/>
          <w:szCs w:val="20"/>
        </w:rPr>
        <w:tab/>
      </w:r>
      <w:r>
        <w:rPr>
          <w:rFonts w:ascii="Calibri" w:hAnsi="Calibri"/>
          <w:sz w:val="20"/>
          <w:szCs w:val="20"/>
        </w:rPr>
        <w:tab/>
      </w:r>
      <w:r w:rsidRPr="00D61C8A">
        <w:rPr>
          <w:rFonts w:ascii="Calibri" w:hAnsi="Calibri"/>
          <w:sz w:val="20"/>
          <w:szCs w:val="20"/>
        </w:rPr>
        <w:t>Coordination of systematic MRE</w:t>
      </w:r>
    </w:p>
    <w:p w:rsidR="00B454FB" w:rsidRPr="00D61C8A" w:rsidRDefault="00B454FB" w:rsidP="00B454FB">
      <w:pPr>
        <w:rPr>
          <w:rFonts w:ascii="Calibri" w:eastAsia="Cambria" w:hAnsi="Calibri"/>
          <w:b/>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i/>
          <w:color w:val="76923C"/>
          <w:sz w:val="20"/>
          <w:szCs w:val="20"/>
        </w:rPr>
      </w:pPr>
      <w:r w:rsidRPr="00D61C8A">
        <w:rPr>
          <w:rFonts w:ascii="Calibri" w:eastAsia="Cambria" w:hAnsi="Calibri"/>
          <w:i/>
          <w:color w:val="76923C"/>
          <w:sz w:val="20"/>
          <w:szCs w:val="20"/>
        </w:rPr>
        <w:t xml:space="preserve">Activity description from UNICEF Annual Work Plan 2008-2009: </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color w:val="76923C"/>
          <w:sz w:val="20"/>
          <w:szCs w:val="20"/>
        </w:rPr>
      </w:pPr>
      <w:r w:rsidRPr="00D61C8A">
        <w:rPr>
          <w:rFonts w:ascii="Calibri" w:eastAsia="Cambria" w:hAnsi="Calibri"/>
          <w:color w:val="76923C"/>
          <w:sz w:val="20"/>
          <w:szCs w:val="20"/>
        </w:rPr>
        <w:t>· “Develop strategies and materials to integrate MRE in schools, child clubs,</w:t>
      </w:r>
      <w:r w:rsidRPr="00D61C8A">
        <w:rPr>
          <w:rFonts w:ascii="Calibri" w:eastAsia="Cambria" w:hAnsi="Calibri"/>
          <w:color w:val="76923C"/>
          <w:sz w:val="20"/>
          <w:vertAlign w:val="superscript"/>
        </w:rPr>
        <w:footnoteReference w:id="16"/>
      </w:r>
      <w:r w:rsidRPr="00D61C8A">
        <w:rPr>
          <w:rFonts w:ascii="Calibri" w:eastAsia="Cambria" w:hAnsi="Calibri"/>
          <w:color w:val="76923C"/>
          <w:sz w:val="20"/>
          <w:szCs w:val="20"/>
        </w:rPr>
        <w:t xml:space="preserve"> and out of school programs with concerned stakeholders.”</w:t>
      </w:r>
      <w:r>
        <w:rPr>
          <w:rStyle w:val="EndnoteReference"/>
          <w:rFonts w:ascii="Calibri" w:hAnsi="Calibri"/>
          <w:color w:val="76923C"/>
          <w:sz w:val="20"/>
          <w:szCs w:val="20"/>
        </w:rPr>
        <w:endnoteReference w:id="273"/>
      </w:r>
    </w:p>
    <w:p w:rsidR="00B454FB" w:rsidRPr="00D61C8A" w:rsidRDefault="00B454FB" w:rsidP="00B454FB">
      <w:pPr>
        <w:rPr>
          <w:rFonts w:ascii="Calibri" w:eastAsia="Cambria" w:hAnsi="Calibri"/>
          <w:b/>
          <w:sz w:val="20"/>
          <w:szCs w:val="20"/>
        </w:rPr>
      </w:pPr>
    </w:p>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Systematic MRE in schools through the government education system</w:t>
      </w:r>
    </w:p>
    <w:p w:rsidR="00B454FB" w:rsidRPr="00D61C8A" w:rsidRDefault="00B454FB" w:rsidP="00B454FB">
      <w:pPr>
        <w:rPr>
          <w:rFonts w:ascii="Calibri" w:eastAsia="Cambria" w:hAnsi="Calibri"/>
          <w:b/>
          <w:sz w:val="20"/>
          <w:szCs w:val="20"/>
        </w:rPr>
      </w:pPr>
    </w:p>
    <w:p w:rsidR="00B454FB" w:rsidRPr="00D61C8A" w:rsidRDefault="00B454FB" w:rsidP="00B454FB">
      <w:pPr>
        <w:rPr>
          <w:rFonts w:ascii="Calibri" w:eastAsia="Cambria" w:hAnsi="Calibri"/>
          <w:b/>
          <w:i/>
          <w:sz w:val="20"/>
          <w:szCs w:val="20"/>
        </w:rPr>
      </w:pPr>
      <w:r w:rsidRPr="00D61C8A">
        <w:rPr>
          <w:rFonts w:ascii="Calibri" w:eastAsia="Cambria" w:hAnsi="Calibri"/>
          <w:sz w:val="20"/>
          <w:szCs w:val="20"/>
        </w:rPr>
        <w:t>Unlike emergency and regular MRE activities, which are conducted in communities via a network of partner organizations, systematic MRE is conducted in schools through the government education system.  UNICEF and the Department of Education (DOE) started systematic MRE in 20 districts</w:t>
      </w:r>
      <w:r w:rsidRPr="00D61C8A">
        <w:rPr>
          <w:rFonts w:ascii="Calibri" w:eastAsia="Cambria" w:hAnsi="Calibri"/>
          <w:sz w:val="20"/>
          <w:vertAlign w:val="superscript"/>
        </w:rPr>
        <w:footnoteReference w:id="17"/>
      </w:r>
      <w:r w:rsidRPr="00D61C8A">
        <w:rPr>
          <w:rFonts w:ascii="Calibri" w:eastAsia="Cambria" w:hAnsi="Calibri"/>
          <w:sz w:val="20"/>
          <w:szCs w:val="20"/>
        </w:rPr>
        <w:t xml:space="preserve"> in 2009,</w:t>
      </w:r>
      <w:r w:rsidRPr="00D61C8A">
        <w:rPr>
          <w:rFonts w:ascii="Calibri" w:eastAsia="Cambria" w:hAnsi="Calibri"/>
          <w:sz w:val="20"/>
          <w:vertAlign w:val="superscript"/>
        </w:rPr>
        <w:endnoteReference w:id="274"/>
      </w:r>
      <w:r w:rsidRPr="00D61C8A">
        <w:rPr>
          <w:rFonts w:ascii="Calibri" w:eastAsia="Cambria" w:hAnsi="Calibri"/>
          <w:sz w:val="20"/>
          <w:szCs w:val="20"/>
        </w:rPr>
        <w:t xml:space="preserve"> reaching an estimated 1000 schools and 500,000 children.  UNICEF and the DOE selected districts based on VAE surveillance system injury data, media reports, and locations of </w:t>
      </w:r>
      <w:r>
        <w:rPr>
          <w:rFonts w:ascii="Calibri" w:eastAsia="Cambria" w:hAnsi="Calibri"/>
          <w:sz w:val="20"/>
          <w:szCs w:val="20"/>
        </w:rPr>
        <w:t>land</w:t>
      </w:r>
      <w:r w:rsidRPr="00D61C8A">
        <w:rPr>
          <w:rFonts w:ascii="Calibri" w:eastAsia="Cambria" w:hAnsi="Calibri"/>
          <w:sz w:val="20"/>
          <w:szCs w:val="20"/>
        </w:rPr>
        <w:t>mine and IED fields.</w:t>
      </w:r>
      <w:r w:rsidRPr="00D61C8A">
        <w:rPr>
          <w:rFonts w:ascii="Calibri" w:eastAsia="Cambria" w:hAnsi="Calibri"/>
          <w:sz w:val="22"/>
          <w:szCs w:val="22"/>
          <w:vertAlign w:val="superscript"/>
        </w:rPr>
        <w:endnoteReference w:id="275"/>
      </w:r>
      <w:r w:rsidRPr="00D61C8A">
        <w:rPr>
          <w:rFonts w:ascii="Calibri" w:eastAsia="Cambria" w:hAnsi="Calibri"/>
          <w:sz w:val="20"/>
          <w:szCs w:val="20"/>
        </w:rPr>
        <w:t xml:space="preserve">  Children in the lower secondary grades (aged </w:t>
      </w:r>
      <w:r>
        <w:rPr>
          <w:rFonts w:ascii="Calibri" w:eastAsia="Cambria" w:hAnsi="Calibri"/>
          <w:sz w:val="20"/>
          <w:szCs w:val="20"/>
        </w:rPr>
        <w:t>11</w:t>
      </w:r>
      <w:r w:rsidRPr="00D61C8A">
        <w:rPr>
          <w:rFonts w:ascii="Calibri" w:eastAsia="Cambria" w:hAnsi="Calibri"/>
          <w:sz w:val="20"/>
          <w:szCs w:val="20"/>
        </w:rPr>
        <w:t xml:space="preserve"> to 1</w:t>
      </w:r>
      <w:r>
        <w:rPr>
          <w:rFonts w:ascii="Calibri" w:eastAsia="Cambria" w:hAnsi="Calibri"/>
          <w:sz w:val="20"/>
          <w:szCs w:val="20"/>
        </w:rPr>
        <w:t>3</w:t>
      </w:r>
      <w:r w:rsidRPr="00D61C8A">
        <w:rPr>
          <w:rFonts w:ascii="Calibri" w:eastAsia="Cambria" w:hAnsi="Calibri"/>
          <w:sz w:val="20"/>
          <w:szCs w:val="20"/>
        </w:rPr>
        <w:t xml:space="preserve"> years) were targeted due to their elevated risk of injury (see summary of 2006-2009 VAE injury surveillance system data in Appendix A.1).  Thus far, systematic MRE arranged by UNICEF and the DOE has focused on regular school classes</w:t>
      </w:r>
      <w:r>
        <w:rPr>
          <w:rFonts w:ascii="Calibri" w:eastAsia="Cambria" w:hAnsi="Calibri"/>
          <w:sz w:val="20"/>
          <w:szCs w:val="20"/>
        </w:rPr>
        <w:t>.  D</w:t>
      </w:r>
      <w:r w:rsidRPr="00D61C8A">
        <w:rPr>
          <w:rFonts w:ascii="Calibri" w:eastAsia="Cambria" w:hAnsi="Calibri"/>
          <w:sz w:val="20"/>
          <w:szCs w:val="20"/>
        </w:rPr>
        <w:t xml:space="preserve">istrict </w:t>
      </w:r>
      <w:r>
        <w:rPr>
          <w:rFonts w:ascii="Calibri" w:eastAsia="Cambria" w:hAnsi="Calibri"/>
          <w:sz w:val="20"/>
          <w:szCs w:val="20"/>
        </w:rPr>
        <w:t>education personnel</w:t>
      </w:r>
      <w:r w:rsidRPr="00D61C8A">
        <w:rPr>
          <w:rFonts w:ascii="Calibri" w:eastAsia="Cambria" w:hAnsi="Calibri"/>
          <w:sz w:val="20"/>
          <w:szCs w:val="20"/>
        </w:rPr>
        <w:t xml:space="preserve"> may also target adult literacy programs, alternative programs for children who are not attending school</w:t>
      </w:r>
      <w:r w:rsidR="005226B6">
        <w:rPr>
          <w:rFonts w:ascii="Calibri" w:eastAsia="Cambria" w:hAnsi="Calibri"/>
          <w:sz w:val="20"/>
          <w:szCs w:val="20"/>
        </w:rPr>
        <w:t>,</w:t>
      </w:r>
      <w:r w:rsidRPr="00D61C8A">
        <w:rPr>
          <w:rFonts w:ascii="Calibri" w:eastAsia="Cambria" w:hAnsi="Calibri"/>
          <w:sz w:val="20"/>
          <w:szCs w:val="20"/>
        </w:rPr>
        <w:t xml:space="preserve"> and child clubs, but these efforts are not systematic.</w:t>
      </w:r>
      <w:r w:rsidRPr="00D61C8A">
        <w:rPr>
          <w:rFonts w:ascii="Calibri" w:eastAsia="Cambria" w:hAnsi="Calibri"/>
          <w:sz w:val="22"/>
          <w:szCs w:val="22"/>
          <w:vertAlign w:val="superscript"/>
        </w:rPr>
        <w:endnoteReference w:id="276"/>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UNICEF decided to implement systematic MRE through the existing government education system, believing that utilizing well-established government networks would be the most eff</w:t>
      </w:r>
      <w:r>
        <w:rPr>
          <w:rFonts w:ascii="Calibri" w:eastAsia="Cambria" w:hAnsi="Calibri"/>
          <w:sz w:val="20"/>
          <w:szCs w:val="20"/>
        </w:rPr>
        <w:t>icient</w:t>
      </w:r>
      <w:r w:rsidRPr="00D61C8A">
        <w:rPr>
          <w:rFonts w:ascii="Calibri" w:eastAsia="Cambria" w:hAnsi="Calibri"/>
          <w:sz w:val="20"/>
          <w:szCs w:val="20"/>
        </w:rPr>
        <w:t xml:space="preserve"> way </w:t>
      </w:r>
      <w:r>
        <w:rPr>
          <w:rFonts w:ascii="Calibri" w:eastAsia="Cambria" w:hAnsi="Calibri"/>
          <w:sz w:val="20"/>
          <w:szCs w:val="20"/>
        </w:rPr>
        <w:t>to</w:t>
      </w:r>
      <w:r w:rsidRPr="00D61C8A">
        <w:rPr>
          <w:rFonts w:ascii="Calibri" w:eastAsia="Cambria" w:hAnsi="Calibri"/>
          <w:sz w:val="20"/>
          <w:szCs w:val="20"/>
        </w:rPr>
        <w:t xml:space="preserve"> introduc</w:t>
      </w:r>
      <w:r>
        <w:rPr>
          <w:rFonts w:ascii="Calibri" w:eastAsia="Cambria" w:hAnsi="Calibri"/>
          <w:sz w:val="20"/>
          <w:szCs w:val="20"/>
        </w:rPr>
        <w:t>e</w:t>
      </w:r>
      <w:r w:rsidRPr="00D61C8A">
        <w:rPr>
          <w:rFonts w:ascii="Calibri" w:eastAsia="Cambria" w:hAnsi="Calibri"/>
          <w:sz w:val="20"/>
          <w:szCs w:val="20"/>
        </w:rPr>
        <w:t xml:space="preserve"> </w:t>
      </w:r>
      <w:r>
        <w:rPr>
          <w:rFonts w:ascii="Calibri" w:eastAsia="Cambria" w:hAnsi="Calibri"/>
          <w:sz w:val="20"/>
          <w:szCs w:val="20"/>
        </w:rPr>
        <w:t>this</w:t>
      </w:r>
      <w:r w:rsidRPr="00D61C8A">
        <w:rPr>
          <w:rFonts w:ascii="Calibri" w:eastAsia="Cambria" w:hAnsi="Calibri"/>
          <w:sz w:val="20"/>
          <w:szCs w:val="20"/>
        </w:rPr>
        <w:t xml:space="preserve"> new topic in schools.</w:t>
      </w:r>
      <w:r w:rsidRPr="00D61C8A">
        <w:rPr>
          <w:rFonts w:ascii="Calibri" w:eastAsia="Cambria" w:hAnsi="Calibri"/>
          <w:sz w:val="22"/>
          <w:szCs w:val="22"/>
          <w:vertAlign w:val="superscript"/>
        </w:rPr>
        <w:endnoteReference w:id="277"/>
      </w:r>
      <w:r>
        <w:rPr>
          <w:rFonts w:ascii="Calibri" w:eastAsia="Cambria" w:hAnsi="Calibri"/>
          <w:sz w:val="20"/>
          <w:szCs w:val="20"/>
        </w:rPr>
        <w:t xml:space="preserve">  Government education personnel involved in systematic MRE are described in Figure 6.</w:t>
      </w:r>
    </w:p>
    <w:p w:rsidR="00B454FB" w:rsidRPr="00D61C8A" w:rsidRDefault="00B454FB" w:rsidP="00B454FB">
      <w:pPr>
        <w:rPr>
          <w:rFonts w:ascii="Calibri" w:eastAsia="Cambria" w:hAnsi="Calibri"/>
          <w:sz w:val="20"/>
          <w:szCs w:val="20"/>
        </w:rPr>
      </w:pPr>
    </w:p>
    <w:p w:rsidR="00B454FB" w:rsidRPr="00076F18" w:rsidRDefault="00B454FB" w:rsidP="00B454FB">
      <w:pPr>
        <w:rPr>
          <w:rFonts w:ascii="Calibri" w:eastAsia="Cambria" w:hAnsi="Calibri"/>
          <w:sz w:val="20"/>
          <w:szCs w:val="20"/>
        </w:rPr>
      </w:pPr>
      <w:r>
        <w:rPr>
          <w:rFonts w:ascii="Calibri" w:eastAsia="Cambria" w:hAnsi="Calibri"/>
          <w:sz w:val="20"/>
          <w:szCs w:val="20"/>
        </w:rPr>
        <w:t xml:space="preserve">Figure 6.  Government education personnel involved in systematic MRE activities </w:t>
      </w:r>
      <w:r w:rsidRPr="00076F18">
        <w:rPr>
          <w:rFonts w:ascii="Calibri" w:eastAsia="Cambria" w:hAnsi="Calibri"/>
          <w:i/>
          <w:sz w:val="20"/>
          <w:szCs w:val="20"/>
        </w:rPr>
        <w:t>(Source</w:t>
      </w:r>
      <w:r>
        <w:rPr>
          <w:rFonts w:ascii="Calibri" w:eastAsia="Cambria" w:hAnsi="Calibri"/>
          <w:i/>
          <w:sz w:val="20"/>
          <w:szCs w:val="20"/>
        </w:rPr>
        <w:t>s</w:t>
      </w:r>
      <w:r w:rsidRPr="00076F18">
        <w:rPr>
          <w:rFonts w:ascii="Calibri" w:eastAsia="Cambria" w:hAnsi="Calibri"/>
          <w:i/>
          <w:sz w:val="20"/>
          <w:szCs w:val="20"/>
        </w:rPr>
        <w:t>: UNICEF and DOE)</w:t>
      </w: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1620"/>
        <w:gridCol w:w="1440"/>
        <w:gridCol w:w="5080"/>
      </w:tblGrid>
      <w:tr w:rsidR="00B454FB" w:rsidRPr="00D61C8A">
        <w:tc>
          <w:tcPr>
            <w:tcW w:w="1908" w:type="dxa"/>
          </w:tcPr>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Position in education system</w:t>
            </w:r>
          </w:p>
        </w:tc>
        <w:tc>
          <w:tcPr>
            <w:tcW w:w="1620" w:type="dxa"/>
          </w:tcPr>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 xml:space="preserve">Physical </w:t>
            </w:r>
            <w:r>
              <w:rPr>
                <w:rFonts w:ascii="Calibri" w:eastAsia="Cambria" w:hAnsi="Calibri"/>
                <w:b/>
                <w:sz w:val="20"/>
                <w:szCs w:val="20"/>
              </w:rPr>
              <w:t>base of operations</w:t>
            </w:r>
          </w:p>
        </w:tc>
        <w:tc>
          <w:tcPr>
            <w:tcW w:w="1440" w:type="dxa"/>
          </w:tcPr>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Number</w:t>
            </w:r>
          </w:p>
        </w:tc>
        <w:tc>
          <w:tcPr>
            <w:tcW w:w="5080" w:type="dxa"/>
          </w:tcPr>
          <w:p w:rsidR="00B454FB" w:rsidRPr="00D61C8A" w:rsidRDefault="00B454FB" w:rsidP="00B454FB">
            <w:pPr>
              <w:rPr>
                <w:rFonts w:ascii="Calibri" w:eastAsia="Cambria" w:hAnsi="Calibri"/>
                <w:b/>
                <w:sz w:val="20"/>
                <w:szCs w:val="20"/>
              </w:rPr>
            </w:pPr>
            <w:r w:rsidRPr="00D61C8A">
              <w:rPr>
                <w:rFonts w:ascii="Calibri" w:eastAsia="Cambria" w:hAnsi="Calibri"/>
                <w:b/>
                <w:sz w:val="20"/>
                <w:szCs w:val="20"/>
              </w:rPr>
              <w:t>Notes</w:t>
            </w:r>
          </w:p>
        </w:tc>
      </w:tr>
      <w:tr w:rsidR="00B454FB" w:rsidRPr="00D61C8A">
        <w:tc>
          <w:tcPr>
            <w:tcW w:w="1908"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R</w:t>
            </w:r>
            <w:r>
              <w:rPr>
                <w:rFonts w:ascii="Calibri" w:eastAsia="Cambria" w:hAnsi="Calibri"/>
                <w:sz w:val="20"/>
                <w:szCs w:val="20"/>
              </w:rPr>
              <w:t>egional Education Director (RED)</w:t>
            </w:r>
          </w:p>
        </w:tc>
        <w:tc>
          <w:tcPr>
            <w:tcW w:w="162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Regional Education Office</w:t>
            </w:r>
          </w:p>
        </w:tc>
        <w:tc>
          <w:tcPr>
            <w:tcW w:w="144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1 per region (5 in Nepal)</w:t>
            </w:r>
          </w:p>
        </w:tc>
        <w:tc>
          <w:tcPr>
            <w:tcW w:w="5080" w:type="dxa"/>
          </w:tcPr>
          <w:p w:rsidR="00B454FB" w:rsidRPr="00D61C8A" w:rsidRDefault="00B454FB" w:rsidP="00B454FB">
            <w:pPr>
              <w:rPr>
                <w:rFonts w:ascii="Calibri" w:eastAsia="Cambria" w:hAnsi="Calibri"/>
                <w:sz w:val="20"/>
                <w:szCs w:val="20"/>
              </w:rPr>
            </w:pPr>
          </w:p>
        </w:tc>
      </w:tr>
      <w:tr w:rsidR="00B454FB" w:rsidRPr="00D61C8A">
        <w:tc>
          <w:tcPr>
            <w:tcW w:w="1908"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District Planning Officer (DPO)</w:t>
            </w:r>
          </w:p>
        </w:tc>
        <w:tc>
          <w:tcPr>
            <w:tcW w:w="162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District Education Office</w:t>
            </w:r>
          </w:p>
        </w:tc>
        <w:tc>
          <w:tcPr>
            <w:tcW w:w="144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1 per district (75 in Nepal)</w:t>
            </w:r>
          </w:p>
        </w:tc>
        <w:tc>
          <w:tcPr>
            <w:tcW w:w="508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DPOs are referred to as “master trainers” for UNICEF systematic MRE activities</w:t>
            </w:r>
          </w:p>
        </w:tc>
      </w:tr>
      <w:tr w:rsidR="00B454FB" w:rsidRPr="00D61C8A">
        <w:tc>
          <w:tcPr>
            <w:tcW w:w="1908"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Resource Person (RP)</w:t>
            </w:r>
          </w:p>
        </w:tc>
        <w:tc>
          <w:tcPr>
            <w:tcW w:w="162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Resource Center</w:t>
            </w:r>
          </w:p>
        </w:tc>
        <w:tc>
          <w:tcPr>
            <w:tcW w:w="144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10-27 per district (292 in 20 selected districts)</w:t>
            </w:r>
          </w:p>
        </w:tc>
        <w:tc>
          <w:tcPr>
            <w:tcW w:w="5080" w:type="dxa"/>
          </w:tcPr>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RPs are full-time gov</w:t>
            </w:r>
            <w:r>
              <w:rPr>
                <w:rFonts w:ascii="Calibri" w:eastAsia="Cambria" w:hAnsi="Calibri"/>
                <w:sz w:val="20"/>
                <w:szCs w:val="20"/>
              </w:rPr>
              <w:t xml:space="preserve">ernment public service workers, </w:t>
            </w:r>
            <w:r w:rsidRPr="00D61C8A">
              <w:rPr>
                <w:rFonts w:ascii="Calibri" w:eastAsia="Cambria" w:hAnsi="Calibri"/>
                <w:sz w:val="20"/>
                <w:szCs w:val="20"/>
              </w:rPr>
              <w:t>usually with teaching backgrounds</w:t>
            </w:r>
            <w:r w:rsidRPr="00D61C8A">
              <w:rPr>
                <w:rFonts w:ascii="Calibri" w:eastAsia="Cambria" w:hAnsi="Calibri"/>
                <w:sz w:val="22"/>
                <w:szCs w:val="22"/>
                <w:vertAlign w:val="superscript"/>
              </w:rPr>
              <w:endnoteReference w:id="278"/>
            </w: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Each resource center serves 15 to 20 schools</w:t>
            </w:r>
            <w:r>
              <w:rPr>
                <w:rFonts w:ascii="Calibri" w:eastAsia="Cambria" w:hAnsi="Calibri"/>
                <w:sz w:val="20"/>
                <w:szCs w:val="20"/>
              </w:rPr>
              <w:t xml:space="preserve">, </w:t>
            </w:r>
            <w:r w:rsidRPr="00D61C8A">
              <w:rPr>
                <w:rFonts w:ascii="Calibri" w:eastAsia="Cambria" w:hAnsi="Calibri"/>
                <w:sz w:val="20"/>
                <w:szCs w:val="20"/>
              </w:rPr>
              <w:t>provid</w:t>
            </w:r>
            <w:r>
              <w:rPr>
                <w:rFonts w:ascii="Calibri" w:eastAsia="Cambria" w:hAnsi="Calibri"/>
                <w:sz w:val="20"/>
                <w:szCs w:val="20"/>
              </w:rPr>
              <w:t>ing</w:t>
            </w:r>
            <w:r w:rsidRPr="00D61C8A">
              <w:rPr>
                <w:rFonts w:ascii="Calibri" w:eastAsia="Cambria" w:hAnsi="Calibri"/>
                <w:sz w:val="20"/>
                <w:szCs w:val="20"/>
              </w:rPr>
              <w:t xml:space="preserve"> technical </w:t>
            </w:r>
            <w:r>
              <w:rPr>
                <w:rFonts w:ascii="Calibri" w:eastAsia="Cambria" w:hAnsi="Calibri"/>
                <w:sz w:val="20"/>
                <w:szCs w:val="20"/>
              </w:rPr>
              <w:t xml:space="preserve">assistance </w:t>
            </w:r>
            <w:r w:rsidRPr="00D61C8A">
              <w:rPr>
                <w:rFonts w:ascii="Calibri" w:eastAsia="Cambria" w:hAnsi="Calibri"/>
                <w:sz w:val="20"/>
                <w:szCs w:val="20"/>
              </w:rPr>
              <w:t>and academic training to teachers</w:t>
            </w:r>
            <w:r w:rsidRPr="00D61C8A">
              <w:rPr>
                <w:rFonts w:ascii="Calibri" w:eastAsia="Cambria" w:hAnsi="Calibri"/>
                <w:sz w:val="22"/>
                <w:szCs w:val="22"/>
                <w:vertAlign w:val="superscript"/>
              </w:rPr>
              <w:endnoteReference w:id="279"/>
            </w:r>
          </w:p>
        </w:tc>
      </w:tr>
    </w:tbl>
    <w:p w:rsidR="00B454FB" w:rsidRPr="00D61C8A" w:rsidRDefault="00B454FB" w:rsidP="00B454FB">
      <w:pPr>
        <w:rPr>
          <w:rFonts w:ascii="Calibri" w:eastAsia="Cambria" w:hAnsi="Calibri"/>
          <w:sz w:val="20"/>
          <w:szCs w:val="20"/>
        </w:rPr>
      </w:pPr>
    </w:p>
    <w:p w:rsidR="00B454FB" w:rsidRDefault="00B454FB" w:rsidP="00B454FB">
      <w:pPr>
        <w:rPr>
          <w:rFonts w:ascii="Calibri" w:eastAsia="Cambria" w:hAnsi="Calibri"/>
          <w:sz w:val="20"/>
          <w:szCs w:val="20"/>
        </w:rPr>
      </w:pPr>
      <w:r>
        <w:rPr>
          <w:rFonts w:ascii="Calibri" w:eastAsia="Cambria" w:hAnsi="Calibri"/>
          <w:sz w:val="20"/>
          <w:szCs w:val="20"/>
        </w:rPr>
        <w:br w:type="page"/>
      </w:r>
      <w:r w:rsidRPr="00D61C8A">
        <w:rPr>
          <w:rFonts w:ascii="Calibri" w:eastAsia="Cambria" w:hAnsi="Calibri"/>
          <w:sz w:val="20"/>
          <w:szCs w:val="20"/>
        </w:rPr>
        <w:lastRenderedPageBreak/>
        <w:t>Steps in the training process are outlined below:</w:t>
      </w: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 xml:space="preserve"> </w:t>
      </w:r>
    </w:p>
    <w:p w:rsidR="00B454FB" w:rsidRPr="00D61C8A" w:rsidRDefault="00B454FB" w:rsidP="00B454FB">
      <w:pPr>
        <w:numPr>
          <w:ilvl w:val="0"/>
          <w:numId w:val="43"/>
        </w:numPr>
        <w:spacing w:line="276" w:lineRule="auto"/>
        <w:contextualSpacing/>
        <w:rPr>
          <w:rFonts w:ascii="Calibri" w:hAnsi="Calibri"/>
          <w:b/>
          <w:sz w:val="20"/>
          <w:szCs w:val="20"/>
        </w:rPr>
      </w:pPr>
      <w:r w:rsidRPr="00D61C8A">
        <w:rPr>
          <w:rFonts w:ascii="Calibri" w:hAnsi="Calibri"/>
          <w:b/>
          <w:sz w:val="20"/>
          <w:szCs w:val="20"/>
        </w:rPr>
        <w:t>UNICEF trains DPOs, also known as MRE “master trainers”</w:t>
      </w:r>
    </w:p>
    <w:p w:rsidR="00B454FB" w:rsidRPr="00D61C8A" w:rsidRDefault="00B454FB" w:rsidP="00B454FB">
      <w:pPr>
        <w:numPr>
          <w:ilvl w:val="1"/>
          <w:numId w:val="43"/>
        </w:numPr>
        <w:spacing w:line="276" w:lineRule="auto"/>
        <w:contextualSpacing/>
        <w:rPr>
          <w:rFonts w:ascii="Calibri" w:hAnsi="Calibri"/>
          <w:b/>
          <w:sz w:val="20"/>
          <w:szCs w:val="20"/>
        </w:rPr>
      </w:pPr>
      <w:r w:rsidRPr="00D61C8A">
        <w:rPr>
          <w:rFonts w:ascii="Calibri" w:hAnsi="Calibri"/>
          <w:sz w:val="20"/>
          <w:szCs w:val="20"/>
        </w:rPr>
        <w:t>Master trainers attended a two-day training in January 2009</w:t>
      </w:r>
    </w:p>
    <w:p w:rsidR="00B454FB" w:rsidRPr="00D61C8A" w:rsidRDefault="00B454FB" w:rsidP="00B454FB">
      <w:pPr>
        <w:numPr>
          <w:ilvl w:val="1"/>
          <w:numId w:val="43"/>
        </w:numPr>
        <w:spacing w:line="276" w:lineRule="auto"/>
        <w:contextualSpacing/>
        <w:rPr>
          <w:rFonts w:ascii="Calibri" w:hAnsi="Calibri"/>
          <w:b/>
          <w:sz w:val="20"/>
          <w:szCs w:val="20"/>
        </w:rPr>
      </w:pPr>
      <w:r w:rsidRPr="00D61C8A">
        <w:rPr>
          <w:rFonts w:ascii="Calibri" w:hAnsi="Calibri"/>
          <w:sz w:val="20"/>
          <w:szCs w:val="20"/>
        </w:rPr>
        <w:t xml:space="preserve">UNICEF provided flipcharts and posters at the training and participants created </w:t>
      </w:r>
      <w:r>
        <w:rPr>
          <w:rFonts w:ascii="Calibri" w:hAnsi="Calibri"/>
          <w:sz w:val="20"/>
          <w:szCs w:val="20"/>
        </w:rPr>
        <w:t xml:space="preserve">personal </w:t>
      </w:r>
      <w:r w:rsidRPr="00D61C8A">
        <w:rPr>
          <w:rFonts w:ascii="Calibri" w:hAnsi="Calibri"/>
          <w:sz w:val="20"/>
          <w:szCs w:val="20"/>
        </w:rPr>
        <w:t>action plans</w:t>
      </w:r>
      <w:r w:rsidRPr="00D61C8A">
        <w:rPr>
          <w:rFonts w:ascii="Calibri" w:hAnsi="Calibri"/>
          <w:vertAlign w:val="superscript"/>
        </w:rPr>
        <w:endnoteReference w:id="280"/>
      </w:r>
    </w:p>
    <w:p w:rsidR="00B454FB" w:rsidRPr="00D61C8A" w:rsidRDefault="00B454FB" w:rsidP="00B454FB">
      <w:pPr>
        <w:numPr>
          <w:ilvl w:val="1"/>
          <w:numId w:val="43"/>
        </w:numPr>
        <w:spacing w:line="276" w:lineRule="auto"/>
        <w:contextualSpacing/>
        <w:rPr>
          <w:rFonts w:ascii="Calibri" w:hAnsi="Calibri"/>
          <w:b/>
          <w:sz w:val="20"/>
          <w:szCs w:val="20"/>
        </w:rPr>
      </w:pPr>
      <w:r w:rsidRPr="00D61C8A">
        <w:rPr>
          <w:rFonts w:ascii="Calibri" w:hAnsi="Calibri"/>
          <w:sz w:val="20"/>
          <w:szCs w:val="20"/>
        </w:rPr>
        <w:t xml:space="preserve">The five </w:t>
      </w:r>
      <w:r>
        <w:rPr>
          <w:rFonts w:ascii="Calibri" w:hAnsi="Calibri"/>
          <w:sz w:val="20"/>
          <w:szCs w:val="20"/>
        </w:rPr>
        <w:t>REDs</w:t>
      </w:r>
      <w:r w:rsidRPr="00D61C8A">
        <w:rPr>
          <w:rFonts w:ascii="Calibri" w:hAnsi="Calibri"/>
          <w:sz w:val="20"/>
          <w:szCs w:val="20"/>
        </w:rPr>
        <w:t xml:space="preserve"> were also invited to the training</w:t>
      </w:r>
    </w:p>
    <w:p w:rsidR="00B454FB" w:rsidRPr="00D61C8A" w:rsidRDefault="00B454FB" w:rsidP="00B454FB">
      <w:pPr>
        <w:rPr>
          <w:rFonts w:ascii="Calibri" w:eastAsia="Cambria" w:hAnsi="Calibri"/>
          <w:sz w:val="20"/>
          <w:szCs w:val="20"/>
        </w:rPr>
      </w:pPr>
    </w:p>
    <w:p w:rsidR="00B454FB" w:rsidRPr="00D61C8A" w:rsidRDefault="00B454FB" w:rsidP="00B454FB">
      <w:pPr>
        <w:numPr>
          <w:ilvl w:val="0"/>
          <w:numId w:val="43"/>
        </w:numPr>
        <w:spacing w:line="276" w:lineRule="auto"/>
        <w:contextualSpacing/>
        <w:rPr>
          <w:rFonts w:ascii="Calibri" w:hAnsi="Calibri"/>
          <w:b/>
          <w:sz w:val="20"/>
          <w:szCs w:val="20"/>
        </w:rPr>
      </w:pPr>
      <w:r w:rsidRPr="00D61C8A">
        <w:rPr>
          <w:rFonts w:ascii="Calibri" w:hAnsi="Calibri"/>
          <w:b/>
          <w:sz w:val="20"/>
          <w:szCs w:val="20"/>
        </w:rPr>
        <w:t xml:space="preserve">MRE master trainers train </w:t>
      </w:r>
      <w:r>
        <w:rPr>
          <w:rFonts w:ascii="Calibri" w:hAnsi="Calibri"/>
          <w:b/>
          <w:sz w:val="20"/>
          <w:szCs w:val="20"/>
        </w:rPr>
        <w:t>RP</w:t>
      </w:r>
      <w:r w:rsidRPr="00D61C8A">
        <w:rPr>
          <w:rFonts w:ascii="Calibri" w:hAnsi="Calibri"/>
          <w:b/>
          <w:sz w:val="20"/>
          <w:szCs w:val="20"/>
        </w:rPr>
        <w:t>s</w:t>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One-day trainings were conducted in each district during March and April 2009</w:t>
      </w:r>
      <w:r w:rsidRPr="00D61C8A">
        <w:rPr>
          <w:rFonts w:ascii="Calibri" w:hAnsi="Calibri"/>
          <w:vertAlign w:val="superscript"/>
        </w:rPr>
        <w:endnoteReference w:id="281"/>
      </w:r>
    </w:p>
    <w:p w:rsidR="00B454FB" w:rsidRPr="00D61C8A" w:rsidRDefault="00B454FB" w:rsidP="00B454FB">
      <w:pPr>
        <w:rPr>
          <w:rFonts w:ascii="Calibri" w:eastAsia="Cambria" w:hAnsi="Calibri"/>
          <w:sz w:val="20"/>
          <w:szCs w:val="20"/>
        </w:rPr>
      </w:pPr>
    </w:p>
    <w:p w:rsidR="00B454FB" w:rsidRPr="00D61C8A" w:rsidRDefault="00B454FB" w:rsidP="00B454FB">
      <w:pPr>
        <w:numPr>
          <w:ilvl w:val="0"/>
          <w:numId w:val="43"/>
        </w:numPr>
        <w:spacing w:line="276" w:lineRule="auto"/>
        <w:contextualSpacing/>
        <w:rPr>
          <w:rFonts w:ascii="Calibri" w:hAnsi="Calibri"/>
          <w:b/>
          <w:sz w:val="20"/>
          <w:szCs w:val="20"/>
        </w:rPr>
      </w:pPr>
      <w:r w:rsidRPr="00D61C8A">
        <w:rPr>
          <w:rFonts w:ascii="Calibri" w:hAnsi="Calibri"/>
          <w:b/>
          <w:sz w:val="20"/>
          <w:szCs w:val="20"/>
        </w:rPr>
        <w:t>R</w:t>
      </w:r>
      <w:r>
        <w:rPr>
          <w:rFonts w:ascii="Calibri" w:hAnsi="Calibri"/>
          <w:b/>
          <w:sz w:val="20"/>
          <w:szCs w:val="20"/>
        </w:rPr>
        <w:t>P</w:t>
      </w:r>
      <w:r w:rsidRPr="00D61C8A">
        <w:rPr>
          <w:rFonts w:ascii="Calibri" w:hAnsi="Calibri"/>
          <w:b/>
          <w:sz w:val="20"/>
          <w:szCs w:val="20"/>
        </w:rPr>
        <w:t>s train teachers</w:t>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UNICEF MA personnel believe that health and science teachers are particularly skilled at communicating MRE messages</w:t>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Teachers received training in May and teaching materials in August 2009</w:t>
      </w:r>
      <w:r w:rsidRPr="00D61C8A">
        <w:rPr>
          <w:rFonts w:ascii="Calibri" w:hAnsi="Calibri"/>
          <w:vertAlign w:val="superscript"/>
        </w:rPr>
        <w:endnoteReference w:id="282"/>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Teachers were trained in continuous assessment to recognize behavior changes</w:t>
      </w:r>
      <w:r w:rsidRPr="00D61C8A">
        <w:rPr>
          <w:rFonts w:ascii="Calibri" w:hAnsi="Calibri"/>
          <w:vertAlign w:val="superscript"/>
        </w:rPr>
        <w:endnoteReference w:id="283"/>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UNICEF MA personnel monitored some teacher trainings</w:t>
      </w:r>
      <w:r w:rsidRPr="00D61C8A">
        <w:rPr>
          <w:rFonts w:ascii="Calibri" w:hAnsi="Calibri"/>
          <w:vertAlign w:val="superscript"/>
        </w:rPr>
        <w:endnoteReference w:id="284"/>
      </w:r>
    </w:p>
    <w:p w:rsidR="00B454FB" w:rsidRPr="00D61C8A" w:rsidRDefault="00B454FB" w:rsidP="00B454FB">
      <w:pPr>
        <w:spacing w:line="276" w:lineRule="auto"/>
        <w:ind w:left="1080"/>
        <w:contextualSpacing/>
        <w:rPr>
          <w:rFonts w:ascii="Calibri" w:hAnsi="Calibri"/>
          <w:sz w:val="20"/>
          <w:szCs w:val="20"/>
        </w:rPr>
      </w:pPr>
    </w:p>
    <w:p w:rsidR="00B454FB" w:rsidRPr="00D61C8A" w:rsidRDefault="00B454FB" w:rsidP="00B454FB">
      <w:pPr>
        <w:numPr>
          <w:ilvl w:val="0"/>
          <w:numId w:val="43"/>
        </w:numPr>
        <w:spacing w:line="276" w:lineRule="auto"/>
        <w:contextualSpacing/>
        <w:rPr>
          <w:rFonts w:ascii="Calibri" w:hAnsi="Calibri"/>
          <w:b/>
          <w:sz w:val="20"/>
          <w:szCs w:val="20"/>
        </w:rPr>
      </w:pPr>
      <w:r w:rsidRPr="00D61C8A">
        <w:rPr>
          <w:rFonts w:ascii="Calibri" w:hAnsi="Calibri"/>
          <w:b/>
          <w:sz w:val="20"/>
          <w:szCs w:val="20"/>
        </w:rPr>
        <w:t>Teachers train children</w:t>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MRE sessions usually last between one and three school periods (45 minutes each)</w:t>
      </w:r>
      <w:r w:rsidRPr="00D61C8A">
        <w:rPr>
          <w:rFonts w:ascii="Calibri" w:hAnsi="Calibri"/>
          <w:vertAlign w:val="superscript"/>
        </w:rPr>
        <w:endnoteReference w:id="285"/>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Approximately 90 students attend each MRE session</w:t>
      </w:r>
      <w:r w:rsidRPr="00D61C8A">
        <w:rPr>
          <w:rFonts w:ascii="Calibri" w:hAnsi="Calibri"/>
          <w:vertAlign w:val="superscript"/>
        </w:rPr>
        <w:endnoteReference w:id="286"/>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 xml:space="preserve">Each child receives one </w:t>
      </w:r>
      <w:r>
        <w:rPr>
          <w:rFonts w:ascii="Calibri" w:hAnsi="Calibri"/>
          <w:sz w:val="20"/>
          <w:szCs w:val="20"/>
        </w:rPr>
        <w:t>MAJWG</w:t>
      </w:r>
      <w:r w:rsidRPr="00D61C8A">
        <w:rPr>
          <w:rFonts w:ascii="Calibri" w:hAnsi="Calibri"/>
          <w:sz w:val="20"/>
          <w:szCs w:val="20"/>
        </w:rPr>
        <w:t xml:space="preserve"> MRE leaflet, which he/she can use to educate others about MRE</w:t>
      </w:r>
      <w:r w:rsidRPr="00D61C8A">
        <w:rPr>
          <w:rFonts w:ascii="Calibri" w:hAnsi="Calibri"/>
          <w:vertAlign w:val="superscript"/>
        </w:rPr>
        <w:endnoteReference w:id="287"/>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Teachers trained in MRE also train other teachers informally, by word of mouth</w:t>
      </w:r>
      <w:r w:rsidRPr="00D61C8A">
        <w:rPr>
          <w:rFonts w:ascii="Calibri" w:hAnsi="Calibri"/>
          <w:vertAlign w:val="superscript"/>
        </w:rPr>
        <w:endnoteReference w:id="288"/>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 xml:space="preserve">Teachers provide at least one class period of MRE training to all lower secondary students; if time permits, they may provide sessions to </w:t>
      </w:r>
      <w:r>
        <w:rPr>
          <w:rFonts w:ascii="Calibri" w:hAnsi="Calibri"/>
          <w:sz w:val="20"/>
          <w:szCs w:val="20"/>
        </w:rPr>
        <w:t xml:space="preserve">students in </w:t>
      </w:r>
      <w:r w:rsidRPr="00D61C8A">
        <w:rPr>
          <w:rFonts w:ascii="Calibri" w:hAnsi="Calibri"/>
          <w:sz w:val="20"/>
          <w:szCs w:val="20"/>
        </w:rPr>
        <w:t>additional grades</w:t>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On average, a teacher can finish all MRE activities in a school in one to two weeks</w:t>
      </w:r>
    </w:p>
    <w:p w:rsidR="00B454FB" w:rsidRPr="00D61C8A" w:rsidRDefault="00B454FB" w:rsidP="00B454FB">
      <w:pPr>
        <w:rPr>
          <w:rFonts w:ascii="Calibri" w:eastAsia="Cambria" w:hAnsi="Calibri"/>
          <w:sz w:val="20"/>
          <w:szCs w:val="20"/>
        </w:rPr>
      </w:pPr>
    </w:p>
    <w:p w:rsidR="00B454FB" w:rsidRPr="00D61C8A" w:rsidRDefault="00B454FB" w:rsidP="00B454FB">
      <w:pPr>
        <w:numPr>
          <w:ilvl w:val="0"/>
          <w:numId w:val="43"/>
        </w:numPr>
        <w:spacing w:line="276" w:lineRule="auto"/>
        <w:contextualSpacing/>
        <w:rPr>
          <w:rFonts w:ascii="Calibri" w:hAnsi="Calibri"/>
          <w:b/>
          <w:sz w:val="20"/>
          <w:szCs w:val="20"/>
        </w:rPr>
      </w:pPr>
      <w:r w:rsidRPr="00D61C8A">
        <w:rPr>
          <w:rFonts w:ascii="Calibri" w:hAnsi="Calibri"/>
          <w:b/>
          <w:sz w:val="20"/>
          <w:szCs w:val="20"/>
        </w:rPr>
        <w:t>Children train family and friends</w:t>
      </w:r>
      <w:r w:rsidRPr="00D61C8A">
        <w:rPr>
          <w:rFonts w:ascii="Calibri" w:hAnsi="Calibri"/>
          <w:vertAlign w:val="superscript"/>
        </w:rPr>
        <w:endnoteReference w:id="289"/>
      </w:r>
    </w:p>
    <w:p w:rsidR="00B454FB" w:rsidRPr="00D61C8A" w:rsidRDefault="00B454FB" w:rsidP="00B454FB">
      <w:pPr>
        <w:numPr>
          <w:ilvl w:val="1"/>
          <w:numId w:val="43"/>
        </w:numPr>
        <w:spacing w:line="276" w:lineRule="auto"/>
        <w:contextualSpacing/>
        <w:rPr>
          <w:rFonts w:ascii="Calibri" w:hAnsi="Calibri"/>
          <w:sz w:val="20"/>
          <w:szCs w:val="20"/>
        </w:rPr>
      </w:pPr>
      <w:r w:rsidRPr="00D61C8A">
        <w:rPr>
          <w:rFonts w:ascii="Calibri" w:hAnsi="Calibri"/>
          <w:sz w:val="20"/>
          <w:szCs w:val="20"/>
        </w:rPr>
        <w:t>Children who have attended MRE sessions are encouraged to tell their families, friends and acquaintances about what they have learned</w:t>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sz w:val="22"/>
          <w:szCs w:val="22"/>
        </w:rPr>
      </w:pPr>
      <w:r w:rsidRPr="00D61C8A">
        <w:rPr>
          <w:rFonts w:ascii="Calibri" w:eastAsia="Cambria" w:hAnsi="Calibri"/>
          <w:sz w:val="20"/>
          <w:szCs w:val="20"/>
        </w:rPr>
        <w:t xml:space="preserve">UNICEF </w:t>
      </w:r>
      <w:r>
        <w:rPr>
          <w:rFonts w:ascii="Calibri" w:eastAsia="Cambria" w:hAnsi="Calibri"/>
          <w:sz w:val="20"/>
          <w:szCs w:val="20"/>
        </w:rPr>
        <w:t>MA personnel</w:t>
      </w:r>
      <w:r w:rsidRPr="00D61C8A">
        <w:rPr>
          <w:rFonts w:ascii="Calibri" w:eastAsia="Cambria" w:hAnsi="Calibri"/>
          <w:sz w:val="20"/>
          <w:szCs w:val="20"/>
        </w:rPr>
        <w:t xml:space="preserve"> initially considered training </w:t>
      </w:r>
      <w:r>
        <w:rPr>
          <w:rFonts w:ascii="Calibri" w:eastAsia="Cambria" w:hAnsi="Calibri"/>
          <w:sz w:val="20"/>
          <w:szCs w:val="20"/>
        </w:rPr>
        <w:t>RP</w:t>
      </w:r>
      <w:r w:rsidRPr="00D61C8A">
        <w:rPr>
          <w:rFonts w:ascii="Calibri" w:eastAsia="Cambria" w:hAnsi="Calibri"/>
          <w:sz w:val="20"/>
          <w:szCs w:val="20"/>
        </w:rPr>
        <w:t>s directly instead of training DPOs (MRE master trainers); they later decided to include master trainers to provide an extra layer of monitoring and sustainability.</w:t>
      </w:r>
      <w:r w:rsidRPr="00D61C8A">
        <w:rPr>
          <w:rFonts w:ascii="Calibri" w:eastAsia="Cambria" w:hAnsi="Calibri"/>
          <w:sz w:val="22"/>
          <w:szCs w:val="22"/>
          <w:vertAlign w:val="superscript"/>
        </w:rPr>
        <w:endnoteReference w:id="290"/>
      </w:r>
    </w:p>
    <w:p w:rsidR="00B454FB" w:rsidRPr="00D61C8A" w:rsidRDefault="00B454FB" w:rsidP="00B454FB">
      <w:pPr>
        <w:rPr>
          <w:rFonts w:ascii="Calibri" w:eastAsia="Cambria" w:hAnsi="Calibri"/>
          <w:b/>
          <w:sz w:val="20"/>
          <w:szCs w:val="20"/>
          <w:highlight w:val="green"/>
        </w:rPr>
      </w:pPr>
    </w:p>
    <w:p w:rsidR="00B454FB" w:rsidRPr="00D61C8A" w:rsidRDefault="00B454FB" w:rsidP="00B454FB">
      <w:pPr>
        <w:pBdr>
          <w:top w:val="single" w:sz="4" w:space="1" w:color="auto"/>
          <w:left w:val="single" w:sz="4" w:space="4" w:color="auto"/>
          <w:bottom w:val="single" w:sz="4" w:space="1" w:color="auto"/>
          <w:right w:val="single" w:sz="4" w:space="4" w:color="auto"/>
        </w:pBdr>
        <w:jc w:val="center"/>
        <w:rPr>
          <w:rFonts w:ascii="Calibri" w:eastAsia="Cambria" w:hAnsi="Calibri"/>
          <w:b/>
          <w:szCs w:val="20"/>
        </w:rPr>
      </w:pPr>
      <w:r w:rsidRPr="00D61C8A">
        <w:rPr>
          <w:rFonts w:ascii="Calibri" w:eastAsia="Cambria" w:hAnsi="Calibri"/>
          <w:b/>
          <w:szCs w:val="20"/>
        </w:rPr>
        <w:t>Case study: Observation of an MRE session</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b/>
          <w:sz w:val="20"/>
          <w:szCs w:val="20"/>
          <w:highlight w:val="green"/>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r w:rsidRPr="00D61C8A">
        <w:rPr>
          <w:rFonts w:ascii="Calibri" w:eastAsia="Cambria" w:hAnsi="Calibri"/>
          <w:sz w:val="20"/>
          <w:szCs w:val="20"/>
        </w:rPr>
        <w:t>On November 17 2009, the evaluation team traveled to Kailali District to meet with MRE personnel and observe an MRE session at Kalika Secondary School.</w:t>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r w:rsidRPr="00D61C8A">
        <w:rPr>
          <w:rFonts w:ascii="Calibri" w:eastAsia="Cambria" w:hAnsi="Calibri"/>
          <w:sz w:val="20"/>
          <w:szCs w:val="20"/>
        </w:rPr>
        <w:t>Sixteen resource centers</w:t>
      </w:r>
      <w:r w:rsidRPr="00D61C8A">
        <w:rPr>
          <w:rFonts w:ascii="Calibri" w:eastAsia="Cambria" w:hAnsi="Calibri"/>
          <w:sz w:val="22"/>
          <w:szCs w:val="22"/>
          <w:vertAlign w:val="superscript"/>
        </w:rPr>
        <w:endnoteReference w:id="291"/>
      </w:r>
      <w:r w:rsidRPr="00D61C8A">
        <w:rPr>
          <w:rFonts w:ascii="Calibri" w:eastAsia="Cambria" w:hAnsi="Calibri"/>
          <w:sz w:val="20"/>
          <w:szCs w:val="20"/>
        </w:rPr>
        <w:t xml:space="preserve"> and 689 schools (519 government, 170 private) operate in Kailali District.</w:t>
      </w:r>
      <w:r w:rsidRPr="00D61C8A">
        <w:rPr>
          <w:rFonts w:ascii="Calibri" w:eastAsia="Cambria" w:hAnsi="Calibri"/>
          <w:sz w:val="22"/>
          <w:szCs w:val="22"/>
          <w:vertAlign w:val="superscript"/>
        </w:rPr>
        <w:endnoteReference w:id="292"/>
      </w:r>
      <w:r w:rsidRPr="00D61C8A">
        <w:rPr>
          <w:rFonts w:ascii="Calibri" w:eastAsia="Cambria" w:hAnsi="Calibri"/>
          <w:sz w:val="20"/>
          <w:szCs w:val="20"/>
        </w:rPr>
        <w:t xml:space="preserve">  Within 10 VDCs targeted for systematic MRE in Kailali,</w:t>
      </w:r>
      <w:r w:rsidRPr="00D61C8A">
        <w:rPr>
          <w:rFonts w:ascii="Calibri" w:eastAsia="Cambria" w:hAnsi="Calibri"/>
          <w:sz w:val="22"/>
          <w:szCs w:val="22"/>
          <w:vertAlign w:val="superscript"/>
        </w:rPr>
        <w:endnoteReference w:id="293"/>
      </w:r>
      <w:r w:rsidRPr="00D61C8A">
        <w:rPr>
          <w:rFonts w:ascii="Calibri" w:eastAsia="Cambria" w:hAnsi="Calibri"/>
          <w:sz w:val="20"/>
          <w:szCs w:val="20"/>
        </w:rPr>
        <w:t xml:space="preserve"> 60 school</w:t>
      </w:r>
      <w:r>
        <w:rPr>
          <w:rFonts w:ascii="Calibri" w:eastAsia="Cambria" w:hAnsi="Calibri"/>
          <w:sz w:val="20"/>
          <w:szCs w:val="20"/>
        </w:rPr>
        <w:t xml:space="preserve">s were selected based on </w:t>
      </w:r>
      <w:r w:rsidRPr="00D61C8A">
        <w:rPr>
          <w:rFonts w:ascii="Calibri" w:eastAsia="Cambria" w:hAnsi="Calibri"/>
          <w:sz w:val="20"/>
          <w:szCs w:val="20"/>
        </w:rPr>
        <w:t>data from the VAE injury surveillance system.</w:t>
      </w:r>
      <w:r w:rsidRPr="00D61C8A">
        <w:rPr>
          <w:rFonts w:ascii="Calibri" w:eastAsia="Cambria" w:hAnsi="Calibri"/>
          <w:sz w:val="22"/>
          <w:szCs w:val="22"/>
          <w:vertAlign w:val="superscript"/>
        </w:rPr>
        <w:endnoteReference w:id="294"/>
      </w:r>
      <w:r w:rsidRPr="00D61C8A">
        <w:rPr>
          <w:rFonts w:ascii="Calibri" w:eastAsia="Cambria" w:hAnsi="Calibri"/>
          <w:sz w:val="20"/>
          <w:szCs w:val="20"/>
        </w:rPr>
        <w:t xml:space="preserve">  Coverage extended to approximately 1</w:t>
      </w:r>
      <w:r w:rsidR="005243F1">
        <w:rPr>
          <w:rFonts w:ascii="Calibri" w:eastAsia="Cambria" w:hAnsi="Calibri"/>
          <w:sz w:val="20"/>
          <w:szCs w:val="20"/>
        </w:rPr>
        <w:t>0</w:t>
      </w:r>
      <w:r w:rsidRPr="00D61C8A">
        <w:rPr>
          <w:rFonts w:ascii="Calibri" w:eastAsia="Cambria" w:hAnsi="Calibri"/>
          <w:sz w:val="20"/>
          <w:szCs w:val="20"/>
        </w:rPr>
        <w:t>% of government schools</w:t>
      </w:r>
      <w:r w:rsidRPr="00D61C8A">
        <w:rPr>
          <w:rStyle w:val="FootnoteReference"/>
          <w:rFonts w:ascii="Calibri" w:eastAsia="Cambria" w:hAnsi="Calibri"/>
          <w:sz w:val="20"/>
          <w:szCs w:val="20"/>
        </w:rPr>
        <w:footnoteReference w:id="18"/>
      </w:r>
      <w:r w:rsidRPr="00D61C8A">
        <w:rPr>
          <w:rFonts w:ascii="Calibri" w:eastAsia="Cambria" w:hAnsi="Calibri"/>
          <w:sz w:val="20"/>
          <w:szCs w:val="20"/>
        </w:rPr>
        <w:t xml:space="preserve"> in the district.</w:t>
      </w:r>
      <w:r w:rsidRPr="00D61C8A">
        <w:rPr>
          <w:rFonts w:ascii="Calibri" w:eastAsia="Cambria" w:hAnsi="Calibri"/>
          <w:sz w:val="22"/>
          <w:szCs w:val="22"/>
          <w:vertAlign w:val="superscript"/>
        </w:rPr>
        <w:endnoteReference w:id="295"/>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r w:rsidRPr="00D61C8A">
        <w:rPr>
          <w:rFonts w:ascii="Calibri" w:eastAsia="Cambria" w:hAnsi="Calibri"/>
          <w:sz w:val="20"/>
          <w:szCs w:val="20"/>
        </w:rPr>
        <w:t>The RP responsible for monitoring Kalika Secondary School oversees schools in three VDCs.</w:t>
      </w:r>
      <w:r w:rsidRPr="00D61C8A">
        <w:rPr>
          <w:rFonts w:ascii="Calibri" w:eastAsia="Cambria" w:hAnsi="Calibri"/>
          <w:sz w:val="22"/>
          <w:szCs w:val="22"/>
          <w:vertAlign w:val="superscript"/>
        </w:rPr>
        <w:endnoteReference w:id="296"/>
      </w:r>
      <w:r w:rsidRPr="00D61C8A">
        <w:rPr>
          <w:rFonts w:ascii="Calibri" w:eastAsia="Cambria" w:hAnsi="Calibri"/>
          <w:sz w:val="20"/>
          <w:szCs w:val="20"/>
        </w:rPr>
        <w:t xml:space="preserve">  Teachers at six of the 17 schools in this particular cluster have been trained in MRE, and teachers at the remaining 11 schools have expressed interest in MRE training.</w:t>
      </w:r>
      <w:r w:rsidRPr="00D61C8A">
        <w:rPr>
          <w:rFonts w:ascii="Calibri" w:eastAsia="Cambria" w:hAnsi="Calibri"/>
          <w:sz w:val="22"/>
          <w:szCs w:val="22"/>
          <w:vertAlign w:val="superscript"/>
        </w:rPr>
        <w:endnoteReference w:id="297"/>
      </w:r>
      <w:r w:rsidRPr="00D61C8A">
        <w:rPr>
          <w:rFonts w:ascii="Calibri" w:eastAsia="Cambria" w:hAnsi="Calibri"/>
          <w:sz w:val="20"/>
          <w:szCs w:val="20"/>
        </w:rPr>
        <w:t xml:space="preserve">  Teachers at Kalika Secondary School believe that MRE should be provided in all schools.</w:t>
      </w:r>
      <w:r w:rsidRPr="00D61C8A">
        <w:rPr>
          <w:rFonts w:ascii="Calibri" w:eastAsia="Cambria" w:hAnsi="Calibri"/>
          <w:sz w:val="22"/>
          <w:szCs w:val="22"/>
          <w:vertAlign w:val="superscript"/>
        </w:rPr>
        <w:endnoteReference w:id="298"/>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r w:rsidRPr="00D61C8A">
        <w:rPr>
          <w:rFonts w:ascii="Calibri" w:eastAsia="Cambria" w:hAnsi="Calibri"/>
          <w:sz w:val="20"/>
          <w:szCs w:val="20"/>
        </w:rPr>
        <w:t>The topic of MRE is new to the teachers and students of Kalika Secondary School.</w:t>
      </w:r>
      <w:r w:rsidRPr="00D61C8A">
        <w:rPr>
          <w:rFonts w:ascii="Calibri" w:eastAsia="Cambria" w:hAnsi="Calibri"/>
          <w:sz w:val="22"/>
          <w:szCs w:val="22"/>
          <w:vertAlign w:val="superscript"/>
        </w:rPr>
        <w:endnoteReference w:id="299"/>
      </w:r>
      <w:r w:rsidRPr="00D61C8A">
        <w:rPr>
          <w:rFonts w:ascii="Calibri" w:eastAsia="Cambria" w:hAnsi="Calibri"/>
          <w:sz w:val="20"/>
          <w:szCs w:val="20"/>
        </w:rPr>
        <w:t xml:space="preserve">  One of the 30 teachers at this school has been trained to lead MRE sessions, although three additional teachers have been using the </w:t>
      </w:r>
      <w:r>
        <w:rPr>
          <w:rFonts w:ascii="Calibri" w:eastAsia="Cambria" w:hAnsi="Calibri"/>
          <w:sz w:val="20"/>
          <w:szCs w:val="20"/>
        </w:rPr>
        <w:t>MAJWG MRE</w:t>
      </w:r>
      <w:r w:rsidRPr="00D61C8A">
        <w:rPr>
          <w:rFonts w:ascii="Calibri" w:eastAsia="Cambria" w:hAnsi="Calibri"/>
          <w:sz w:val="20"/>
          <w:szCs w:val="20"/>
        </w:rPr>
        <w:t xml:space="preserve"> </w:t>
      </w:r>
      <w:r>
        <w:rPr>
          <w:rFonts w:ascii="Calibri" w:eastAsia="Cambria" w:hAnsi="Calibri"/>
          <w:sz w:val="20"/>
          <w:szCs w:val="20"/>
        </w:rPr>
        <w:t>material</w:t>
      </w:r>
      <w:r w:rsidRPr="00D61C8A">
        <w:rPr>
          <w:rFonts w:ascii="Calibri" w:eastAsia="Cambria" w:hAnsi="Calibri"/>
          <w:sz w:val="20"/>
          <w:szCs w:val="20"/>
        </w:rPr>
        <w:t xml:space="preserve">s to teach children </w:t>
      </w:r>
      <w:r>
        <w:rPr>
          <w:rFonts w:ascii="Calibri" w:eastAsia="Cambria" w:hAnsi="Calibri"/>
          <w:sz w:val="20"/>
          <w:szCs w:val="20"/>
        </w:rPr>
        <w:t xml:space="preserve">about </w:t>
      </w:r>
      <w:r>
        <w:rPr>
          <w:rFonts w:ascii="Calibri" w:eastAsia="Cambria" w:hAnsi="Calibri"/>
          <w:sz w:val="20"/>
          <w:szCs w:val="20"/>
        </w:rPr>
        <w:lastRenderedPageBreak/>
        <w:t>ED</w:t>
      </w:r>
      <w:r w:rsidRPr="00D61C8A">
        <w:rPr>
          <w:rFonts w:ascii="Calibri" w:eastAsia="Cambria" w:hAnsi="Calibri"/>
          <w:sz w:val="20"/>
          <w:szCs w:val="20"/>
        </w:rPr>
        <w:t>.</w:t>
      </w:r>
      <w:r w:rsidRPr="00D61C8A">
        <w:rPr>
          <w:rFonts w:ascii="Calibri" w:eastAsia="Cambria" w:hAnsi="Calibri"/>
          <w:sz w:val="22"/>
          <w:szCs w:val="22"/>
          <w:vertAlign w:val="superscript"/>
        </w:rPr>
        <w:endnoteReference w:id="300"/>
      </w:r>
      <w:r w:rsidRPr="00D61C8A">
        <w:rPr>
          <w:rFonts w:ascii="Calibri" w:eastAsia="Cambria" w:hAnsi="Calibri"/>
          <w:sz w:val="20"/>
          <w:szCs w:val="20"/>
        </w:rPr>
        <w:t xml:space="preserve">  Approximately 40 % of the 1200 students at the school have received MRE,</w:t>
      </w:r>
      <w:r w:rsidRPr="00D61C8A">
        <w:rPr>
          <w:rFonts w:ascii="Calibri" w:eastAsia="Cambria" w:hAnsi="Calibri"/>
          <w:sz w:val="22"/>
          <w:szCs w:val="22"/>
          <w:vertAlign w:val="superscript"/>
        </w:rPr>
        <w:endnoteReference w:id="301"/>
      </w:r>
      <w:r w:rsidRPr="00D61C8A">
        <w:rPr>
          <w:rFonts w:ascii="Calibri" w:eastAsia="Cambria" w:hAnsi="Calibri"/>
          <w:sz w:val="20"/>
          <w:szCs w:val="20"/>
        </w:rPr>
        <w:t xml:space="preserve"> and approximately 25 % of students have received MRE leaflets.</w:t>
      </w:r>
      <w:r w:rsidRPr="00D61C8A">
        <w:rPr>
          <w:rFonts w:ascii="Calibri" w:eastAsia="Cambria" w:hAnsi="Calibri"/>
          <w:sz w:val="22"/>
          <w:szCs w:val="22"/>
          <w:vertAlign w:val="superscript"/>
        </w:rPr>
        <w:endnoteReference w:id="302"/>
      </w:r>
      <w:r w:rsidRPr="00D61C8A">
        <w:rPr>
          <w:rFonts w:ascii="Calibri" w:eastAsia="Cambria" w:hAnsi="Calibri"/>
          <w:sz w:val="20"/>
          <w:szCs w:val="20"/>
        </w:rPr>
        <w:t xml:space="preserve">  Although no children in the school have reported the existence of ED to school authorities, teachers feel confident that children would report to them if they saw or heard about the presence of suspected ED.</w:t>
      </w:r>
      <w:r w:rsidRPr="00D61C8A">
        <w:rPr>
          <w:rFonts w:ascii="Calibri" w:eastAsia="Cambria" w:hAnsi="Calibri"/>
          <w:sz w:val="22"/>
          <w:szCs w:val="22"/>
          <w:vertAlign w:val="superscript"/>
        </w:rPr>
        <w:endnoteReference w:id="303"/>
      </w: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p>
    <w:p w:rsidR="00B454FB" w:rsidRPr="00D61C8A" w:rsidRDefault="00B454FB" w:rsidP="00B454FB">
      <w:pPr>
        <w:pBdr>
          <w:top w:val="single" w:sz="4" w:space="1" w:color="auto"/>
          <w:left w:val="single" w:sz="4" w:space="4" w:color="auto"/>
          <w:bottom w:val="single" w:sz="4" w:space="1" w:color="auto"/>
          <w:right w:val="single" w:sz="4" w:space="4" w:color="auto"/>
        </w:pBdr>
        <w:rPr>
          <w:rFonts w:ascii="Calibri" w:eastAsia="Cambria" w:hAnsi="Calibri"/>
          <w:sz w:val="20"/>
          <w:szCs w:val="20"/>
        </w:rPr>
      </w:pPr>
      <w:r w:rsidRPr="00D61C8A">
        <w:rPr>
          <w:rFonts w:ascii="Calibri" w:eastAsia="Cambria" w:hAnsi="Calibri"/>
          <w:sz w:val="20"/>
          <w:szCs w:val="20"/>
        </w:rPr>
        <w:t>The evaluation team observed an MRE session conducted by the head teacher of Kalika Secondary School.  The session lasted approximately 45 minutes and was given to children aged 13 to 15 years.</w:t>
      </w:r>
      <w:r w:rsidRPr="00D61C8A">
        <w:rPr>
          <w:rFonts w:ascii="Calibri" w:eastAsia="Cambria" w:hAnsi="Calibri"/>
          <w:sz w:val="22"/>
          <w:szCs w:val="22"/>
          <w:vertAlign w:val="superscript"/>
        </w:rPr>
        <w:endnoteReference w:id="304"/>
      </w:r>
      <w:r w:rsidRPr="00D61C8A">
        <w:rPr>
          <w:rFonts w:ascii="Calibri" w:eastAsia="Cambria" w:hAnsi="Calibri"/>
          <w:sz w:val="20"/>
          <w:szCs w:val="20"/>
        </w:rPr>
        <w:t xml:space="preserve">  The teacher used </w:t>
      </w:r>
      <w:r>
        <w:rPr>
          <w:rFonts w:ascii="Calibri" w:eastAsia="Cambria" w:hAnsi="Calibri"/>
          <w:sz w:val="20"/>
          <w:szCs w:val="20"/>
        </w:rPr>
        <w:t>MAJWG</w:t>
      </w:r>
      <w:r w:rsidRPr="00D61C8A">
        <w:rPr>
          <w:rFonts w:ascii="Calibri" w:eastAsia="Cambria" w:hAnsi="Calibri"/>
          <w:sz w:val="20"/>
          <w:szCs w:val="20"/>
        </w:rPr>
        <w:t xml:space="preserve"> MRE flipcharts, spending varying amounts of time on each slide as required</w:t>
      </w:r>
      <w:r>
        <w:rPr>
          <w:rFonts w:ascii="Calibri" w:eastAsia="Cambria" w:hAnsi="Calibri"/>
          <w:sz w:val="20"/>
          <w:szCs w:val="20"/>
        </w:rPr>
        <w:t xml:space="preserve"> and asking</w:t>
      </w:r>
      <w:r w:rsidRPr="00D61C8A">
        <w:rPr>
          <w:rFonts w:ascii="Calibri" w:eastAsia="Cambria" w:hAnsi="Calibri"/>
          <w:sz w:val="20"/>
          <w:szCs w:val="20"/>
        </w:rPr>
        <w:t xml:space="preserve"> questions to encourage participation.  The children were very attentive and </w:t>
      </w:r>
      <w:r>
        <w:rPr>
          <w:rFonts w:ascii="Calibri" w:eastAsia="Cambria" w:hAnsi="Calibri"/>
          <w:sz w:val="20"/>
          <w:szCs w:val="20"/>
        </w:rPr>
        <w:t>several</w:t>
      </w:r>
      <w:r w:rsidRPr="00D61C8A">
        <w:rPr>
          <w:rFonts w:ascii="Calibri" w:eastAsia="Cambria" w:hAnsi="Calibri"/>
          <w:sz w:val="20"/>
          <w:szCs w:val="20"/>
        </w:rPr>
        <w:t>, both boys and girls, volunteered to ask and answer questions.  Some children claimed that they had seen socket bombs in the past.  When asked whom they would tell if they saw a suspected ED, children answered that they would tell the police.  When asked whom they would tell about the MRE messages they had learned, children answered that they would tell their grandparents, parents, siblings, and friends.  At the end of the session, the RP provided some additional statistics about injuries, asked questions to check retention, and reminded the children to repeat what they had learned to their families and friends.</w:t>
      </w:r>
      <w:r w:rsidRPr="00D61C8A">
        <w:rPr>
          <w:rFonts w:ascii="Calibri" w:eastAsia="Cambria" w:hAnsi="Calibri"/>
          <w:sz w:val="22"/>
          <w:szCs w:val="22"/>
          <w:vertAlign w:val="superscript"/>
        </w:rPr>
        <w:endnoteReference w:id="305"/>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DOE personnel monitor usual school system activities through reports, meetings and field visits.  RPs regularly report to DPOs,</w:t>
      </w:r>
      <w:r w:rsidRPr="00D61C8A">
        <w:rPr>
          <w:rFonts w:ascii="Calibri" w:eastAsia="Cambria" w:hAnsi="Calibri"/>
          <w:sz w:val="22"/>
          <w:szCs w:val="22"/>
          <w:vertAlign w:val="superscript"/>
        </w:rPr>
        <w:endnoteReference w:id="306"/>
      </w:r>
      <w:r w:rsidRPr="00D61C8A">
        <w:rPr>
          <w:rFonts w:ascii="Calibri" w:eastAsia="Cambria" w:hAnsi="Calibri"/>
          <w:sz w:val="20"/>
          <w:szCs w:val="20"/>
        </w:rPr>
        <w:t xml:space="preserve"> who report to REDs and DOE personnel in Kathmandu three times a year.</w:t>
      </w:r>
      <w:r w:rsidRPr="00D61C8A">
        <w:rPr>
          <w:rFonts w:ascii="Calibri" w:eastAsia="Cambria" w:hAnsi="Calibri"/>
          <w:sz w:val="22"/>
          <w:szCs w:val="22"/>
          <w:vertAlign w:val="superscript"/>
        </w:rPr>
        <w:endnoteReference w:id="307"/>
      </w:r>
      <w:r w:rsidRPr="00D61C8A">
        <w:rPr>
          <w:rFonts w:ascii="Calibri" w:eastAsia="Cambria" w:hAnsi="Calibri"/>
          <w:sz w:val="20"/>
          <w:szCs w:val="20"/>
        </w:rPr>
        <w:t xml:space="preserve">  REDs, DPOs and NGO personnel visit schools to ensure correct administration of programs.</w:t>
      </w:r>
      <w:r w:rsidRPr="00D61C8A">
        <w:rPr>
          <w:rFonts w:ascii="Calibri" w:eastAsia="Cambria" w:hAnsi="Calibri"/>
          <w:sz w:val="22"/>
          <w:szCs w:val="22"/>
          <w:vertAlign w:val="superscript"/>
        </w:rPr>
        <w:endnoteReference w:id="308"/>
      </w:r>
      <w:r w:rsidRPr="00D61C8A">
        <w:rPr>
          <w:rFonts w:ascii="Calibri" w:eastAsia="Cambria" w:hAnsi="Calibri"/>
          <w:sz w:val="20"/>
          <w:szCs w:val="20"/>
        </w:rPr>
        <w:t xml:space="preserve">  </w:t>
      </w:r>
      <w:r>
        <w:rPr>
          <w:rFonts w:ascii="Calibri" w:eastAsia="Cambria" w:hAnsi="Calibri"/>
          <w:sz w:val="20"/>
          <w:szCs w:val="20"/>
        </w:rPr>
        <w:t>H</w:t>
      </w:r>
      <w:r w:rsidRPr="00D61C8A">
        <w:rPr>
          <w:rFonts w:ascii="Calibri" w:eastAsia="Cambria" w:hAnsi="Calibri"/>
          <w:sz w:val="20"/>
          <w:szCs w:val="20"/>
        </w:rPr>
        <w:t xml:space="preserve">ead teachers </w:t>
      </w:r>
      <w:r>
        <w:rPr>
          <w:rFonts w:ascii="Calibri" w:eastAsia="Cambria" w:hAnsi="Calibri"/>
          <w:sz w:val="20"/>
          <w:szCs w:val="20"/>
        </w:rPr>
        <w:t xml:space="preserve">in each district </w:t>
      </w:r>
      <w:r w:rsidRPr="00D61C8A">
        <w:rPr>
          <w:rFonts w:ascii="Calibri" w:eastAsia="Cambria" w:hAnsi="Calibri"/>
          <w:sz w:val="20"/>
          <w:szCs w:val="20"/>
        </w:rPr>
        <w:t>meet annually to discuss planning, exams and other issues.</w:t>
      </w:r>
      <w:r w:rsidRPr="00D61C8A">
        <w:rPr>
          <w:rFonts w:ascii="Calibri" w:eastAsia="Cambria" w:hAnsi="Calibri"/>
          <w:sz w:val="22"/>
          <w:szCs w:val="22"/>
          <w:vertAlign w:val="superscript"/>
        </w:rPr>
        <w:endnoteReference w:id="309"/>
      </w:r>
      <w:r w:rsidRPr="00D61C8A">
        <w:rPr>
          <w:rFonts w:ascii="Calibri" w:eastAsia="Cambria" w:hAnsi="Calibri"/>
          <w:sz w:val="20"/>
          <w:szCs w:val="20"/>
        </w:rPr>
        <w:t xml:space="preserve">  RPs </w:t>
      </w:r>
      <w:r>
        <w:rPr>
          <w:rFonts w:ascii="Calibri" w:eastAsia="Cambria" w:hAnsi="Calibri"/>
          <w:sz w:val="20"/>
          <w:szCs w:val="20"/>
        </w:rPr>
        <w:t xml:space="preserve">and head teachers </w:t>
      </w:r>
      <w:r w:rsidRPr="00D61C8A">
        <w:rPr>
          <w:rFonts w:ascii="Calibri" w:eastAsia="Cambria" w:hAnsi="Calibri"/>
          <w:sz w:val="20"/>
          <w:szCs w:val="20"/>
        </w:rPr>
        <w:t>meet monthly to discuss curricula, teaching techniques, monthly action plans, and challenges in the education system.</w:t>
      </w:r>
      <w:r w:rsidRPr="00D61C8A">
        <w:rPr>
          <w:rFonts w:ascii="Calibri" w:eastAsia="Cambria" w:hAnsi="Calibri"/>
          <w:sz w:val="22"/>
          <w:szCs w:val="22"/>
          <w:vertAlign w:val="superscript"/>
        </w:rPr>
        <w:endnoteReference w:id="310"/>
      </w:r>
    </w:p>
    <w:p w:rsidR="00B454FB" w:rsidRPr="00D61C8A" w:rsidRDefault="00B454FB" w:rsidP="00B454FB">
      <w:pPr>
        <w:rPr>
          <w:rFonts w:ascii="Calibri" w:eastAsia="Cambria" w:hAnsi="Calibri"/>
          <w:sz w:val="20"/>
          <w:szCs w:val="20"/>
        </w:rPr>
      </w:pPr>
    </w:p>
    <w:p w:rsidR="00B454FB" w:rsidRPr="00D61C8A" w:rsidRDefault="00B454FB" w:rsidP="00B454FB">
      <w:pPr>
        <w:rPr>
          <w:rFonts w:ascii="Calibri" w:eastAsia="Cambria" w:hAnsi="Calibri"/>
          <w:sz w:val="20"/>
          <w:szCs w:val="20"/>
        </w:rPr>
      </w:pPr>
      <w:r w:rsidRPr="00D61C8A">
        <w:rPr>
          <w:rFonts w:ascii="Calibri" w:eastAsia="Cambria" w:hAnsi="Calibri"/>
          <w:sz w:val="20"/>
          <w:szCs w:val="20"/>
        </w:rPr>
        <w:t>DOE personnel were starting to plan systematic MRE for 2010 in November 2009.</w:t>
      </w:r>
      <w:r w:rsidRPr="00D61C8A">
        <w:rPr>
          <w:rFonts w:ascii="Calibri" w:eastAsia="Cambria" w:hAnsi="Calibri"/>
          <w:sz w:val="22"/>
          <w:szCs w:val="22"/>
          <w:vertAlign w:val="superscript"/>
        </w:rPr>
        <w:endnoteReference w:id="311"/>
      </w:r>
      <w:r w:rsidRPr="00D61C8A">
        <w:rPr>
          <w:rFonts w:ascii="Calibri" w:eastAsia="Cambria" w:hAnsi="Calibri"/>
          <w:sz w:val="20"/>
          <w:szCs w:val="20"/>
        </w:rPr>
        <w:t xml:space="preserve">  Given the successes of the 2009 program and sufficient resources, DOE personnel planned to add more districts</w:t>
      </w:r>
      <w:r w:rsidRPr="00D61C8A">
        <w:rPr>
          <w:rFonts w:ascii="Calibri" w:eastAsia="Cambria" w:hAnsi="Calibri"/>
          <w:sz w:val="22"/>
          <w:szCs w:val="22"/>
          <w:vertAlign w:val="superscript"/>
        </w:rPr>
        <w:endnoteReference w:id="312"/>
      </w:r>
      <w:r w:rsidRPr="00D61C8A">
        <w:rPr>
          <w:rFonts w:ascii="Calibri" w:eastAsia="Cambria" w:hAnsi="Calibri"/>
          <w:sz w:val="20"/>
          <w:szCs w:val="20"/>
        </w:rPr>
        <w:t xml:space="preserve"> and cover more schools within selected districts in 2010.</w:t>
      </w:r>
      <w:r w:rsidRPr="00D61C8A">
        <w:rPr>
          <w:rFonts w:ascii="Calibri" w:eastAsia="Cambria" w:hAnsi="Calibri"/>
          <w:sz w:val="22"/>
          <w:szCs w:val="22"/>
          <w:vertAlign w:val="superscript"/>
        </w:rPr>
        <w:endnoteReference w:id="313"/>
      </w:r>
      <w:r w:rsidRPr="00D61C8A">
        <w:rPr>
          <w:rFonts w:ascii="Calibri" w:eastAsia="Cambria" w:hAnsi="Calibri"/>
          <w:sz w:val="20"/>
          <w:szCs w:val="20"/>
        </w:rPr>
        <w:t xml:space="preserve">  DOE personnel also expressed an interest in arranging refresher trainings for teachers of MRE.</w:t>
      </w:r>
      <w:r w:rsidRPr="00D61C8A">
        <w:rPr>
          <w:rFonts w:ascii="Calibri" w:eastAsia="Cambria" w:hAnsi="Calibri"/>
          <w:sz w:val="22"/>
          <w:szCs w:val="22"/>
          <w:vertAlign w:val="superscript"/>
        </w:rPr>
        <w:endnoteReference w:id="314"/>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VI.B.3</w:t>
      </w:r>
      <w:r>
        <w:rPr>
          <w:rFonts w:ascii="Calibri" w:hAnsi="Calibri"/>
          <w:sz w:val="20"/>
          <w:szCs w:val="20"/>
        </w:rPr>
        <w:tab/>
      </w:r>
      <w:r>
        <w:rPr>
          <w:rFonts w:ascii="Calibri" w:hAnsi="Calibri"/>
          <w:sz w:val="20"/>
          <w:szCs w:val="20"/>
        </w:rPr>
        <w:tab/>
      </w:r>
      <w:r w:rsidRPr="00D61C8A">
        <w:rPr>
          <w:rFonts w:ascii="Calibri" w:hAnsi="Calibri"/>
          <w:sz w:val="20"/>
          <w:szCs w:val="20"/>
        </w:rPr>
        <w:t xml:space="preserve">Coordination of MRE </w:t>
      </w:r>
      <w:r>
        <w:rPr>
          <w:rFonts w:ascii="Calibri" w:hAnsi="Calibri"/>
          <w:sz w:val="20"/>
          <w:szCs w:val="20"/>
        </w:rPr>
        <w:t xml:space="preserve">sign and </w:t>
      </w:r>
      <w:r w:rsidRPr="00D61C8A">
        <w:rPr>
          <w:rFonts w:ascii="Calibri" w:hAnsi="Calibri"/>
          <w:sz w:val="20"/>
          <w:szCs w:val="20"/>
        </w:rPr>
        <w:t>media campaigns</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i/>
          <w:color w:val="76923C"/>
          <w:sz w:val="20"/>
          <w:szCs w:val="20"/>
        </w:rPr>
      </w:pPr>
      <w:r w:rsidRPr="00D61C8A">
        <w:rPr>
          <w:rFonts w:ascii="Calibri" w:eastAsia="Cambria" w:hAnsi="Calibri"/>
          <w:i/>
          <w:color w:val="76923C"/>
          <w:sz w:val="20"/>
          <w:szCs w:val="20"/>
        </w:rPr>
        <w:t xml:space="preserve">Activity description from UNICEF Annual Work Plan 2008: </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color w:val="76923C"/>
          <w:sz w:val="20"/>
          <w:szCs w:val="20"/>
        </w:rPr>
      </w:pPr>
      <w:r w:rsidRPr="00D61C8A">
        <w:rPr>
          <w:rFonts w:ascii="Calibri" w:eastAsia="Cambria" w:hAnsi="Calibri"/>
          <w:color w:val="76923C"/>
          <w:sz w:val="20"/>
          <w:szCs w:val="20"/>
        </w:rPr>
        <w:t>· “Support ‘Equal Access Project’ with Radio Nepal, including MRE in national broadcasts and life-skills training, through entertainment and listener clubs.”</w:t>
      </w:r>
      <w:r>
        <w:rPr>
          <w:rStyle w:val="EndnoteReference"/>
          <w:rFonts w:ascii="Calibri" w:hAnsi="Calibri"/>
          <w:color w:val="76923C"/>
          <w:sz w:val="20"/>
          <w:szCs w:val="20"/>
        </w:rPr>
        <w:endnoteReference w:id="315"/>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i/>
          <w:color w:val="76923C"/>
          <w:sz w:val="20"/>
          <w:szCs w:val="20"/>
        </w:rPr>
      </w:pPr>
      <w:r w:rsidRPr="00D61C8A">
        <w:rPr>
          <w:rFonts w:ascii="Calibri" w:eastAsia="Cambria" w:hAnsi="Calibri"/>
          <w:i/>
          <w:color w:val="76923C"/>
          <w:sz w:val="20"/>
          <w:szCs w:val="20"/>
        </w:rPr>
        <w:t xml:space="preserve">Activity description from UNICEF Annual Work Plan 2009: </w:t>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color w:val="76923C"/>
          <w:sz w:val="20"/>
          <w:szCs w:val="20"/>
        </w:rPr>
      </w:pPr>
      <w:r w:rsidRPr="00D61C8A">
        <w:rPr>
          <w:rFonts w:ascii="Calibri" w:eastAsia="Cambria" w:hAnsi="Calibri"/>
          <w:color w:val="76923C"/>
          <w:sz w:val="20"/>
          <w:szCs w:val="20"/>
        </w:rPr>
        <w:t>· “Develop a national public information campaign, based on local FM radios, and infuse MRE in broader existing FM radio educational/prevention programmes on IED/ERW/mine/SA risk.”</w:t>
      </w:r>
      <w:r>
        <w:rPr>
          <w:rStyle w:val="EndnoteReference"/>
          <w:rFonts w:ascii="Calibri" w:hAnsi="Calibri"/>
          <w:color w:val="76923C"/>
          <w:sz w:val="20"/>
          <w:szCs w:val="20"/>
        </w:rPr>
        <w:endnoteReference w:id="316"/>
      </w:r>
    </w:p>
    <w:p w:rsidR="00B454FB" w:rsidRPr="00D61C8A" w:rsidRDefault="00B454FB" w:rsidP="00B454FB">
      <w:pPr>
        <w:spacing w:line="276" w:lineRule="auto"/>
        <w:rPr>
          <w:rFonts w:ascii="Calibri" w:eastAsia="Cambria" w:hAnsi="Calibri"/>
          <w:sz w:val="20"/>
          <w:szCs w:val="20"/>
        </w:rPr>
      </w:pPr>
    </w:p>
    <w:p w:rsidR="00B454FB" w:rsidRDefault="00B454FB" w:rsidP="00B454FB">
      <w:pPr>
        <w:spacing w:line="276" w:lineRule="auto"/>
        <w:rPr>
          <w:rFonts w:ascii="Calibri" w:eastAsia="Cambria" w:hAnsi="Calibri"/>
          <w:sz w:val="20"/>
          <w:szCs w:val="20"/>
        </w:rPr>
      </w:pPr>
      <w:r>
        <w:rPr>
          <w:rFonts w:ascii="Calibri" w:hAnsi="Calibri"/>
          <w:sz w:val="20"/>
          <w:szCs w:val="20"/>
        </w:rPr>
        <w:t>UNICEF produced approximately 14,000 landmine and IED hazard signs which were distributed to the NA and the PLA and placed in 350 hazardous areas.  Signs were produced at the cost of USD1 each.</w:t>
      </w:r>
    </w:p>
    <w:p w:rsidR="00B454FB"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In February 2007, UNICEF and </w:t>
      </w:r>
      <w:r>
        <w:rPr>
          <w:rFonts w:ascii="Calibri" w:eastAsia="Cambria" w:hAnsi="Calibri"/>
          <w:sz w:val="20"/>
          <w:szCs w:val="20"/>
        </w:rPr>
        <w:t xml:space="preserve">the </w:t>
      </w:r>
      <w:r w:rsidRPr="00D61C8A">
        <w:rPr>
          <w:rFonts w:ascii="Calibri" w:eastAsia="Cambria" w:hAnsi="Calibri"/>
          <w:sz w:val="20"/>
          <w:szCs w:val="20"/>
        </w:rPr>
        <w:t>MAJWG launched “Don’t Touch Explosives—Save Lives, Save Limbs”, a nationwide media campaign incorporating printed messages and public service announcements in newspapers and posters and on radio and television.</w:t>
      </w:r>
      <w:r w:rsidRPr="00D61C8A">
        <w:rPr>
          <w:rFonts w:ascii="Calibri" w:eastAsia="Cambria" w:hAnsi="Calibri"/>
          <w:sz w:val="20"/>
          <w:vertAlign w:val="superscript"/>
        </w:rPr>
        <w:endnoteReference w:id="317"/>
      </w:r>
      <w:r w:rsidRPr="00D61C8A">
        <w:rPr>
          <w:rFonts w:ascii="Calibri" w:eastAsia="Cambria" w:hAnsi="Calibri"/>
          <w:sz w:val="20"/>
          <w:szCs w:val="20"/>
        </w:rPr>
        <w:t xml:space="preserve">  Additional campaigns were launched in September 2008 and September 2009.</w:t>
      </w:r>
      <w:r w:rsidRPr="00D61C8A">
        <w:rPr>
          <w:rFonts w:ascii="Calibri" w:eastAsia="Cambria" w:hAnsi="Calibri"/>
          <w:sz w:val="20"/>
          <w:vertAlign w:val="superscript"/>
        </w:rPr>
        <w:endnoteReference w:id="318"/>
      </w:r>
      <w:r w:rsidRPr="00D61C8A">
        <w:rPr>
          <w:rFonts w:ascii="Calibri" w:eastAsia="Cambria" w:hAnsi="Calibri"/>
          <w:sz w:val="20"/>
          <w:szCs w:val="20"/>
        </w:rPr>
        <w:t xml:space="preserve">  Media campaigns have been targeted based on VAE injury surveillance system data, with a specific emphasis on reaching children.</w:t>
      </w:r>
      <w:r w:rsidRPr="00D61C8A">
        <w:rPr>
          <w:rFonts w:ascii="Calibri" w:eastAsia="Cambria" w:hAnsi="Calibri"/>
          <w:sz w:val="20"/>
          <w:vertAlign w:val="superscript"/>
        </w:rPr>
        <w:endnoteReference w:id="319"/>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To develop the media materials, UNICEF conducted competitive bidding with national-level advertising companies via a TOR and special service agreement in 2007 and 2008.  In 2009, UNICEF’s Program Communication Section arranged long-term contracts with several advertising companies to address media needs.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During 2007, UNICEF printed MRE messages in 53 local and </w:t>
      </w:r>
      <w:r>
        <w:rPr>
          <w:rFonts w:ascii="Calibri" w:eastAsia="Cambria" w:hAnsi="Calibri"/>
          <w:sz w:val="20"/>
          <w:szCs w:val="20"/>
        </w:rPr>
        <w:t>nine</w:t>
      </w:r>
      <w:r w:rsidRPr="00D61C8A">
        <w:rPr>
          <w:rFonts w:ascii="Calibri" w:eastAsia="Cambria" w:hAnsi="Calibri"/>
          <w:sz w:val="20"/>
          <w:szCs w:val="20"/>
        </w:rPr>
        <w:t xml:space="preserve"> national newspapers.  After the 2007 KAP survey (see Section VI.B.5) found that people used radio and television more often than newspapers, UNICEF stopped printing messages in newspapers and focused </w:t>
      </w:r>
      <w:r>
        <w:rPr>
          <w:rFonts w:ascii="Calibri" w:eastAsia="Cambria" w:hAnsi="Calibri"/>
          <w:sz w:val="20"/>
          <w:szCs w:val="20"/>
        </w:rPr>
        <w:t xml:space="preserve">messaging </w:t>
      </w:r>
      <w:r w:rsidRPr="00D61C8A">
        <w:rPr>
          <w:rFonts w:ascii="Calibri" w:eastAsia="Cambria" w:hAnsi="Calibri"/>
          <w:sz w:val="20"/>
          <w:szCs w:val="20"/>
        </w:rPr>
        <w:t>on radio and television.</w:t>
      </w:r>
      <w:r w:rsidRPr="00D61C8A">
        <w:rPr>
          <w:rFonts w:ascii="Calibri" w:eastAsia="Cambria" w:hAnsi="Calibri"/>
          <w:sz w:val="20"/>
          <w:vertAlign w:val="superscript"/>
        </w:rPr>
        <w:endnoteReference w:id="320"/>
      </w:r>
      <w:r w:rsidRPr="00D61C8A">
        <w:rPr>
          <w:rFonts w:ascii="Calibri" w:eastAsia="Cambria" w:hAnsi="Calibri"/>
          <w:sz w:val="20"/>
          <w:szCs w:val="20"/>
        </w:rPr>
        <w:t xml:space="preserve">  </w:t>
      </w:r>
      <w:r>
        <w:rPr>
          <w:rFonts w:ascii="Calibri" w:eastAsia="Cambria" w:hAnsi="Calibri"/>
          <w:sz w:val="20"/>
          <w:szCs w:val="20"/>
        </w:rPr>
        <w:t>The MAJWG</w:t>
      </w:r>
      <w:r w:rsidRPr="00D61C8A">
        <w:rPr>
          <w:rFonts w:ascii="Calibri" w:eastAsia="Cambria" w:hAnsi="Calibri"/>
          <w:sz w:val="20"/>
          <w:szCs w:val="20"/>
        </w:rPr>
        <w:t xml:space="preserve"> revised the content of </w:t>
      </w:r>
      <w:r>
        <w:rPr>
          <w:rFonts w:ascii="Calibri" w:eastAsia="Cambria" w:hAnsi="Calibri"/>
          <w:sz w:val="20"/>
          <w:szCs w:val="20"/>
        </w:rPr>
        <w:t>MRE</w:t>
      </w:r>
      <w:r w:rsidRPr="00D61C8A">
        <w:rPr>
          <w:rFonts w:ascii="Calibri" w:eastAsia="Cambria" w:hAnsi="Calibri"/>
          <w:sz w:val="20"/>
          <w:szCs w:val="20"/>
        </w:rPr>
        <w:t xml:space="preserve"> materials in 2008 and 2009 based on the KAP survey, INSEC surveillance data and other sources.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Pr>
          <w:rFonts w:ascii="Calibri" w:eastAsia="Cambria" w:hAnsi="Calibri"/>
          <w:sz w:val="20"/>
          <w:szCs w:val="20"/>
        </w:rPr>
        <w:t>MRE</w:t>
      </w:r>
      <w:r w:rsidRPr="00D61C8A">
        <w:rPr>
          <w:rFonts w:ascii="Calibri" w:eastAsia="Cambria" w:hAnsi="Calibri"/>
          <w:sz w:val="20"/>
          <w:szCs w:val="20"/>
        </w:rPr>
        <w:t xml:space="preserve"> posters have been placed in highly visible locations at schools, local shops, health posts, training centers, police stations, and crossroads.  Images shown on the poster are available in Appendix B.1.e; the text reads, “Save Lives, Save Limbs.  Do not touch suspect objects and report them to the appropriate authorities.”</w:t>
      </w:r>
      <w:r w:rsidRPr="00D61C8A">
        <w:rPr>
          <w:rFonts w:ascii="Calibri" w:eastAsia="Cambria" w:hAnsi="Calibri"/>
          <w:sz w:val="20"/>
          <w:vertAlign w:val="superscript"/>
        </w:rPr>
        <w:endnoteReference w:id="321"/>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UNICEF </w:t>
      </w:r>
      <w:r>
        <w:rPr>
          <w:rFonts w:ascii="Calibri" w:eastAsia="Cambria" w:hAnsi="Calibri"/>
          <w:sz w:val="20"/>
          <w:szCs w:val="20"/>
        </w:rPr>
        <w:t xml:space="preserve">and the MAJWG </w:t>
      </w:r>
      <w:r w:rsidRPr="00D61C8A">
        <w:rPr>
          <w:rFonts w:ascii="Calibri" w:eastAsia="Cambria" w:hAnsi="Calibri"/>
          <w:sz w:val="20"/>
          <w:szCs w:val="20"/>
        </w:rPr>
        <w:t>aired radio spots on 35 national and local radio stations in September 2008</w:t>
      </w:r>
      <w:r w:rsidRPr="00D61C8A">
        <w:rPr>
          <w:rFonts w:ascii="Calibri" w:eastAsia="Cambria" w:hAnsi="Calibri"/>
          <w:sz w:val="20"/>
          <w:vertAlign w:val="superscript"/>
        </w:rPr>
        <w:endnoteReference w:id="322"/>
      </w:r>
      <w:r w:rsidRPr="00D61C8A">
        <w:rPr>
          <w:rFonts w:ascii="Calibri" w:eastAsia="Cambria" w:hAnsi="Calibri"/>
          <w:sz w:val="20"/>
          <w:szCs w:val="20"/>
        </w:rPr>
        <w:t xml:space="preserve"> and on 119 stations in 2009.</w:t>
      </w:r>
      <w:r w:rsidRPr="00D61C8A">
        <w:rPr>
          <w:rFonts w:ascii="Calibri" w:eastAsia="Cambria" w:hAnsi="Calibri"/>
          <w:sz w:val="20"/>
          <w:vertAlign w:val="superscript"/>
        </w:rPr>
        <w:endnoteReference w:id="323"/>
      </w:r>
      <w:r w:rsidRPr="00D61C8A">
        <w:rPr>
          <w:rFonts w:ascii="Calibri" w:eastAsia="Cambria" w:hAnsi="Calibri"/>
          <w:sz w:val="20"/>
          <w:szCs w:val="20"/>
        </w:rPr>
        <w:t xml:space="preserve">  Radio spots were aired on two or three stations in most selected districts; more stations were selected in Kathmandu.</w:t>
      </w:r>
      <w:r w:rsidRPr="00D61C8A">
        <w:rPr>
          <w:rFonts w:ascii="Calibri" w:eastAsia="Cambria" w:hAnsi="Calibri"/>
          <w:sz w:val="20"/>
          <w:vertAlign w:val="superscript"/>
        </w:rPr>
        <w:endnoteReference w:id="324"/>
      </w:r>
      <w:r w:rsidRPr="00D61C8A">
        <w:rPr>
          <w:rFonts w:ascii="Calibri" w:eastAsia="Cambria" w:hAnsi="Calibri"/>
          <w:sz w:val="20"/>
          <w:szCs w:val="20"/>
        </w:rPr>
        <w:t xml:space="preserve">  Ten different radio spots were aired:</w:t>
      </w:r>
    </w:p>
    <w:p w:rsidR="00B454FB" w:rsidRPr="00D61C8A" w:rsidRDefault="00B454FB" w:rsidP="00B454FB">
      <w:pPr>
        <w:numPr>
          <w:ilvl w:val="0"/>
          <w:numId w:val="44"/>
        </w:numPr>
        <w:spacing w:line="276" w:lineRule="auto"/>
        <w:contextualSpacing/>
        <w:rPr>
          <w:rFonts w:ascii="Calibri" w:hAnsi="Calibri"/>
          <w:sz w:val="20"/>
          <w:szCs w:val="20"/>
        </w:rPr>
      </w:pPr>
      <w:r w:rsidRPr="00D61C8A">
        <w:rPr>
          <w:rFonts w:ascii="Calibri" w:hAnsi="Calibri"/>
          <w:sz w:val="20"/>
          <w:szCs w:val="20"/>
        </w:rPr>
        <w:t>Four radio spots contained messages based on the situations in the four television spots (see “Sign of Danger” through “Explosion on Garbage” below), recreated as narratives with sound effects of children and explosions.  These four messages were broadcast in Nepali.</w:t>
      </w:r>
    </w:p>
    <w:p w:rsidR="00B454FB" w:rsidRPr="00D61C8A" w:rsidRDefault="00B454FB" w:rsidP="00B454FB">
      <w:pPr>
        <w:numPr>
          <w:ilvl w:val="0"/>
          <w:numId w:val="44"/>
        </w:numPr>
        <w:spacing w:line="276" w:lineRule="auto"/>
        <w:contextualSpacing/>
        <w:rPr>
          <w:rFonts w:ascii="Calibri" w:hAnsi="Calibri"/>
          <w:sz w:val="20"/>
          <w:szCs w:val="20"/>
        </w:rPr>
      </w:pPr>
      <w:r w:rsidRPr="00D61C8A">
        <w:rPr>
          <w:rFonts w:ascii="Calibri" w:hAnsi="Calibri"/>
          <w:sz w:val="20"/>
          <w:szCs w:val="20"/>
        </w:rPr>
        <w:t>One radio spot combined the stories in the first four spots with general messages about numbers of people injured by VAE.  This spot was translated into six languages (Avadhi, Bhojpuri, Doteli, Maithali, Tamang and Tharu) and broadcast as six distinct radio spots.</w:t>
      </w:r>
      <w:r w:rsidRPr="00D61C8A">
        <w:rPr>
          <w:rFonts w:ascii="Calibri" w:hAnsi="Calibri"/>
          <w:sz w:val="20"/>
          <w:vertAlign w:val="superscript"/>
        </w:rPr>
        <w:endnoteReference w:id="325"/>
      </w: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UNICEF also infused MRE messaging in its popular radio program </w:t>
      </w:r>
      <w:r w:rsidRPr="00D61C8A">
        <w:rPr>
          <w:rFonts w:ascii="Calibri" w:eastAsia="Cambria" w:hAnsi="Calibri"/>
          <w:i/>
          <w:sz w:val="20"/>
          <w:szCs w:val="20"/>
        </w:rPr>
        <w:t>Saathi Sanga Man Ka Kura</w:t>
      </w:r>
      <w:r w:rsidRPr="00D61C8A">
        <w:rPr>
          <w:rFonts w:ascii="Calibri" w:eastAsia="Cambria" w:hAnsi="Calibri"/>
          <w:sz w:val="20"/>
          <w:szCs w:val="20"/>
        </w:rPr>
        <w:t>, “Chatting with My Best Friend.”</w:t>
      </w:r>
      <w:r w:rsidRPr="00D61C8A">
        <w:rPr>
          <w:rFonts w:ascii="Calibri" w:eastAsia="Cambria" w:hAnsi="Calibri"/>
          <w:sz w:val="20"/>
          <w:vertAlign w:val="superscript"/>
        </w:rPr>
        <w:footnoteReference w:id="19"/>
      </w:r>
      <w:r w:rsidRPr="00D61C8A">
        <w:rPr>
          <w:rFonts w:ascii="Calibri" w:eastAsia="Cambria" w:hAnsi="Calibri"/>
          <w:sz w:val="20"/>
          <w:szCs w:val="20"/>
        </w:rPr>
        <w:t xml:space="preserve">  The one-hour program is produced by and for young people and is broadcast by 18 radio stations nationwide every Saturday afternoon.  The program is popular among young people, who have formed 900 listeners’ clubs and who send almost 500 letters to the show each month.</w:t>
      </w:r>
      <w:r w:rsidRPr="00D61C8A">
        <w:rPr>
          <w:rFonts w:ascii="Calibri" w:eastAsia="Cambria" w:hAnsi="Calibri"/>
          <w:sz w:val="20"/>
          <w:vertAlign w:val="superscript"/>
        </w:rPr>
        <w:endnoteReference w:id="326"/>
      </w:r>
      <w:r w:rsidRPr="00D61C8A">
        <w:rPr>
          <w:rFonts w:ascii="Calibri" w:eastAsia="Cambria" w:hAnsi="Calibri"/>
          <w:sz w:val="20"/>
          <w:szCs w:val="20"/>
        </w:rPr>
        <w:t xml:space="preserve">  The UNMIN</w:t>
      </w:r>
      <w:r>
        <w:rPr>
          <w:rFonts w:ascii="Calibri" w:eastAsia="Cambria" w:hAnsi="Calibri"/>
          <w:sz w:val="20"/>
          <w:szCs w:val="20"/>
        </w:rPr>
        <w:t>/</w:t>
      </w:r>
      <w:r w:rsidRPr="00D61C8A">
        <w:rPr>
          <w:rFonts w:ascii="Calibri" w:eastAsia="Cambria" w:hAnsi="Calibri"/>
          <w:sz w:val="20"/>
          <w:szCs w:val="20"/>
        </w:rPr>
        <w:t xml:space="preserve">UN Radio Team and the Digital Broadcasting Initiative have also incorporated MRE messages into some of their programs.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sz w:val="20"/>
          <w:szCs w:val="20"/>
        </w:rPr>
        <w:t xml:space="preserve">UNICEF </w:t>
      </w:r>
      <w:r>
        <w:rPr>
          <w:rFonts w:ascii="Calibri" w:eastAsia="Cambria" w:hAnsi="Calibri"/>
          <w:sz w:val="20"/>
          <w:szCs w:val="20"/>
        </w:rPr>
        <w:t xml:space="preserve">and the MAJWG </w:t>
      </w:r>
      <w:r w:rsidRPr="00D61C8A">
        <w:rPr>
          <w:rFonts w:ascii="Calibri" w:eastAsia="Cambria" w:hAnsi="Calibri"/>
          <w:sz w:val="20"/>
          <w:szCs w:val="20"/>
        </w:rPr>
        <w:t xml:space="preserve">aired four </w:t>
      </w:r>
      <w:r>
        <w:rPr>
          <w:rFonts w:ascii="Calibri" w:eastAsia="Cambria" w:hAnsi="Calibri"/>
          <w:sz w:val="20"/>
          <w:szCs w:val="20"/>
        </w:rPr>
        <w:t>television spot</w:t>
      </w:r>
      <w:r w:rsidRPr="00D61C8A">
        <w:rPr>
          <w:rFonts w:ascii="Calibri" w:eastAsia="Cambria" w:hAnsi="Calibri"/>
          <w:sz w:val="20"/>
          <w:szCs w:val="20"/>
        </w:rPr>
        <w:t>s on six national television channels in September 2008</w:t>
      </w:r>
      <w:r w:rsidRPr="00D61C8A">
        <w:rPr>
          <w:rFonts w:ascii="Calibri" w:eastAsia="Cambria" w:hAnsi="Calibri"/>
          <w:sz w:val="20"/>
          <w:vertAlign w:val="superscript"/>
        </w:rPr>
        <w:endnoteReference w:id="327"/>
      </w:r>
      <w:r w:rsidRPr="00D61C8A">
        <w:rPr>
          <w:rFonts w:ascii="Calibri" w:eastAsia="Cambria" w:hAnsi="Calibri"/>
          <w:sz w:val="20"/>
          <w:szCs w:val="20"/>
        </w:rPr>
        <w:t xml:space="preserve"> and on eight channels in 2009.</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sz w:val="20"/>
          <w:szCs w:val="20"/>
        </w:rPr>
      </w:pPr>
      <w:r w:rsidRPr="00D61C8A">
        <w:rPr>
          <w:rFonts w:ascii="Calibri" w:eastAsia="Cambria" w:hAnsi="Calibri"/>
          <w:sz w:val="20"/>
          <w:szCs w:val="20"/>
        </w:rPr>
        <w:t>Each television spot starts with one of four different scenarios:</w:t>
      </w:r>
    </w:p>
    <w:p w:rsidR="00B454FB" w:rsidRPr="00D61C8A" w:rsidRDefault="00B454FB" w:rsidP="00B454FB">
      <w:pPr>
        <w:numPr>
          <w:ilvl w:val="0"/>
          <w:numId w:val="45"/>
        </w:numPr>
        <w:spacing w:line="276" w:lineRule="auto"/>
        <w:contextualSpacing/>
        <w:rPr>
          <w:rFonts w:ascii="Calibri" w:hAnsi="Calibri"/>
          <w:sz w:val="20"/>
          <w:szCs w:val="20"/>
        </w:rPr>
      </w:pPr>
      <w:r w:rsidRPr="00D61C8A">
        <w:rPr>
          <w:rFonts w:ascii="Calibri" w:hAnsi="Calibri"/>
          <w:b/>
          <w:sz w:val="20"/>
          <w:szCs w:val="20"/>
        </w:rPr>
        <w:t>“Sign of Danger”</w:t>
      </w:r>
      <w:r w:rsidRPr="00D61C8A">
        <w:rPr>
          <w:rFonts w:ascii="Calibri" w:hAnsi="Calibri"/>
          <w:sz w:val="20"/>
          <w:szCs w:val="20"/>
        </w:rPr>
        <w:t>: A mother is cutting grass while her daughter plays nearby.  The mother tells her daughter that she is going to cut grass in another area, but her daughter sees a danger sign and convinces her mother not to cut grass in that area.  The spot then shows photographs of devices that could have been in the area.</w:t>
      </w:r>
    </w:p>
    <w:p w:rsidR="00B454FB" w:rsidRPr="00D61C8A" w:rsidRDefault="00B454FB" w:rsidP="00B454FB">
      <w:pPr>
        <w:numPr>
          <w:ilvl w:val="0"/>
          <w:numId w:val="45"/>
        </w:numPr>
        <w:spacing w:line="276" w:lineRule="auto"/>
        <w:contextualSpacing/>
        <w:rPr>
          <w:rFonts w:ascii="Calibri" w:hAnsi="Calibri"/>
          <w:sz w:val="20"/>
          <w:szCs w:val="20"/>
        </w:rPr>
      </w:pPr>
      <w:r w:rsidRPr="00D61C8A">
        <w:rPr>
          <w:rFonts w:ascii="Calibri" w:hAnsi="Calibri"/>
          <w:b/>
          <w:sz w:val="20"/>
          <w:szCs w:val="20"/>
        </w:rPr>
        <w:t>“Abandoned Bag”</w:t>
      </w:r>
      <w:r w:rsidRPr="00D61C8A">
        <w:rPr>
          <w:rFonts w:ascii="Calibri" w:hAnsi="Calibri"/>
          <w:sz w:val="20"/>
          <w:szCs w:val="20"/>
        </w:rPr>
        <w:t>: Some children are playing.  A girl points to an abandoned bag, runs to it and picks it up.  Several children fight over who will open the bag and the bag explodes.  The viewer is shown the aftermath of the explosion</w:t>
      </w:r>
      <w:r>
        <w:rPr>
          <w:rFonts w:ascii="Calibri" w:hAnsi="Calibri"/>
          <w:sz w:val="20"/>
          <w:szCs w:val="20"/>
        </w:rPr>
        <w:t>;</w:t>
      </w:r>
      <w:r w:rsidRPr="00D61C8A">
        <w:rPr>
          <w:rFonts w:ascii="Calibri" w:hAnsi="Calibri"/>
          <w:sz w:val="20"/>
          <w:szCs w:val="20"/>
        </w:rPr>
        <w:t xml:space="preserve"> the children are not seen but the video shows burning pieces of clothing and a teddy bear.</w:t>
      </w:r>
    </w:p>
    <w:p w:rsidR="00B454FB" w:rsidRPr="00D61C8A" w:rsidRDefault="00B454FB" w:rsidP="00B454FB">
      <w:pPr>
        <w:numPr>
          <w:ilvl w:val="0"/>
          <w:numId w:val="45"/>
        </w:numPr>
        <w:spacing w:line="276" w:lineRule="auto"/>
        <w:contextualSpacing/>
        <w:rPr>
          <w:rFonts w:ascii="Calibri" w:hAnsi="Calibri"/>
          <w:sz w:val="20"/>
          <w:szCs w:val="20"/>
        </w:rPr>
      </w:pPr>
      <w:r w:rsidRPr="00D61C8A">
        <w:rPr>
          <w:rFonts w:ascii="Calibri" w:hAnsi="Calibri"/>
          <w:b/>
          <w:sz w:val="20"/>
          <w:szCs w:val="20"/>
        </w:rPr>
        <w:t>“Explosion on Riverside”</w:t>
      </w:r>
      <w:r w:rsidRPr="00D61C8A">
        <w:rPr>
          <w:rFonts w:ascii="Calibri" w:hAnsi="Calibri"/>
          <w:sz w:val="20"/>
          <w:szCs w:val="20"/>
        </w:rPr>
        <w:t>: Some children are playing with a ball, which falls into a river.  A boy goes to retrieve the ball and he sees a socket bomb in the water.  He picks up the bomb and says, “Look, it’s a socket bomb but it was in the water so it will not explode.”  The other children shout at him, telling him to leave it alone.  An explosion occurs and the children are not seen but the video shows burning pieces of clothing and the glasses of the boy who picked up the bomb.</w:t>
      </w:r>
    </w:p>
    <w:p w:rsidR="00B454FB" w:rsidRPr="00D61C8A" w:rsidRDefault="00B454FB" w:rsidP="00B454FB">
      <w:pPr>
        <w:numPr>
          <w:ilvl w:val="0"/>
          <w:numId w:val="45"/>
        </w:numPr>
        <w:spacing w:line="276" w:lineRule="auto"/>
        <w:contextualSpacing/>
        <w:rPr>
          <w:rFonts w:ascii="Calibri" w:hAnsi="Calibri"/>
          <w:sz w:val="20"/>
          <w:szCs w:val="20"/>
        </w:rPr>
      </w:pPr>
      <w:r w:rsidRPr="00D61C8A">
        <w:rPr>
          <w:rFonts w:ascii="Calibri" w:hAnsi="Calibri"/>
          <w:b/>
          <w:sz w:val="20"/>
          <w:szCs w:val="20"/>
        </w:rPr>
        <w:t>“Explosion on Garbage”</w:t>
      </w:r>
      <w:r w:rsidRPr="00D61C8A">
        <w:rPr>
          <w:rFonts w:ascii="Calibri" w:hAnsi="Calibri"/>
          <w:sz w:val="20"/>
          <w:szCs w:val="20"/>
        </w:rPr>
        <w:t>: A woman and some children are looking through garbage.  They find a pressure cooker bomb but they do not know what it is.  Some boys pull the bomb out with sticks and the bomb explodes.  The video shows burning pieces of clothing.</w:t>
      </w:r>
    </w:p>
    <w:p w:rsidR="00B454FB" w:rsidRPr="00D61C8A" w:rsidRDefault="00B454FB" w:rsidP="00B454FB">
      <w:pPr>
        <w:spacing w:line="276" w:lineRule="auto"/>
        <w:contextualSpacing/>
        <w:rPr>
          <w:rFonts w:ascii="Calibri" w:hAnsi="Calibri"/>
          <w:b/>
          <w:sz w:val="20"/>
          <w:szCs w:val="20"/>
        </w:rPr>
      </w:pPr>
    </w:p>
    <w:p w:rsidR="00B454FB" w:rsidRPr="00D61C8A" w:rsidRDefault="00B454FB" w:rsidP="00B454FB">
      <w:pPr>
        <w:spacing w:line="276" w:lineRule="auto"/>
        <w:contextualSpacing/>
        <w:rPr>
          <w:rFonts w:ascii="Calibri" w:hAnsi="Calibri"/>
          <w:sz w:val="20"/>
          <w:szCs w:val="20"/>
        </w:rPr>
      </w:pPr>
      <w:r w:rsidRPr="00D61C8A">
        <w:rPr>
          <w:rFonts w:ascii="Calibri" w:eastAsia="Cambria" w:hAnsi="Calibri"/>
          <w:sz w:val="20"/>
          <w:szCs w:val="20"/>
        </w:rPr>
        <w:t xml:space="preserve">After each of these scenarios, logos from ECHO (funder of the project) and the Mine Action Group (precursor to the MAJWG) are shown on the screen.  </w:t>
      </w:r>
      <w:r w:rsidRPr="00D61C8A">
        <w:rPr>
          <w:rFonts w:ascii="Calibri" w:hAnsi="Calibri"/>
          <w:sz w:val="20"/>
          <w:szCs w:val="20"/>
        </w:rPr>
        <w:t xml:space="preserve">The number of people who were injured by VAE in the preceding year is shown and the INSEC phone number and the slogan “Save Lives, Save Limbs” are read aloud.  </w:t>
      </w:r>
    </w:p>
    <w:p w:rsidR="00B454FB" w:rsidRPr="00D61C8A" w:rsidRDefault="00B454FB" w:rsidP="00B454FB">
      <w:pPr>
        <w:rPr>
          <w:rFonts w:ascii="Calibri"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VI.B.4</w:t>
      </w:r>
      <w:r>
        <w:rPr>
          <w:rFonts w:ascii="Calibri" w:hAnsi="Calibri"/>
          <w:sz w:val="20"/>
          <w:szCs w:val="20"/>
        </w:rPr>
        <w:tab/>
      </w:r>
      <w:r>
        <w:rPr>
          <w:rFonts w:ascii="Calibri" w:hAnsi="Calibri"/>
          <w:sz w:val="20"/>
          <w:szCs w:val="20"/>
        </w:rPr>
        <w:tab/>
      </w:r>
      <w:r w:rsidRPr="00D61C8A">
        <w:rPr>
          <w:rFonts w:ascii="Calibri" w:hAnsi="Calibri"/>
          <w:sz w:val="20"/>
          <w:szCs w:val="20"/>
        </w:rPr>
        <w:t>Monitoring and evaluation of MRE activities</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i/>
          <w:color w:val="76923C"/>
          <w:sz w:val="20"/>
          <w:szCs w:val="20"/>
        </w:rPr>
      </w:pPr>
      <w:r w:rsidRPr="00D61C8A">
        <w:rPr>
          <w:rFonts w:ascii="Calibri" w:hAnsi="Calibri"/>
          <w:i/>
          <w:color w:val="76923C"/>
          <w:sz w:val="20"/>
          <w:szCs w:val="20"/>
        </w:rPr>
        <w:t xml:space="preserve">Activity descriptions from UNICEF Annual Work Plan 2009: </w:t>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i/>
          <w:color w:val="76923C"/>
          <w:sz w:val="20"/>
          <w:szCs w:val="20"/>
        </w:rPr>
      </w:pPr>
      <w:r w:rsidRPr="00D61C8A">
        <w:rPr>
          <w:rFonts w:ascii="Calibri" w:hAnsi="Calibri"/>
          <w:color w:val="76923C"/>
          <w:sz w:val="20"/>
          <w:szCs w:val="20"/>
        </w:rPr>
        <w:t>· “Support the development of systematic monitoring of emergency/regular MRE activities by MAJWG and MoE</w:t>
      </w:r>
      <w:r>
        <w:rPr>
          <w:rStyle w:val="FootnoteReference"/>
          <w:rFonts w:ascii="Calibri" w:hAnsi="Calibri"/>
          <w:color w:val="76923C"/>
          <w:sz w:val="20"/>
          <w:szCs w:val="20"/>
        </w:rPr>
        <w:footnoteReference w:id="20"/>
      </w:r>
      <w:r w:rsidRPr="00D61C8A">
        <w:rPr>
          <w:rFonts w:ascii="Calibri" w:hAnsi="Calibri"/>
          <w:color w:val="76923C"/>
          <w:sz w:val="20"/>
          <w:szCs w:val="20"/>
        </w:rPr>
        <w:t>.</w:t>
      </w:r>
      <w:r w:rsidRPr="00D61C8A">
        <w:rPr>
          <w:rFonts w:ascii="Calibri" w:hAnsi="Calibri"/>
          <w:i/>
          <w:color w:val="76923C"/>
          <w:sz w:val="20"/>
          <w:szCs w:val="20"/>
        </w:rPr>
        <w:t xml:space="preserve"> </w:t>
      </w:r>
    </w:p>
    <w:p w:rsidR="00B454FB" w:rsidRPr="00D61C8A" w:rsidRDefault="00B454FB" w:rsidP="00B454FB">
      <w:pPr>
        <w:pBdr>
          <w:top w:val="single" w:sz="4" w:space="1" w:color="76923C"/>
          <w:left w:val="single" w:sz="4" w:space="4" w:color="76923C"/>
          <w:bottom w:val="single" w:sz="4" w:space="1" w:color="76923C"/>
          <w:right w:val="single" w:sz="4" w:space="4" w:color="76923C"/>
        </w:pBdr>
        <w:rPr>
          <w:rFonts w:ascii="Calibri" w:hAnsi="Calibri"/>
          <w:sz w:val="20"/>
          <w:szCs w:val="20"/>
        </w:rPr>
      </w:pPr>
      <w:r>
        <w:rPr>
          <w:rFonts w:ascii="Calibri" w:hAnsi="Calibri"/>
          <w:color w:val="76923C"/>
          <w:sz w:val="20"/>
          <w:szCs w:val="20"/>
        </w:rPr>
        <w:t xml:space="preserve">· </w:t>
      </w:r>
      <w:r w:rsidRPr="00D61C8A">
        <w:rPr>
          <w:rFonts w:ascii="Calibri" w:hAnsi="Calibri"/>
          <w:color w:val="76923C"/>
          <w:sz w:val="20"/>
          <w:szCs w:val="20"/>
        </w:rPr>
        <w:t>Evaluate the impact of MRE through a KAP survey and an external evaluation.”</w:t>
      </w:r>
      <w:r>
        <w:rPr>
          <w:rStyle w:val="EndnoteReference"/>
          <w:rFonts w:ascii="Calibri" w:hAnsi="Calibri"/>
          <w:color w:val="76923C"/>
          <w:sz w:val="20"/>
          <w:szCs w:val="20"/>
        </w:rPr>
        <w:endnoteReference w:id="328"/>
      </w:r>
      <w:r w:rsidRPr="00D61C8A">
        <w:rPr>
          <w:rFonts w:ascii="Calibri" w:hAnsi="Calibri"/>
          <w:color w:val="76923C"/>
          <w:sz w:val="20"/>
          <w:szCs w:val="20"/>
        </w:rPr>
        <w:t xml:space="preserve">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In 2008, Landmine Monitor reported that UNICEF MA personnel wanted to institute a strong systematic monitoring mechanism to assess MRE efficacy and coverage and to map MRE activities to avoid overlap.</w:t>
      </w:r>
      <w:r w:rsidRPr="00D61C8A">
        <w:rPr>
          <w:rStyle w:val="EndnoteReference"/>
          <w:rFonts w:ascii="Calibri" w:hAnsi="Calibri"/>
          <w:sz w:val="20"/>
          <w:szCs w:val="20"/>
        </w:rPr>
        <w:endnoteReference w:id="329"/>
      </w:r>
      <w:r w:rsidRPr="00D61C8A">
        <w:rPr>
          <w:rFonts w:ascii="Calibri" w:hAnsi="Calibri"/>
          <w:sz w:val="20"/>
          <w:szCs w:val="20"/>
        </w:rPr>
        <w:t xml:space="preserve">  Previously, UNICEF had been unable to monitor MRE due to a lack of human resources.</w:t>
      </w:r>
      <w:r w:rsidRPr="00D61C8A">
        <w:rPr>
          <w:rStyle w:val="EndnoteReference"/>
          <w:rFonts w:ascii="Calibri" w:hAnsi="Calibri"/>
          <w:sz w:val="20"/>
          <w:szCs w:val="20"/>
        </w:rPr>
        <w:endnoteReference w:id="330"/>
      </w:r>
      <w:r w:rsidRPr="00D61C8A">
        <w:rPr>
          <w:rFonts w:ascii="Calibri" w:hAnsi="Calibri"/>
          <w:sz w:val="20"/>
          <w:szCs w:val="20"/>
        </w:rPr>
        <w:t xml:space="preserve">  To address this shortcoming, UNICEF hired a full-time monitoring officer (MO) in March </w:t>
      </w:r>
      <w:r w:rsidRPr="00D61C8A">
        <w:rPr>
          <w:rFonts w:ascii="Calibri" w:hAnsi="Calibri"/>
          <w:sz w:val="20"/>
          <w:szCs w:val="20"/>
        </w:rPr>
        <w:lastRenderedPageBreak/>
        <w:t>2009.</w:t>
      </w:r>
      <w:r w:rsidRPr="00D61C8A">
        <w:rPr>
          <w:rStyle w:val="EndnoteReference"/>
          <w:rFonts w:ascii="Calibri" w:hAnsi="Calibri"/>
          <w:sz w:val="20"/>
          <w:szCs w:val="20"/>
        </w:rPr>
        <w:endnoteReference w:id="331"/>
      </w:r>
      <w:r>
        <w:rPr>
          <w:rFonts w:ascii="Calibri" w:hAnsi="Calibri"/>
          <w:sz w:val="20"/>
          <w:szCs w:val="20"/>
        </w:rPr>
        <w:t xml:space="preserve">  His </w:t>
      </w:r>
      <w:r w:rsidRPr="00D61C8A">
        <w:rPr>
          <w:rFonts w:ascii="Calibri" w:hAnsi="Calibri"/>
          <w:sz w:val="20"/>
          <w:szCs w:val="20"/>
        </w:rPr>
        <w:t>priorit</w:t>
      </w:r>
      <w:r>
        <w:rPr>
          <w:rFonts w:ascii="Calibri" w:hAnsi="Calibri"/>
          <w:sz w:val="20"/>
          <w:szCs w:val="20"/>
        </w:rPr>
        <w:t>ies</w:t>
      </w:r>
      <w:r w:rsidRPr="00D61C8A">
        <w:rPr>
          <w:rFonts w:ascii="Calibri" w:hAnsi="Calibri"/>
          <w:sz w:val="20"/>
          <w:szCs w:val="20"/>
        </w:rPr>
        <w:t xml:space="preserve"> w</w:t>
      </w:r>
      <w:r>
        <w:rPr>
          <w:rFonts w:ascii="Calibri" w:hAnsi="Calibri"/>
          <w:sz w:val="20"/>
          <w:szCs w:val="20"/>
        </w:rPr>
        <w:t>ere</w:t>
      </w:r>
      <w:r w:rsidRPr="00D61C8A">
        <w:rPr>
          <w:rFonts w:ascii="Calibri" w:hAnsi="Calibri"/>
          <w:sz w:val="20"/>
          <w:szCs w:val="20"/>
        </w:rPr>
        <w:t xml:space="preserve"> to establish monitoring of emergency and regular MRE and to support the DOE in establishing systematic MRE.</w:t>
      </w:r>
      <w:r w:rsidRPr="00D61C8A">
        <w:rPr>
          <w:rStyle w:val="EndnoteReference"/>
          <w:rFonts w:ascii="Calibri" w:hAnsi="Calibri"/>
          <w:sz w:val="20"/>
          <w:szCs w:val="20"/>
        </w:rPr>
        <w:endnoteReference w:id="332"/>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Prior to implementation of this monitoring mechanism, it was difficult for UNICEF MA personnel to keep track of the geographic spread and activities of partner organizations and MRE focal points.  Although some standard reporting forms had been developed in 2007, they had not been used systematically.</w:t>
      </w:r>
      <w:r w:rsidRPr="00D61C8A">
        <w:rPr>
          <w:rStyle w:val="EndnoteReference"/>
          <w:rFonts w:ascii="Calibri" w:hAnsi="Calibri"/>
          <w:sz w:val="20"/>
          <w:szCs w:val="20"/>
        </w:rPr>
        <w:endnoteReference w:id="333"/>
      </w:r>
      <w:r w:rsidRPr="00D61C8A">
        <w:rPr>
          <w:rFonts w:ascii="Calibri" w:hAnsi="Calibri"/>
          <w:sz w:val="20"/>
          <w:szCs w:val="20"/>
        </w:rPr>
        <w:t xml:space="preserve">  The new MO established a monitoring system by maintaining frequent contact with focal points by telephone or in person;</w:t>
      </w:r>
      <w:r w:rsidRPr="00D61C8A">
        <w:rPr>
          <w:rStyle w:val="EndnoteReference"/>
          <w:rFonts w:ascii="Calibri" w:hAnsi="Calibri"/>
          <w:sz w:val="20"/>
          <w:szCs w:val="20"/>
        </w:rPr>
        <w:endnoteReference w:id="334"/>
      </w:r>
      <w:r w:rsidRPr="00D61C8A">
        <w:rPr>
          <w:rFonts w:ascii="Calibri" w:hAnsi="Calibri"/>
          <w:sz w:val="20"/>
          <w:szCs w:val="20"/>
        </w:rPr>
        <w:t xml:space="preserve"> introducing standard data collection forms</w:t>
      </w:r>
      <w:r w:rsidRPr="00D61C8A">
        <w:rPr>
          <w:rStyle w:val="FootnoteReference"/>
          <w:rFonts w:ascii="Calibri" w:hAnsi="Calibri"/>
          <w:sz w:val="20"/>
          <w:szCs w:val="20"/>
        </w:rPr>
        <w:footnoteReference w:id="21"/>
      </w:r>
      <w:r w:rsidRPr="00D61C8A">
        <w:rPr>
          <w:rFonts w:ascii="Calibri" w:hAnsi="Calibri"/>
          <w:sz w:val="20"/>
          <w:szCs w:val="20"/>
        </w:rPr>
        <w:t xml:space="preserve"> (See Appendices B.2.a-B.2.d) and encouraging all organizations to use them; and mapping MRE activities to avoid overlap by partner organizations (see Appendix B.2.h).</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Because emergency and regular MRE activities are conducted by many of the same focal points, the MO monitors emergency and regular MRE using the same system.  He works with the DOE to monitor school-based systematic MRE.</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VI.B.4.a</w:t>
      </w:r>
      <w:r>
        <w:rPr>
          <w:rFonts w:ascii="Calibri" w:hAnsi="Calibri"/>
          <w:sz w:val="20"/>
          <w:szCs w:val="20"/>
        </w:rPr>
        <w:tab/>
      </w:r>
      <w:r>
        <w:rPr>
          <w:rFonts w:ascii="Calibri" w:hAnsi="Calibri"/>
          <w:sz w:val="20"/>
          <w:szCs w:val="20"/>
        </w:rPr>
        <w:tab/>
      </w:r>
      <w:r w:rsidRPr="00D61C8A">
        <w:rPr>
          <w:rFonts w:ascii="Calibri" w:hAnsi="Calibri"/>
          <w:sz w:val="20"/>
          <w:szCs w:val="20"/>
        </w:rPr>
        <w:t>Monitoring coverage of emergency and regular MRE</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i/>
          <w:sz w:val="20"/>
          <w:szCs w:val="20"/>
        </w:rPr>
      </w:pPr>
      <w:r w:rsidRPr="00D61C8A">
        <w:rPr>
          <w:rFonts w:ascii="Calibri" w:hAnsi="Calibri"/>
          <w:b/>
          <w:i/>
          <w:sz w:val="20"/>
          <w:szCs w:val="20"/>
        </w:rPr>
        <w:t>Establishing and maintaining frequent contact with MRE focal points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When the MO initiated the monitoring system, some MRE focal points had not received any follow-up from UNICEF since their initial trainings.</w:t>
      </w:r>
      <w:r w:rsidRPr="00D61C8A">
        <w:rPr>
          <w:rStyle w:val="EndnoteReference"/>
          <w:rFonts w:ascii="Calibri" w:hAnsi="Calibri"/>
          <w:sz w:val="20"/>
          <w:szCs w:val="20"/>
        </w:rPr>
        <w:endnoteReference w:id="335"/>
      </w:r>
      <w:r w:rsidRPr="00D61C8A">
        <w:rPr>
          <w:rFonts w:ascii="Calibri" w:hAnsi="Calibri"/>
          <w:sz w:val="20"/>
          <w:szCs w:val="20"/>
        </w:rPr>
        <w:t xml:space="preserve">  The MO </w:t>
      </w:r>
      <w:r>
        <w:rPr>
          <w:rFonts w:ascii="Calibri" w:hAnsi="Calibri"/>
          <w:sz w:val="20"/>
          <w:szCs w:val="20"/>
        </w:rPr>
        <w:t xml:space="preserve">began </w:t>
      </w:r>
      <w:r w:rsidRPr="00D61C8A">
        <w:rPr>
          <w:rFonts w:ascii="Calibri" w:hAnsi="Calibri"/>
          <w:sz w:val="20"/>
          <w:szCs w:val="20"/>
        </w:rPr>
        <w:t>call</w:t>
      </w:r>
      <w:r>
        <w:rPr>
          <w:rFonts w:ascii="Calibri" w:hAnsi="Calibri"/>
          <w:sz w:val="20"/>
          <w:szCs w:val="20"/>
        </w:rPr>
        <w:t>ing</w:t>
      </w:r>
      <w:r w:rsidRPr="00D61C8A">
        <w:rPr>
          <w:rFonts w:ascii="Calibri" w:hAnsi="Calibri"/>
          <w:sz w:val="20"/>
          <w:szCs w:val="20"/>
        </w:rPr>
        <w:t xml:space="preserve"> focal points to update contact information</w:t>
      </w:r>
      <w:r>
        <w:rPr>
          <w:rFonts w:ascii="Calibri" w:hAnsi="Calibri"/>
          <w:sz w:val="20"/>
          <w:szCs w:val="20"/>
        </w:rPr>
        <w:t>, encourage continued participation and</w:t>
      </w:r>
      <w:r w:rsidRPr="00D61C8A">
        <w:rPr>
          <w:rFonts w:ascii="Calibri" w:hAnsi="Calibri"/>
          <w:sz w:val="20"/>
          <w:szCs w:val="20"/>
        </w:rPr>
        <w:t xml:space="preserve"> learn several things:</w:t>
      </w:r>
    </w:p>
    <w:p w:rsidR="00B454FB" w:rsidRPr="00D61C8A" w:rsidRDefault="00B454FB" w:rsidP="00B454FB">
      <w:pPr>
        <w:pStyle w:val="ColorfulList-Accent11"/>
        <w:numPr>
          <w:ilvl w:val="0"/>
          <w:numId w:val="88"/>
        </w:numPr>
        <w:spacing w:line="276" w:lineRule="auto"/>
        <w:rPr>
          <w:rFonts w:ascii="Calibri" w:hAnsi="Calibri"/>
          <w:sz w:val="20"/>
          <w:szCs w:val="20"/>
        </w:rPr>
      </w:pPr>
      <w:r w:rsidRPr="00D61C8A">
        <w:rPr>
          <w:rFonts w:ascii="Calibri" w:hAnsi="Calibri"/>
          <w:sz w:val="20"/>
          <w:szCs w:val="20"/>
        </w:rPr>
        <w:t xml:space="preserve">The best ways to deliver MRE forms and materials to focal points; </w:t>
      </w:r>
    </w:p>
    <w:p w:rsidR="00B454FB" w:rsidRPr="00D61C8A" w:rsidRDefault="00B454FB" w:rsidP="00B454FB">
      <w:pPr>
        <w:pStyle w:val="ColorfulList-Accent11"/>
        <w:numPr>
          <w:ilvl w:val="0"/>
          <w:numId w:val="73"/>
        </w:numPr>
        <w:spacing w:line="276" w:lineRule="auto"/>
        <w:rPr>
          <w:rFonts w:ascii="Calibri" w:hAnsi="Calibri"/>
          <w:sz w:val="20"/>
          <w:szCs w:val="20"/>
        </w:rPr>
      </w:pPr>
      <w:r w:rsidRPr="00D61C8A">
        <w:rPr>
          <w:rFonts w:ascii="Calibri" w:hAnsi="Calibri"/>
          <w:sz w:val="20"/>
          <w:szCs w:val="20"/>
        </w:rPr>
        <w:t>Which focal points are active in which areas</w:t>
      </w:r>
      <w:r w:rsidRPr="00D61C8A">
        <w:rPr>
          <w:rFonts w:ascii="Calibri" w:eastAsia="Cambria" w:hAnsi="Calibri"/>
          <w:sz w:val="20"/>
          <w:szCs w:val="20"/>
        </w:rPr>
        <w:t xml:space="preserve">; </w:t>
      </w:r>
    </w:p>
    <w:p w:rsidR="00B454FB" w:rsidRDefault="00B454FB" w:rsidP="00B454FB">
      <w:pPr>
        <w:pStyle w:val="ColorfulList-Accent11"/>
        <w:numPr>
          <w:ilvl w:val="0"/>
          <w:numId w:val="73"/>
        </w:numPr>
        <w:spacing w:line="276" w:lineRule="auto"/>
        <w:rPr>
          <w:rFonts w:ascii="Calibri" w:hAnsi="Calibri"/>
          <w:sz w:val="20"/>
          <w:szCs w:val="20"/>
        </w:rPr>
      </w:pPr>
      <w:r w:rsidRPr="00D61C8A">
        <w:rPr>
          <w:rFonts w:ascii="Calibri" w:hAnsi="Calibri"/>
          <w:sz w:val="20"/>
          <w:szCs w:val="20"/>
        </w:rPr>
        <w:t xml:space="preserve">Which focal points plan to continue conducting MRE sessions; </w:t>
      </w:r>
    </w:p>
    <w:p w:rsidR="00B454FB" w:rsidRPr="00D61C8A" w:rsidRDefault="00B454FB" w:rsidP="00B454FB">
      <w:pPr>
        <w:pStyle w:val="ColorfulList-Accent11"/>
        <w:numPr>
          <w:ilvl w:val="0"/>
          <w:numId w:val="73"/>
        </w:numPr>
        <w:spacing w:line="276" w:lineRule="auto"/>
        <w:rPr>
          <w:rFonts w:ascii="Calibri" w:hAnsi="Calibri"/>
          <w:sz w:val="20"/>
          <w:szCs w:val="20"/>
        </w:rPr>
      </w:pPr>
      <w:r>
        <w:rPr>
          <w:rFonts w:ascii="Calibri" w:hAnsi="Calibri"/>
          <w:sz w:val="20"/>
          <w:szCs w:val="20"/>
        </w:rPr>
        <w:t xml:space="preserve">Where refresher trainings are most needed; </w:t>
      </w:r>
      <w:r w:rsidRPr="00D61C8A">
        <w:rPr>
          <w:rFonts w:ascii="Calibri" w:hAnsi="Calibri"/>
          <w:sz w:val="20"/>
          <w:szCs w:val="20"/>
        </w:rPr>
        <w:t xml:space="preserve">and </w:t>
      </w:r>
    </w:p>
    <w:p w:rsidR="00B454FB" w:rsidRPr="00D61C8A" w:rsidRDefault="00B454FB" w:rsidP="00B454FB">
      <w:pPr>
        <w:pStyle w:val="ColorfulList-Accent11"/>
        <w:numPr>
          <w:ilvl w:val="0"/>
          <w:numId w:val="73"/>
        </w:numPr>
        <w:spacing w:line="276" w:lineRule="auto"/>
        <w:rPr>
          <w:rFonts w:ascii="Calibri" w:hAnsi="Calibri"/>
          <w:sz w:val="20"/>
          <w:szCs w:val="20"/>
        </w:rPr>
      </w:pPr>
      <w:r w:rsidRPr="00D61C8A">
        <w:rPr>
          <w:rFonts w:ascii="Calibri" w:hAnsi="Calibri"/>
          <w:sz w:val="20"/>
          <w:szCs w:val="20"/>
        </w:rPr>
        <w:t xml:space="preserve">Which training methods have – and have not – been successful.  </w:t>
      </w:r>
    </w:p>
    <w:p w:rsidR="00B454FB" w:rsidRDefault="00B454FB" w:rsidP="00B454FB">
      <w:pPr>
        <w:rPr>
          <w:rFonts w:ascii="Calibri" w:hAnsi="Calibri"/>
          <w:sz w:val="20"/>
          <w:szCs w:val="20"/>
        </w:rPr>
      </w:pPr>
      <w:r w:rsidRPr="00D61C8A">
        <w:rPr>
          <w:rFonts w:ascii="Calibri" w:hAnsi="Calibri"/>
          <w:sz w:val="20"/>
          <w:szCs w:val="20"/>
        </w:rPr>
        <w:t>The MO uses the “Telephonic FAQ for MRE focal points” (see Appendix B.2.i) when making each call; he completes the form for each focal point and enters data from it into a Microsoft Excel database for use by UNICEF MA personnel.  The MO completed one round of calls in 2009, reaching more than 250 focal points.</w:t>
      </w:r>
      <w:r w:rsidRPr="00D61C8A">
        <w:rPr>
          <w:rStyle w:val="EndnoteReference"/>
          <w:rFonts w:ascii="Calibri" w:hAnsi="Calibri"/>
          <w:sz w:val="20"/>
          <w:szCs w:val="20"/>
        </w:rPr>
        <w:endnoteReference w:id="336"/>
      </w:r>
      <w:r w:rsidRPr="00D61C8A">
        <w:rPr>
          <w:rFonts w:ascii="Calibri" w:hAnsi="Calibri"/>
          <w:sz w:val="20"/>
          <w:szCs w:val="20"/>
        </w:rPr>
        <w:t xml:space="preserve">  The MO did not contact any NRCS focal points, as their activities are monitored by the central NRCS office.  The MO plans to call focal points again following the refresher training that will be held in 2010.</w:t>
      </w:r>
      <w:r w:rsidRPr="00D61C8A">
        <w:rPr>
          <w:rStyle w:val="EndnoteReference"/>
          <w:rFonts w:ascii="Calibri" w:hAnsi="Calibri"/>
          <w:sz w:val="20"/>
          <w:szCs w:val="20"/>
        </w:rPr>
        <w:endnoteReference w:id="337"/>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b/>
          <w:i/>
          <w:sz w:val="20"/>
          <w:szCs w:val="20"/>
        </w:rPr>
      </w:pPr>
      <w:r w:rsidRPr="00D61C8A">
        <w:rPr>
          <w:rFonts w:ascii="Calibri" w:hAnsi="Calibri"/>
          <w:b/>
          <w:i/>
          <w:sz w:val="20"/>
          <w:szCs w:val="20"/>
        </w:rPr>
        <w:t>MRE monitoring with the “Reporting of Emergency/Regular MRE Activities” form</w:t>
      </w:r>
    </w:p>
    <w:p w:rsidR="00B454FB" w:rsidRPr="00D61C8A" w:rsidRDefault="00B454FB" w:rsidP="00B454FB">
      <w:pPr>
        <w:rPr>
          <w:rFonts w:ascii="Calibri" w:hAnsi="Calibri"/>
          <w:sz w:val="20"/>
          <w:szCs w:val="20"/>
        </w:rPr>
      </w:pPr>
      <w:r w:rsidRPr="00D61C8A">
        <w:rPr>
          <w:rFonts w:ascii="Calibri" w:hAnsi="Calibri"/>
          <w:sz w:val="20"/>
          <w:szCs w:val="20"/>
        </w:rPr>
        <w:t>(See Appendix B.2.f for a visual representation of the emergency and regular MRE monitoring mechanism.)</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The “Reporting of Emergency/Regular MRE Activities” form (Appendix B.2.a) was introduced in January 2009 and updated in April 2009.</w:t>
      </w:r>
      <w:r w:rsidRPr="00D61C8A">
        <w:rPr>
          <w:rStyle w:val="EndnoteReference"/>
          <w:rFonts w:ascii="Calibri" w:hAnsi="Calibri"/>
          <w:sz w:val="20"/>
          <w:szCs w:val="20"/>
        </w:rPr>
        <w:endnoteReference w:id="338"/>
      </w:r>
      <w:r w:rsidRPr="00D61C8A">
        <w:rPr>
          <w:rFonts w:ascii="Calibri" w:hAnsi="Calibri"/>
          <w:sz w:val="20"/>
          <w:szCs w:val="20"/>
        </w:rPr>
        <w:t xml:space="preserve">  All emergency and regular focal points are encouraged to </w:t>
      </w:r>
      <w:r>
        <w:rPr>
          <w:rFonts w:ascii="Calibri" w:hAnsi="Calibri"/>
          <w:sz w:val="20"/>
          <w:szCs w:val="20"/>
        </w:rPr>
        <w:t>complete</w:t>
      </w:r>
      <w:r w:rsidRPr="00D61C8A">
        <w:rPr>
          <w:rFonts w:ascii="Calibri" w:hAnsi="Calibri"/>
          <w:sz w:val="20"/>
          <w:szCs w:val="20"/>
        </w:rPr>
        <w:t xml:space="preserve"> the form each time they conduct an MRE session.  The form is a two-sided single sheet of paper containing spaces for 10 trainings and 10 orientations.</w:t>
      </w:r>
      <w:r w:rsidRPr="00D61C8A">
        <w:rPr>
          <w:rStyle w:val="FootnoteReference"/>
          <w:rFonts w:ascii="Calibri" w:hAnsi="Calibri"/>
          <w:sz w:val="20"/>
          <w:szCs w:val="20"/>
        </w:rPr>
        <w:footnoteReference w:id="22"/>
      </w:r>
      <w:r w:rsidRPr="00D61C8A">
        <w:rPr>
          <w:rFonts w:ascii="Calibri" w:hAnsi="Calibri"/>
          <w:sz w:val="20"/>
          <w:szCs w:val="20"/>
        </w:rPr>
        <w:t xml:space="preserve">  One form should be used for each VDC or municipality; if a focal point conducts MRE sessions in four VDCs, he/she should fill out four forms.</w:t>
      </w:r>
      <w:r w:rsidRPr="00D61C8A">
        <w:rPr>
          <w:rStyle w:val="EndnoteReference"/>
          <w:rFonts w:ascii="Calibri" w:hAnsi="Calibri"/>
          <w:sz w:val="20"/>
          <w:szCs w:val="20"/>
        </w:rPr>
        <w:endnoteReference w:id="339"/>
      </w:r>
      <w:r w:rsidRPr="00D61C8A">
        <w:rPr>
          <w:rFonts w:ascii="Calibri" w:hAnsi="Calibri"/>
          <w:sz w:val="20"/>
          <w:szCs w:val="20"/>
        </w:rPr>
        <w:t xml:space="preserve">  Forms are delivered via trainings, MAJWG meetings and regional offices of partner organizations.</w:t>
      </w:r>
      <w:r w:rsidRPr="00D61C8A">
        <w:rPr>
          <w:rStyle w:val="EndnoteReference"/>
          <w:rFonts w:ascii="Calibri" w:hAnsi="Calibri"/>
          <w:sz w:val="20"/>
          <w:szCs w:val="20"/>
        </w:rPr>
        <w:endnoteReference w:id="340"/>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Focal points return forms to the local or central offices of their organizations on a quarterly basis.  Central organization personnel check the forms and forward them to the MO.</w:t>
      </w:r>
      <w:r w:rsidRPr="00D61C8A">
        <w:rPr>
          <w:rStyle w:val="EndnoteReference"/>
          <w:rFonts w:ascii="Calibri" w:hAnsi="Calibri"/>
          <w:sz w:val="20"/>
          <w:szCs w:val="20"/>
        </w:rPr>
        <w:endnoteReference w:id="341"/>
      </w:r>
      <w:r w:rsidRPr="00D61C8A">
        <w:rPr>
          <w:rFonts w:ascii="Calibri" w:hAnsi="Calibri"/>
          <w:sz w:val="20"/>
          <w:szCs w:val="20"/>
        </w:rPr>
        <w:t xml:space="preserve">  If the MO </w:t>
      </w:r>
      <w:r>
        <w:rPr>
          <w:rFonts w:ascii="Calibri" w:hAnsi="Calibri"/>
          <w:sz w:val="20"/>
          <w:szCs w:val="20"/>
        </w:rPr>
        <w:t>ha</w:t>
      </w:r>
      <w:r w:rsidRPr="00D61C8A">
        <w:rPr>
          <w:rFonts w:ascii="Calibri" w:hAnsi="Calibri"/>
          <w:sz w:val="20"/>
          <w:szCs w:val="20"/>
        </w:rPr>
        <w:t>s not receiv</w:t>
      </w:r>
      <w:r>
        <w:rPr>
          <w:rFonts w:ascii="Calibri" w:hAnsi="Calibri"/>
          <w:sz w:val="20"/>
          <w:szCs w:val="20"/>
        </w:rPr>
        <w:t>ed</w:t>
      </w:r>
      <w:r w:rsidRPr="00D61C8A">
        <w:rPr>
          <w:rFonts w:ascii="Calibri" w:hAnsi="Calibri"/>
          <w:sz w:val="20"/>
          <w:szCs w:val="20"/>
        </w:rPr>
        <w:t xml:space="preserve"> forms he follows up with focal points and partner organizations.</w:t>
      </w:r>
      <w:r w:rsidRPr="00D61C8A">
        <w:rPr>
          <w:rStyle w:val="EndnoteReference"/>
          <w:rFonts w:ascii="Calibri" w:hAnsi="Calibri"/>
          <w:sz w:val="20"/>
          <w:szCs w:val="20"/>
        </w:rPr>
        <w:endnoteReference w:id="342"/>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The MO keeps completed forms in a binder organized by NGO</w:t>
      </w:r>
      <w:r w:rsidRPr="00D61C8A">
        <w:rPr>
          <w:rStyle w:val="EndnoteReference"/>
          <w:rFonts w:ascii="Calibri" w:hAnsi="Calibri"/>
          <w:sz w:val="20"/>
          <w:szCs w:val="20"/>
        </w:rPr>
        <w:endnoteReference w:id="343"/>
      </w:r>
      <w:r w:rsidRPr="00D61C8A">
        <w:rPr>
          <w:rFonts w:ascii="Calibri" w:hAnsi="Calibri"/>
          <w:sz w:val="20"/>
          <w:szCs w:val="20"/>
        </w:rPr>
        <w:t xml:space="preserve"> and enters information from the forms into the Microsoft Excel database mentioned above.  This database is used to assess MRE coverage, conduct MRE mapping and prioritize emergency MRE focal points for deployment to the field.</w:t>
      </w:r>
    </w:p>
    <w:p w:rsidR="00B454FB" w:rsidRPr="00D61C8A" w:rsidRDefault="00B454FB" w:rsidP="00B454FB">
      <w:pPr>
        <w:rPr>
          <w:rFonts w:ascii="Calibri" w:hAnsi="Calibri"/>
          <w:sz w:val="20"/>
          <w:szCs w:val="20"/>
        </w:rPr>
      </w:pPr>
    </w:p>
    <w:p w:rsidR="00B454FB" w:rsidRDefault="00B454FB" w:rsidP="00B454FB">
      <w:pPr>
        <w:rPr>
          <w:rFonts w:ascii="Calibri" w:hAnsi="Calibri"/>
          <w:sz w:val="20"/>
          <w:szCs w:val="20"/>
        </w:rPr>
      </w:pPr>
      <w:r w:rsidRPr="00D61C8A">
        <w:rPr>
          <w:rFonts w:ascii="Calibri" w:hAnsi="Calibri"/>
          <w:sz w:val="20"/>
          <w:szCs w:val="20"/>
        </w:rPr>
        <w:t xml:space="preserve">At this time, UNICEF receives forms from 38 </w:t>
      </w:r>
      <w:r w:rsidRPr="00404FD1">
        <w:rPr>
          <w:rFonts w:ascii="Calibri" w:hAnsi="Calibri"/>
          <w:sz w:val="20"/>
          <w:szCs w:val="20"/>
        </w:rPr>
        <w:t>organizations.</w:t>
      </w:r>
      <w:r w:rsidRPr="00404FD1">
        <w:rPr>
          <w:rStyle w:val="EndnoteReference"/>
          <w:rFonts w:ascii="Calibri" w:hAnsi="Calibri"/>
          <w:sz w:val="20"/>
          <w:szCs w:val="20"/>
        </w:rPr>
        <w:endnoteReference w:id="344"/>
      </w:r>
      <w:r w:rsidRPr="00404FD1">
        <w:rPr>
          <w:rFonts w:ascii="Calibri" w:hAnsi="Calibri"/>
          <w:sz w:val="20"/>
          <w:szCs w:val="20"/>
        </w:rPr>
        <w:t xml:space="preserve">  </w:t>
      </w:r>
      <w:r>
        <w:rPr>
          <w:rFonts w:ascii="Calibri" w:hAnsi="Calibri"/>
          <w:sz w:val="20"/>
          <w:szCs w:val="20"/>
        </w:rPr>
        <w:t>Some partner organizations use their own monitoring forms and mechanisms; the UNICEF MO has been communicating with these organizations in an effort to combine monitoring activities</w:t>
      </w:r>
      <w:r w:rsidRPr="00404FD1">
        <w:rPr>
          <w:rFonts w:ascii="Calibri" w:hAnsi="Calibri"/>
          <w:sz w:val="20"/>
          <w:szCs w:val="20"/>
        </w:rPr>
        <w:t>.</w:t>
      </w:r>
      <w:r w:rsidRPr="00404FD1">
        <w:rPr>
          <w:rStyle w:val="EndnoteReference"/>
          <w:rFonts w:ascii="Calibri" w:hAnsi="Calibri"/>
          <w:sz w:val="20"/>
          <w:szCs w:val="20"/>
        </w:rPr>
        <w:endnoteReference w:id="345"/>
      </w:r>
    </w:p>
    <w:p w:rsidR="00B454FB" w:rsidRPr="00D61C8A" w:rsidRDefault="00B454FB" w:rsidP="00B454FB">
      <w:pPr>
        <w:rPr>
          <w:rFonts w:ascii="Calibri" w:hAnsi="Calibri"/>
        </w:rPr>
      </w:pPr>
    </w:p>
    <w:p w:rsidR="00B454FB"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VI.B.4.b</w:t>
      </w:r>
      <w:r>
        <w:rPr>
          <w:rFonts w:ascii="Calibri" w:hAnsi="Calibri"/>
          <w:sz w:val="20"/>
          <w:szCs w:val="20"/>
        </w:rPr>
        <w:tab/>
      </w:r>
      <w:r>
        <w:rPr>
          <w:rFonts w:ascii="Calibri" w:hAnsi="Calibri"/>
          <w:sz w:val="20"/>
          <w:szCs w:val="20"/>
        </w:rPr>
        <w:tab/>
      </w:r>
      <w:r w:rsidRPr="00D61C8A">
        <w:rPr>
          <w:rFonts w:ascii="Calibri" w:hAnsi="Calibri"/>
          <w:sz w:val="20"/>
          <w:szCs w:val="20"/>
        </w:rPr>
        <w:t>Monitoring coverage of systematic MRE</w:t>
      </w:r>
    </w:p>
    <w:p w:rsidR="00B454FB" w:rsidRPr="005B7907" w:rsidRDefault="00B454FB" w:rsidP="00B454FB"/>
    <w:p w:rsidR="00B454FB" w:rsidRPr="00D61C8A" w:rsidRDefault="00B454FB" w:rsidP="00B454FB">
      <w:pPr>
        <w:rPr>
          <w:rFonts w:ascii="Calibri" w:hAnsi="Calibri"/>
          <w:sz w:val="20"/>
          <w:szCs w:val="20"/>
        </w:rPr>
      </w:pPr>
      <w:r w:rsidRPr="00D61C8A">
        <w:rPr>
          <w:rFonts w:ascii="Calibri" w:hAnsi="Calibri"/>
          <w:sz w:val="20"/>
          <w:szCs w:val="20"/>
        </w:rPr>
        <w:t>(See Appendix B.2.g for a visual representation of the systematic MRE monitoring mechanism.)</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Forms and procedures for the monitoring of systematic MRE were developed by UNICEF and the DOE.</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The “Reporting of Mine Risk Education Activities in School” form (Appendix B.2.b) was developed and introduced following implementation of systematic MRE in 2009.</w:t>
      </w:r>
      <w:r w:rsidRPr="00D61C8A">
        <w:rPr>
          <w:rStyle w:val="EndnoteReference"/>
          <w:rFonts w:ascii="Calibri" w:hAnsi="Calibri"/>
          <w:sz w:val="20"/>
          <w:szCs w:val="20"/>
        </w:rPr>
        <w:endnoteReference w:id="346"/>
      </w:r>
      <w:r w:rsidRPr="00D61C8A">
        <w:rPr>
          <w:rFonts w:ascii="Calibri" w:hAnsi="Calibri"/>
          <w:sz w:val="20"/>
          <w:szCs w:val="20"/>
        </w:rPr>
        <w:t xml:space="preserve">  All teachers are encouraged to fill out this form each time they conduct an MRE session.  The form is a one-sided p</w:t>
      </w:r>
      <w:r>
        <w:rPr>
          <w:rFonts w:ascii="Calibri" w:hAnsi="Calibri"/>
          <w:sz w:val="20"/>
          <w:szCs w:val="20"/>
        </w:rPr>
        <w:t>age</w:t>
      </w:r>
      <w:r w:rsidRPr="00D61C8A">
        <w:rPr>
          <w:rFonts w:ascii="Calibri" w:hAnsi="Calibri"/>
          <w:sz w:val="20"/>
          <w:szCs w:val="20"/>
        </w:rPr>
        <w:t xml:space="preserve"> containing spaces for 10 lessons.  One form should be filled out for each school.</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Each teacher sends forms to the RP after completing all planned MRE sessions in his/her school.  RPs submit forms to DPOs during monthly meetings at District Education Offices.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DPOs enter data from these forms into another form, the “Summary Sheet: Mine Risk Education in School” (Appendix B.2.c).  DPOs send summary sheets to the DOE by fax once every one to two months, or when all schools in the district have completed planned MRE sessions.</w:t>
      </w:r>
      <w:r w:rsidRPr="00D61C8A">
        <w:rPr>
          <w:rStyle w:val="EndnoteReference"/>
          <w:rFonts w:ascii="Calibri" w:hAnsi="Calibri"/>
          <w:sz w:val="20"/>
          <w:szCs w:val="20"/>
        </w:rPr>
        <w:endnoteReference w:id="347"/>
      </w:r>
      <w:r w:rsidRPr="00D61C8A">
        <w:rPr>
          <w:rFonts w:ascii="Calibri" w:hAnsi="Calibri"/>
          <w:sz w:val="20"/>
          <w:szCs w:val="20"/>
        </w:rPr>
        <w:t xml:space="preserve">  The UNICEF MO collects these summary sheets from the DOE at least once a month</w:t>
      </w:r>
      <w:r w:rsidRPr="00D61C8A">
        <w:rPr>
          <w:rStyle w:val="EndnoteReference"/>
          <w:rFonts w:ascii="Calibri" w:hAnsi="Calibri"/>
          <w:sz w:val="20"/>
          <w:szCs w:val="20"/>
        </w:rPr>
        <w:endnoteReference w:id="348"/>
      </w:r>
      <w:r w:rsidRPr="00D61C8A">
        <w:rPr>
          <w:rFonts w:ascii="Calibri" w:hAnsi="Calibri"/>
          <w:sz w:val="20"/>
          <w:szCs w:val="20"/>
        </w:rPr>
        <w:t xml:space="preserve"> and enters data from the sheets into a Microsoft Excel database for systematic MRE.  This database is used to track MRE coverage, collect data on use and further need of MRE materials, gather additional comments and create MRE coverage maps.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The MO meets regularly with a designated DOE MRE monitoring focal point to discuss the systematic MRE program and provide support.  The MO also provides support to DPOs </w:t>
      </w:r>
      <w:r>
        <w:rPr>
          <w:rFonts w:ascii="Calibri" w:hAnsi="Calibri"/>
          <w:sz w:val="20"/>
          <w:szCs w:val="20"/>
        </w:rPr>
        <w:t>via</w:t>
      </w:r>
      <w:r w:rsidRPr="00D61C8A">
        <w:rPr>
          <w:rFonts w:ascii="Calibri" w:hAnsi="Calibri"/>
          <w:sz w:val="20"/>
          <w:szCs w:val="20"/>
        </w:rPr>
        <w:t xml:space="preserve"> field visits, e-mail, telephone and fax.  All systematic MRE activities planned for 2009 were completed by the end of the year.</w:t>
      </w:r>
      <w:r w:rsidRPr="00D61C8A">
        <w:rPr>
          <w:rStyle w:val="EndnoteReference"/>
          <w:rFonts w:ascii="Calibri" w:hAnsi="Calibri"/>
          <w:sz w:val="20"/>
          <w:szCs w:val="20"/>
        </w:rPr>
        <w:endnoteReference w:id="349"/>
      </w:r>
    </w:p>
    <w:p w:rsidR="00B454FB" w:rsidRPr="00D61C8A" w:rsidRDefault="00B454FB" w:rsidP="00B454FB">
      <w:pPr>
        <w:rPr>
          <w:rFonts w:ascii="Calibri" w:hAnsi="Calibri"/>
          <w:sz w:val="20"/>
          <w:szCs w:val="20"/>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VI.B.4.c</w:t>
      </w:r>
      <w:r>
        <w:rPr>
          <w:rFonts w:ascii="Calibri" w:hAnsi="Calibri"/>
          <w:sz w:val="20"/>
          <w:szCs w:val="20"/>
        </w:rPr>
        <w:tab/>
      </w:r>
      <w:r>
        <w:rPr>
          <w:rFonts w:ascii="Calibri" w:hAnsi="Calibri"/>
          <w:sz w:val="20"/>
          <w:szCs w:val="20"/>
        </w:rPr>
        <w:tab/>
      </w:r>
      <w:r w:rsidRPr="00D61C8A">
        <w:rPr>
          <w:rFonts w:ascii="Calibri" w:hAnsi="Calibri"/>
          <w:sz w:val="20"/>
          <w:szCs w:val="20"/>
        </w:rPr>
        <w:t>Mapping coverage of MRE</w:t>
      </w:r>
    </w:p>
    <w:p w:rsidR="00B454FB" w:rsidRPr="00D61C8A" w:rsidRDefault="00B454FB" w:rsidP="00B454FB">
      <w:pPr>
        <w:rPr>
          <w:rFonts w:ascii="Calibri" w:hAnsi="Calibri"/>
          <w:sz w:val="20"/>
          <w:szCs w:val="20"/>
        </w:rPr>
      </w:pPr>
    </w:p>
    <w:p w:rsidR="00B454FB" w:rsidRDefault="00B454FB" w:rsidP="00B454FB">
      <w:pPr>
        <w:rPr>
          <w:rFonts w:ascii="Calibri" w:hAnsi="Calibri"/>
          <w:sz w:val="20"/>
          <w:szCs w:val="20"/>
        </w:rPr>
      </w:pPr>
      <w:r w:rsidRPr="00D61C8A">
        <w:rPr>
          <w:rFonts w:ascii="Calibri" w:hAnsi="Calibri"/>
          <w:sz w:val="20"/>
          <w:szCs w:val="20"/>
        </w:rPr>
        <w:t>Data from the two Microsoft Excel databases mentioned above (one for emergency and regular MRE and one for systematic MRE) are used to map MRE activities by district.  Maps show MRE coverage in communities, total numbers of adult and child participants, active organizations, and MRE type (emergency, regular or systematic).  These data are overlaid with locations of VAE, minefields and reported IED contamination.  These maps facilitate comparison between areas of higher risk and areas covered by MRE</w:t>
      </w:r>
      <w:r>
        <w:rPr>
          <w:rFonts w:ascii="Calibri" w:hAnsi="Calibri"/>
          <w:sz w:val="20"/>
          <w:szCs w:val="20"/>
        </w:rPr>
        <w:t xml:space="preserve"> and provide a visual depiction of program successes such as rural MRE coverage</w:t>
      </w:r>
      <w:r w:rsidRPr="00D61C8A">
        <w:rPr>
          <w:rFonts w:ascii="Calibri" w:hAnsi="Calibri"/>
          <w:sz w:val="20"/>
          <w:szCs w:val="20"/>
        </w:rPr>
        <w:t>.  However, UNICEF MA personnel report that the maps require significant time for creation.</w:t>
      </w:r>
      <w:r w:rsidRPr="00D61C8A">
        <w:rPr>
          <w:rStyle w:val="EndnoteReference"/>
          <w:rFonts w:ascii="Calibri" w:hAnsi="Calibri"/>
          <w:sz w:val="20"/>
          <w:szCs w:val="20"/>
        </w:rPr>
        <w:endnoteReference w:id="350"/>
      </w:r>
      <w:r w:rsidRPr="00D61C8A">
        <w:rPr>
          <w:rFonts w:ascii="Calibri" w:hAnsi="Calibri"/>
          <w:sz w:val="20"/>
          <w:szCs w:val="20"/>
        </w:rPr>
        <w:t xml:space="preserve">  Examples of two district maps are available in Appendix B.2.h.</w:t>
      </w:r>
    </w:p>
    <w:p w:rsidR="00B454FB" w:rsidRPr="00D61C8A" w:rsidRDefault="00B454FB" w:rsidP="00B454FB">
      <w:pPr>
        <w:rPr>
          <w:rFonts w:ascii="Calibri" w:hAnsi="Calibri"/>
        </w:rPr>
      </w:pP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t>VI.B.4.d</w:t>
      </w:r>
      <w:r>
        <w:rPr>
          <w:rFonts w:ascii="Calibri" w:hAnsi="Calibri"/>
          <w:sz w:val="20"/>
          <w:szCs w:val="20"/>
        </w:rPr>
        <w:tab/>
      </w:r>
      <w:r>
        <w:rPr>
          <w:rFonts w:ascii="Calibri" w:hAnsi="Calibri"/>
          <w:sz w:val="20"/>
          <w:szCs w:val="20"/>
        </w:rPr>
        <w:tab/>
      </w:r>
      <w:r w:rsidRPr="00D61C8A">
        <w:rPr>
          <w:rFonts w:ascii="Calibri" w:hAnsi="Calibri"/>
          <w:sz w:val="20"/>
          <w:szCs w:val="20"/>
        </w:rPr>
        <w:t>Monitoring quality of MRE</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UNICEF MA personnel assess the quality of emergency, regular and systematic MRE activities </w:t>
      </w:r>
      <w:r>
        <w:rPr>
          <w:rFonts w:ascii="Calibri" w:hAnsi="Calibri"/>
          <w:sz w:val="20"/>
          <w:szCs w:val="20"/>
        </w:rPr>
        <w:t>via</w:t>
      </w:r>
      <w:r w:rsidRPr="00D61C8A">
        <w:rPr>
          <w:rFonts w:ascii="Calibri" w:hAnsi="Calibri"/>
          <w:sz w:val="20"/>
          <w:szCs w:val="20"/>
        </w:rPr>
        <w:t xml:space="preserve"> observation of MRE sessions and testing of session participants.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UNICEF MA and DOE MRE personnel observe MRE sessions and provide feedback using the “Assessment of Mine Risk Education Session” form</w:t>
      </w:r>
      <w:r w:rsidRPr="00D61C8A">
        <w:rPr>
          <w:rStyle w:val="EndnoteReference"/>
          <w:rFonts w:ascii="Calibri" w:hAnsi="Calibri"/>
          <w:sz w:val="20"/>
          <w:szCs w:val="20"/>
        </w:rPr>
        <w:endnoteReference w:id="351"/>
      </w:r>
      <w:r w:rsidRPr="00D61C8A">
        <w:rPr>
          <w:rFonts w:ascii="Calibri" w:hAnsi="Calibri"/>
          <w:sz w:val="20"/>
          <w:szCs w:val="20"/>
        </w:rPr>
        <w:t xml:space="preserve"> (see Appendix B.2.d).  Observations usually take place one to two times a month and increase in frequency while new focal points are being trained.  Observers try to visit new focal points early, enabling focal points to adjust their teaching styles according to recommendations from the observations.</w:t>
      </w:r>
      <w:r w:rsidRPr="00D61C8A">
        <w:rPr>
          <w:rStyle w:val="EndnoteReference"/>
          <w:rFonts w:ascii="Calibri" w:hAnsi="Calibri"/>
          <w:sz w:val="20"/>
          <w:szCs w:val="20"/>
        </w:rPr>
        <w:endnoteReference w:id="352"/>
      </w:r>
      <w:r w:rsidRPr="00D61C8A">
        <w:rPr>
          <w:rFonts w:ascii="Calibri" w:hAnsi="Calibri"/>
          <w:sz w:val="20"/>
          <w:szCs w:val="20"/>
        </w:rPr>
        <w:t xml:space="preserve">  During 2009, quality assurance monitoring using this form was completed for systematic MRE activities in 13 districts; forms were sent directly to the DOE.  </w:t>
      </w:r>
    </w:p>
    <w:p w:rsidR="00B454FB" w:rsidRPr="00D61C8A" w:rsidRDefault="00B454FB" w:rsidP="00B454FB">
      <w:pPr>
        <w:rPr>
          <w:rFonts w:ascii="Calibri" w:hAnsi="Calibri"/>
        </w:rPr>
      </w:pPr>
    </w:p>
    <w:p w:rsidR="00B454FB" w:rsidRPr="00D61C8A" w:rsidRDefault="00B454FB" w:rsidP="00B454FB">
      <w:pPr>
        <w:rPr>
          <w:rFonts w:ascii="Calibri" w:hAnsi="Calibri"/>
          <w:sz w:val="20"/>
          <w:szCs w:val="20"/>
        </w:rPr>
      </w:pPr>
      <w:r w:rsidRPr="00D61C8A">
        <w:rPr>
          <w:rFonts w:ascii="Calibri" w:hAnsi="Calibri"/>
          <w:sz w:val="20"/>
          <w:szCs w:val="20"/>
        </w:rPr>
        <w:t xml:space="preserve">UNICEF MA and DOE MRE personnel have also started monitoring the quality of MRE activities via the application of a two-page “Risk Education Individual Test” (Appendix B.2.e) developed by UNICEF and </w:t>
      </w:r>
      <w:r>
        <w:rPr>
          <w:rFonts w:ascii="Calibri" w:hAnsi="Calibri"/>
          <w:sz w:val="20"/>
          <w:szCs w:val="20"/>
        </w:rPr>
        <w:t xml:space="preserve">the </w:t>
      </w:r>
      <w:r w:rsidRPr="00D61C8A">
        <w:rPr>
          <w:rFonts w:ascii="Calibri" w:hAnsi="Calibri"/>
          <w:sz w:val="20"/>
          <w:szCs w:val="20"/>
        </w:rPr>
        <w:t>MAJWG and targeted for children in the lower secondary grades.</w:t>
      </w:r>
      <w:r w:rsidRPr="00D61C8A">
        <w:rPr>
          <w:rStyle w:val="EndnoteReference"/>
          <w:rFonts w:ascii="Calibri" w:hAnsi="Calibri"/>
          <w:sz w:val="20"/>
          <w:szCs w:val="20"/>
        </w:rPr>
        <w:endnoteReference w:id="353"/>
      </w:r>
      <w:r w:rsidRPr="00D61C8A">
        <w:rPr>
          <w:rFonts w:ascii="Calibri" w:hAnsi="Calibri"/>
          <w:sz w:val="20"/>
          <w:szCs w:val="20"/>
        </w:rPr>
        <w:t xml:space="preserve">  The test was developed and introduced in 2009 and has been used to monitor the quality of emergency, regular and systematic MRE.  The MRE focal point or teacher distributes the test to session participants before and after the session.  Because it is impractical and a poor use of resources to give two forms to each participant,</w:t>
      </w:r>
      <w:r w:rsidRPr="00D61C8A">
        <w:rPr>
          <w:rStyle w:val="EndnoteReference"/>
          <w:rFonts w:ascii="Calibri" w:hAnsi="Calibri"/>
          <w:sz w:val="20"/>
          <w:szCs w:val="20"/>
        </w:rPr>
        <w:endnoteReference w:id="354"/>
      </w:r>
      <w:r w:rsidRPr="00D61C8A">
        <w:rPr>
          <w:rFonts w:ascii="Calibri" w:hAnsi="Calibri"/>
          <w:sz w:val="20"/>
          <w:szCs w:val="20"/>
        </w:rPr>
        <w:t xml:space="preserve"> the test is sometimes given to a random sample of participants</w:t>
      </w:r>
      <w:r w:rsidRPr="00D61C8A">
        <w:rPr>
          <w:rStyle w:val="EndnoteReference"/>
          <w:rFonts w:ascii="Calibri" w:hAnsi="Calibri"/>
          <w:sz w:val="20"/>
          <w:szCs w:val="20"/>
        </w:rPr>
        <w:endnoteReference w:id="355"/>
      </w:r>
      <w:r w:rsidRPr="00D61C8A">
        <w:rPr>
          <w:rFonts w:ascii="Calibri" w:hAnsi="Calibri"/>
          <w:sz w:val="20"/>
          <w:szCs w:val="20"/>
        </w:rPr>
        <w:t xml:space="preserve"> or administered orally.</w:t>
      </w:r>
      <w:r w:rsidRPr="00D61C8A">
        <w:rPr>
          <w:rStyle w:val="EndnoteReference"/>
          <w:rFonts w:ascii="Calibri" w:hAnsi="Calibri"/>
          <w:sz w:val="20"/>
          <w:szCs w:val="20"/>
        </w:rPr>
        <w:endnoteReference w:id="356"/>
      </w:r>
      <w:r w:rsidRPr="00D61C8A">
        <w:rPr>
          <w:rFonts w:ascii="Calibri" w:hAnsi="Calibri"/>
          <w:sz w:val="20"/>
          <w:szCs w:val="20"/>
        </w:rPr>
        <w:t xml:space="preserve">  If the test is administered orally, pictures from the flipcharts are used to ensure that all participants can see.</w:t>
      </w:r>
      <w:r w:rsidRPr="00D61C8A">
        <w:rPr>
          <w:rStyle w:val="EndnoteReference"/>
          <w:rFonts w:ascii="Calibri" w:hAnsi="Calibri"/>
          <w:sz w:val="20"/>
          <w:szCs w:val="20"/>
        </w:rPr>
        <w:endnoteReference w:id="357"/>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Thus far, the test has not been collected by UNICEF or DOE personnel.  The purpose of the test is to inform MRE focal points and teachers of existing knowledge and misconceptions among session participants; it is not intended for evaluation of the knowledge or retention of MRE messages.</w:t>
      </w:r>
      <w:r w:rsidRPr="00D61C8A">
        <w:rPr>
          <w:rStyle w:val="EndnoteReference"/>
          <w:rFonts w:ascii="Calibri" w:hAnsi="Calibri"/>
          <w:sz w:val="20"/>
          <w:szCs w:val="20"/>
        </w:rPr>
        <w:endnoteReference w:id="358"/>
      </w:r>
    </w:p>
    <w:p w:rsidR="00B454FB" w:rsidRPr="00D61C8A" w:rsidRDefault="00B454FB" w:rsidP="00B454FB">
      <w:pPr>
        <w:rPr>
          <w:rFonts w:ascii="Calibri" w:hAnsi="Calibri"/>
          <w:sz w:val="20"/>
          <w:szCs w:val="20"/>
        </w:rPr>
      </w:pPr>
      <w:r w:rsidRPr="00D61C8A">
        <w:rPr>
          <w:rFonts w:ascii="Calibri" w:hAnsi="Calibri"/>
          <w:sz w:val="20"/>
          <w:szCs w:val="20"/>
        </w:rPr>
        <w:t xml:space="preserve"> </w:t>
      </w:r>
    </w:p>
    <w:p w:rsidR="00B454FB" w:rsidRPr="00D61C8A" w:rsidRDefault="00B454FB" w:rsidP="00B454FB">
      <w:pPr>
        <w:pStyle w:val="Heading4"/>
        <w:numPr>
          <w:ilvl w:val="0"/>
          <w:numId w:val="0"/>
        </w:numPr>
        <w:spacing w:before="0"/>
        <w:rPr>
          <w:rFonts w:ascii="Calibri" w:hAnsi="Calibri"/>
          <w:sz w:val="20"/>
          <w:szCs w:val="20"/>
        </w:rPr>
      </w:pPr>
      <w:r>
        <w:rPr>
          <w:rFonts w:ascii="Calibri" w:hAnsi="Calibri"/>
          <w:sz w:val="20"/>
          <w:szCs w:val="20"/>
        </w:rPr>
        <w:lastRenderedPageBreak/>
        <w:t>VI.B.4.e</w:t>
      </w:r>
      <w:r>
        <w:rPr>
          <w:rFonts w:ascii="Calibri" w:hAnsi="Calibri"/>
          <w:sz w:val="20"/>
          <w:szCs w:val="20"/>
        </w:rPr>
        <w:tab/>
      </w:r>
      <w:r>
        <w:rPr>
          <w:rFonts w:ascii="Calibri" w:hAnsi="Calibri"/>
          <w:sz w:val="20"/>
          <w:szCs w:val="20"/>
        </w:rPr>
        <w:tab/>
      </w:r>
      <w:r w:rsidRPr="00D61C8A">
        <w:rPr>
          <w:rFonts w:ascii="Calibri" w:hAnsi="Calibri"/>
          <w:sz w:val="20"/>
          <w:szCs w:val="20"/>
        </w:rPr>
        <w:t>External evaluation of UNICEF MRE activities</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The first external evaluation of UNICEF MRE activities was conducted in November 2009 and is the subject of this report.</w:t>
      </w:r>
    </w:p>
    <w:p w:rsidR="00B454FB" w:rsidRPr="00D61C8A" w:rsidRDefault="00B454FB" w:rsidP="00B454FB">
      <w:pPr>
        <w:rPr>
          <w:rFonts w:ascii="Calibri"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VI.B.5</w:t>
      </w:r>
      <w:r>
        <w:rPr>
          <w:rFonts w:ascii="Calibri" w:hAnsi="Calibri"/>
          <w:sz w:val="20"/>
          <w:szCs w:val="20"/>
        </w:rPr>
        <w:tab/>
      </w:r>
      <w:r>
        <w:rPr>
          <w:rFonts w:ascii="Calibri" w:hAnsi="Calibri"/>
          <w:sz w:val="20"/>
          <w:szCs w:val="20"/>
        </w:rPr>
        <w:tab/>
      </w:r>
      <w:r w:rsidRPr="00D61C8A">
        <w:rPr>
          <w:rFonts w:ascii="Calibri" w:hAnsi="Calibri"/>
          <w:sz w:val="20"/>
          <w:szCs w:val="20"/>
        </w:rPr>
        <w:t>Conduct of KAP surveys</w:t>
      </w:r>
    </w:p>
    <w:p w:rsidR="00B454FB" w:rsidRPr="00D61C8A" w:rsidRDefault="00B454FB" w:rsidP="00B454FB">
      <w:pPr>
        <w:rPr>
          <w:rFonts w:ascii="Calibri" w:hAnsi="Calibri"/>
          <w:b/>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UNICEF commissioned two surveys to assess </w:t>
      </w:r>
      <w:r w:rsidR="005226B6">
        <w:rPr>
          <w:rFonts w:ascii="Calibri" w:hAnsi="Calibri"/>
          <w:sz w:val="20"/>
          <w:szCs w:val="20"/>
        </w:rPr>
        <w:t>KAP</w:t>
      </w:r>
      <w:r w:rsidRPr="00D61C8A">
        <w:rPr>
          <w:rFonts w:ascii="Calibri" w:hAnsi="Calibri"/>
          <w:sz w:val="20"/>
          <w:szCs w:val="20"/>
        </w:rPr>
        <w:t xml:space="preserve"> regarding ED and information sources among people in six affected districts of Nepal.  Data collection and analysis for both surveys were completed by the Center for Research on Environment Health and Population Activities (CREHPA).  </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Data collection for the first survey took place in October and November 2007; a final report was published in February 2008.  Within selected districts (Dang, </w:t>
      </w:r>
      <w:r>
        <w:rPr>
          <w:rFonts w:ascii="Calibri" w:hAnsi="Calibri"/>
          <w:sz w:val="20"/>
          <w:szCs w:val="20"/>
        </w:rPr>
        <w:t xml:space="preserve">Dhanusa, </w:t>
      </w:r>
      <w:r w:rsidRPr="00D61C8A">
        <w:rPr>
          <w:rFonts w:ascii="Calibri" w:hAnsi="Calibri"/>
          <w:sz w:val="20"/>
          <w:szCs w:val="20"/>
        </w:rPr>
        <w:t>Kai</w:t>
      </w:r>
      <w:r>
        <w:rPr>
          <w:rFonts w:ascii="Calibri" w:hAnsi="Calibri"/>
          <w:sz w:val="20"/>
          <w:szCs w:val="20"/>
        </w:rPr>
        <w:t>lali, Kavre, Morang and Rupandehi</w:t>
      </w:r>
      <w:r w:rsidRPr="00D61C8A">
        <w:rPr>
          <w:rFonts w:ascii="Calibri" w:hAnsi="Calibri"/>
          <w:sz w:val="20"/>
          <w:szCs w:val="20"/>
        </w:rPr>
        <w:t xml:space="preserve">), 59 VAE injuries had occurred between January 2005 and June 2008.  These districts also contained four NA minefields and an unknown number of IED fields laid by NSAGs.  CREHPA conducted a two-stage cluster survey among 600 adults and 600 children (aged 8 to 12) in 600 households.  Survey personnel also conducted 30 interviews with local key informants and </w:t>
      </w:r>
      <w:r>
        <w:rPr>
          <w:rFonts w:ascii="Calibri" w:hAnsi="Calibri"/>
          <w:sz w:val="20"/>
          <w:szCs w:val="20"/>
        </w:rPr>
        <w:t xml:space="preserve">collected </w:t>
      </w:r>
      <w:r w:rsidRPr="00D61C8A">
        <w:rPr>
          <w:rFonts w:ascii="Calibri" w:hAnsi="Calibri"/>
          <w:sz w:val="20"/>
          <w:szCs w:val="20"/>
        </w:rPr>
        <w:t>21 case histories</w:t>
      </w:r>
      <w:r>
        <w:rPr>
          <w:rFonts w:ascii="Calibri" w:hAnsi="Calibri"/>
          <w:sz w:val="20"/>
          <w:szCs w:val="20"/>
        </w:rPr>
        <w:t xml:space="preserve"> (</w:t>
      </w:r>
      <w:r w:rsidRPr="00D61C8A">
        <w:rPr>
          <w:rFonts w:ascii="Calibri" w:hAnsi="Calibri"/>
          <w:sz w:val="20"/>
          <w:szCs w:val="20"/>
        </w:rPr>
        <w:t>five about injured adults, 13 about injured children and three about mixed risk and protective practices among civilians</w:t>
      </w:r>
      <w:r>
        <w:rPr>
          <w:rFonts w:ascii="Calibri" w:hAnsi="Calibri"/>
          <w:sz w:val="20"/>
          <w:szCs w:val="20"/>
        </w:rPr>
        <w:t>)</w:t>
      </w:r>
      <w:r w:rsidRPr="00D61C8A">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 xml:space="preserve">A summary of findings and recommendations from the 2007 survey is available in Appendix B.3.  Survey results were used to improve the content of MRE materials and messages, target particular populations and advocate for better access to MRE.  UNICEF has already addressed two recommendations from the report: organization of widespread radio campaigns </w:t>
      </w:r>
      <w:r>
        <w:rPr>
          <w:rFonts w:ascii="Calibri" w:hAnsi="Calibri"/>
          <w:sz w:val="20"/>
          <w:szCs w:val="20"/>
        </w:rPr>
        <w:t>(</w:t>
      </w:r>
      <w:r w:rsidRPr="00D61C8A">
        <w:rPr>
          <w:rFonts w:ascii="Calibri" w:hAnsi="Calibri"/>
          <w:sz w:val="20"/>
          <w:szCs w:val="20"/>
        </w:rPr>
        <w:t xml:space="preserve">including messages on the children’s radio program </w:t>
      </w:r>
      <w:r w:rsidRPr="00D61C8A">
        <w:rPr>
          <w:rFonts w:ascii="Calibri" w:eastAsia="Cambria" w:hAnsi="Calibri"/>
          <w:i/>
          <w:sz w:val="20"/>
          <w:szCs w:val="20"/>
        </w:rPr>
        <w:t>Saathi Sanga Man Ka Kura</w:t>
      </w:r>
      <w:r>
        <w:rPr>
          <w:rFonts w:ascii="Calibri" w:hAnsi="Calibri"/>
          <w:sz w:val="20"/>
          <w:szCs w:val="20"/>
        </w:rPr>
        <w:t xml:space="preserve">) with the MAJWG </w:t>
      </w:r>
      <w:r w:rsidRPr="00D61C8A">
        <w:rPr>
          <w:rFonts w:ascii="Calibri" w:hAnsi="Calibri"/>
          <w:sz w:val="20"/>
          <w:szCs w:val="20"/>
        </w:rPr>
        <w:t>and implementation of MRE in schools</w:t>
      </w:r>
      <w:r>
        <w:rPr>
          <w:rFonts w:ascii="Calibri" w:hAnsi="Calibri"/>
          <w:sz w:val="20"/>
          <w:szCs w:val="20"/>
        </w:rPr>
        <w:t xml:space="preserve"> with the DOE</w:t>
      </w:r>
      <w:r w:rsidRPr="00D61C8A">
        <w:rPr>
          <w:rFonts w:ascii="Calibri" w:hAnsi="Calibri"/>
          <w:sz w:val="20"/>
          <w:szCs w:val="20"/>
        </w:rPr>
        <w:t>.</w:t>
      </w: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r w:rsidRPr="00D61C8A">
        <w:rPr>
          <w:rFonts w:ascii="Calibri" w:hAnsi="Calibri"/>
          <w:sz w:val="20"/>
          <w:szCs w:val="20"/>
        </w:rPr>
        <w:t>A second KAP survey was conducted in August and September 2009; the final report was released in December.  The survey was administered in the same districts but in different VDCs.  Most survey methods were the same although some changes were made</w:t>
      </w:r>
      <w:r>
        <w:rPr>
          <w:rFonts w:ascii="Calibri" w:hAnsi="Calibri"/>
          <w:sz w:val="20"/>
          <w:szCs w:val="20"/>
        </w:rPr>
        <w:t>;</w:t>
      </w:r>
      <w:r w:rsidRPr="00D61C8A">
        <w:rPr>
          <w:rFonts w:ascii="Calibri" w:hAnsi="Calibri"/>
          <w:sz w:val="20"/>
          <w:szCs w:val="20"/>
        </w:rPr>
        <w:t xml:space="preserve"> the second survey</w:t>
      </w:r>
      <w:r>
        <w:rPr>
          <w:rFonts w:ascii="Calibri" w:hAnsi="Calibri"/>
          <w:sz w:val="20"/>
          <w:szCs w:val="20"/>
        </w:rPr>
        <w:t xml:space="preserve"> asked all participants about positive behaviors and asked children about preferred information sources and activities to avoid VAE injuries.</w:t>
      </w:r>
    </w:p>
    <w:p w:rsidR="00B454FB" w:rsidRPr="00D61C8A" w:rsidRDefault="00B454FB" w:rsidP="00B454FB">
      <w:pPr>
        <w:rPr>
          <w:rFonts w:ascii="Calibri" w:hAnsi="Calibri"/>
        </w:rPr>
      </w:pPr>
    </w:p>
    <w:p w:rsidR="00B454FB" w:rsidRPr="00D61C8A" w:rsidRDefault="00B454FB" w:rsidP="00B454FB">
      <w:pPr>
        <w:pStyle w:val="Heading2"/>
        <w:numPr>
          <w:ilvl w:val="0"/>
          <w:numId w:val="0"/>
        </w:numPr>
        <w:spacing w:before="0"/>
        <w:rPr>
          <w:rFonts w:ascii="Calibri" w:hAnsi="Calibri"/>
        </w:rPr>
      </w:pPr>
      <w:r>
        <w:rPr>
          <w:rFonts w:ascii="Calibri" w:hAnsi="Calibri"/>
        </w:rPr>
        <w:t>VI.C</w:t>
      </w:r>
      <w:r>
        <w:rPr>
          <w:rFonts w:ascii="Calibri" w:hAnsi="Calibri"/>
        </w:rPr>
        <w:tab/>
      </w:r>
      <w:r>
        <w:rPr>
          <w:rFonts w:ascii="Calibri" w:hAnsi="Calibri"/>
        </w:rPr>
        <w:tab/>
      </w:r>
      <w:r w:rsidRPr="00D61C8A">
        <w:rPr>
          <w:rFonts w:ascii="Calibri" w:hAnsi="Calibri"/>
        </w:rPr>
        <w:t>Evaluation of UNICEF MRE activities</w:t>
      </w:r>
    </w:p>
    <w:p w:rsidR="00B454FB" w:rsidRPr="00D61C8A" w:rsidRDefault="00B454FB" w:rsidP="00B454FB">
      <w:pPr>
        <w:rPr>
          <w:rFonts w:ascii="Calibri" w:hAnsi="Calibri"/>
        </w:rPr>
      </w:pPr>
    </w:p>
    <w:p w:rsidR="00B454FB" w:rsidRPr="00D61C8A" w:rsidRDefault="00B454FB" w:rsidP="00B454FB">
      <w:pPr>
        <w:spacing w:line="276" w:lineRule="auto"/>
        <w:rPr>
          <w:rFonts w:ascii="Calibri" w:eastAsia="Cambria" w:hAnsi="Calibri"/>
          <w:sz w:val="20"/>
          <w:szCs w:val="20"/>
        </w:rPr>
      </w:pPr>
      <w:r>
        <w:rPr>
          <w:rFonts w:ascii="Calibri" w:eastAsia="Cambria" w:hAnsi="Calibri"/>
          <w:sz w:val="20"/>
          <w:szCs w:val="20"/>
        </w:rPr>
        <w:t>In</w:t>
      </w:r>
      <w:r w:rsidRPr="00D61C8A">
        <w:rPr>
          <w:rFonts w:ascii="Calibri" w:eastAsia="Cambria" w:hAnsi="Calibri"/>
          <w:sz w:val="20"/>
          <w:szCs w:val="20"/>
        </w:rPr>
        <w:t xml:space="preserve"> this </w:t>
      </w:r>
      <w:r>
        <w:rPr>
          <w:rFonts w:ascii="Calibri" w:eastAsia="Cambria" w:hAnsi="Calibri"/>
          <w:sz w:val="20"/>
          <w:szCs w:val="20"/>
        </w:rPr>
        <w:t>section</w:t>
      </w:r>
      <w:r w:rsidRPr="00D61C8A">
        <w:rPr>
          <w:rFonts w:ascii="Calibri" w:eastAsia="Cambria" w:hAnsi="Calibri"/>
          <w:sz w:val="20"/>
          <w:szCs w:val="20"/>
        </w:rPr>
        <w:t xml:space="preserve"> of the evaluation, UNICEF’s MRE activities are assessed on the basis of five attributes: relevance, effectiveness, efficiency, impact, and sustainability (Sections VI.C.1-5).  In a box at the top of each </w:t>
      </w:r>
      <w:r>
        <w:rPr>
          <w:rFonts w:ascii="Calibri" w:eastAsia="Cambria" w:hAnsi="Calibri"/>
          <w:sz w:val="20"/>
          <w:szCs w:val="20"/>
        </w:rPr>
        <w:t>sub</w:t>
      </w:r>
      <w:r w:rsidRPr="00D61C8A">
        <w:rPr>
          <w:rFonts w:ascii="Calibri" w:eastAsia="Cambria" w:hAnsi="Calibri"/>
          <w:sz w:val="20"/>
          <w:szCs w:val="20"/>
        </w:rPr>
        <w:t xml:space="preserve">section, the </w:t>
      </w:r>
      <w:r>
        <w:rPr>
          <w:rFonts w:ascii="Calibri" w:eastAsia="Cambria" w:hAnsi="Calibri"/>
          <w:sz w:val="20"/>
          <w:szCs w:val="20"/>
        </w:rPr>
        <w:t xml:space="preserve">IMAS </w:t>
      </w:r>
      <w:r w:rsidRPr="00D61C8A">
        <w:rPr>
          <w:rFonts w:ascii="Calibri" w:eastAsia="Cambria" w:hAnsi="Calibri"/>
          <w:sz w:val="20"/>
          <w:szCs w:val="20"/>
        </w:rPr>
        <w:t>defin</w:t>
      </w:r>
      <w:r>
        <w:rPr>
          <w:rFonts w:ascii="Calibri" w:eastAsia="Cambria" w:hAnsi="Calibri"/>
          <w:sz w:val="20"/>
          <w:szCs w:val="20"/>
        </w:rPr>
        <w:t>ition and recommended assessment method</w:t>
      </w:r>
      <w:r w:rsidRPr="00D61C8A">
        <w:rPr>
          <w:rFonts w:ascii="Calibri" w:eastAsia="Cambria" w:hAnsi="Calibri"/>
          <w:sz w:val="20"/>
          <w:szCs w:val="20"/>
        </w:rPr>
        <w:t xml:space="preserve"> of the relevant attribute are provided.</w:t>
      </w:r>
      <w:r>
        <w:rPr>
          <w:rFonts w:ascii="Calibri" w:eastAsia="Cambria" w:hAnsi="Calibri"/>
          <w:sz w:val="20"/>
          <w:szCs w:val="20"/>
        </w:rPr>
        <w:t xml:space="preserve">  As mentioned above, this evaluation seeks to evaluate UNICEF’s role in MRE activities</w:t>
      </w:r>
      <w:r w:rsidR="005226B6">
        <w:rPr>
          <w:rFonts w:ascii="Calibri" w:eastAsia="Cambria" w:hAnsi="Calibri"/>
          <w:sz w:val="20"/>
          <w:szCs w:val="20"/>
        </w:rPr>
        <w:t>,</w:t>
      </w:r>
      <w:r>
        <w:rPr>
          <w:rFonts w:ascii="Calibri" w:eastAsia="Cambria" w:hAnsi="Calibri"/>
          <w:sz w:val="20"/>
          <w:szCs w:val="20"/>
        </w:rPr>
        <w:t xml:space="preserve"> which are conducted with many partner agencies and organizations.</w:t>
      </w:r>
    </w:p>
    <w:p w:rsidR="00B454FB" w:rsidRDefault="00B454FB" w:rsidP="00B454FB">
      <w:pPr>
        <w:spacing w:line="276" w:lineRule="auto"/>
        <w:rPr>
          <w:rFonts w:ascii="Calibri" w:eastAsia="Cambria" w:hAnsi="Calibri"/>
          <w:sz w:val="20"/>
          <w:szCs w:val="20"/>
        </w:rPr>
      </w:pPr>
    </w:p>
    <w:p w:rsidR="00B454FB" w:rsidRDefault="00B454FB" w:rsidP="00B454FB">
      <w:pPr>
        <w:spacing w:line="276" w:lineRule="auto"/>
        <w:rPr>
          <w:rFonts w:ascii="Calibri" w:eastAsia="Cambria" w:hAnsi="Calibri"/>
          <w:sz w:val="20"/>
          <w:szCs w:val="20"/>
        </w:rPr>
      </w:pPr>
      <w:r w:rsidRPr="00D61C8A">
        <w:rPr>
          <w:rFonts w:ascii="Calibri" w:eastAsia="Cambria" w:hAnsi="Calibri"/>
          <w:sz w:val="20"/>
          <w:szCs w:val="20"/>
        </w:rPr>
        <w:t xml:space="preserve">These boxes are followed by lists of </w:t>
      </w:r>
      <w:r>
        <w:rPr>
          <w:rFonts w:ascii="Calibri" w:eastAsia="Cambria" w:hAnsi="Calibri"/>
          <w:sz w:val="20"/>
          <w:szCs w:val="20"/>
        </w:rPr>
        <w:t>four types of observations made by the evaluation team:</w:t>
      </w:r>
    </w:p>
    <w:p w:rsidR="00B454FB" w:rsidRPr="00444994"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Successes</w:t>
      </w:r>
      <w:r>
        <w:rPr>
          <w:rFonts w:ascii="Calibri" w:eastAsia="Cambria" w:hAnsi="Calibri"/>
          <w:sz w:val="20"/>
          <w:szCs w:val="20"/>
        </w:rPr>
        <w:t xml:space="preserve"> achieved by MRE activities;</w:t>
      </w:r>
    </w:p>
    <w:p w:rsidR="00B454FB" w:rsidRPr="00444994"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Challenges</w:t>
      </w:r>
      <w:r>
        <w:rPr>
          <w:rFonts w:ascii="Calibri" w:eastAsia="Cambria" w:hAnsi="Calibri"/>
          <w:sz w:val="20"/>
          <w:szCs w:val="20"/>
        </w:rPr>
        <w:t xml:space="preserve"> facing MRE activities;</w:t>
      </w:r>
    </w:p>
    <w:p w:rsidR="00B454FB" w:rsidRPr="00444994" w:rsidRDefault="00B454FB" w:rsidP="00B454FB">
      <w:pPr>
        <w:numPr>
          <w:ilvl w:val="0"/>
          <w:numId w:val="94"/>
        </w:numPr>
        <w:spacing w:line="276" w:lineRule="auto"/>
        <w:rPr>
          <w:rFonts w:ascii="Calibri" w:eastAsia="Cambria" w:hAnsi="Calibri"/>
          <w:i/>
          <w:sz w:val="20"/>
          <w:szCs w:val="20"/>
        </w:rPr>
      </w:pPr>
      <w:r>
        <w:rPr>
          <w:rFonts w:ascii="Calibri" w:eastAsia="Cambria" w:hAnsi="Calibri"/>
          <w:sz w:val="20"/>
          <w:szCs w:val="20"/>
        </w:rPr>
        <w:t>Potential successes or challenges of MRE activities (</w:t>
      </w:r>
      <w:r w:rsidRPr="005674AF">
        <w:rPr>
          <w:rFonts w:ascii="Calibri" w:eastAsia="Cambria" w:hAnsi="Calibri"/>
          <w:b/>
          <w:sz w:val="20"/>
          <w:szCs w:val="20"/>
        </w:rPr>
        <w:t>Unknowns</w:t>
      </w:r>
      <w:r>
        <w:rPr>
          <w:rFonts w:ascii="Calibri" w:eastAsia="Cambria" w:hAnsi="Calibri"/>
          <w:sz w:val="20"/>
          <w:szCs w:val="20"/>
        </w:rPr>
        <w:t>) that may need further attention in the future; and</w:t>
      </w:r>
    </w:p>
    <w:p w:rsidR="00B454FB" w:rsidRPr="005674AF" w:rsidRDefault="00B454FB" w:rsidP="00B454FB">
      <w:pPr>
        <w:numPr>
          <w:ilvl w:val="0"/>
          <w:numId w:val="94"/>
        </w:numPr>
        <w:spacing w:line="276" w:lineRule="auto"/>
        <w:rPr>
          <w:rFonts w:ascii="Calibri" w:eastAsia="Cambria" w:hAnsi="Calibri"/>
          <w:i/>
          <w:sz w:val="20"/>
          <w:szCs w:val="20"/>
        </w:rPr>
      </w:pPr>
      <w:r w:rsidRPr="005674AF">
        <w:rPr>
          <w:rFonts w:ascii="Calibri" w:eastAsia="Cambria" w:hAnsi="Calibri"/>
          <w:b/>
          <w:sz w:val="20"/>
          <w:szCs w:val="20"/>
        </w:rPr>
        <w:t>Recommendations</w:t>
      </w:r>
      <w:r w:rsidRPr="005674AF">
        <w:rPr>
          <w:rFonts w:ascii="Calibri" w:eastAsia="Cambria" w:hAnsi="Calibri"/>
          <w:sz w:val="20"/>
          <w:szCs w:val="20"/>
        </w:rPr>
        <w:t xml:space="preserve"> for improvement of </w:t>
      </w:r>
      <w:r>
        <w:rPr>
          <w:rFonts w:ascii="Calibri" w:eastAsia="Cambria" w:hAnsi="Calibri"/>
          <w:sz w:val="20"/>
          <w:szCs w:val="20"/>
        </w:rPr>
        <w:t>MRE activities.</w:t>
      </w:r>
    </w:p>
    <w:p w:rsidR="00B454FB" w:rsidRPr="005674AF" w:rsidRDefault="00B454FB" w:rsidP="00B454FB">
      <w:pPr>
        <w:spacing w:line="276" w:lineRule="auto"/>
        <w:rPr>
          <w:rFonts w:ascii="Calibri" w:eastAsia="Cambria" w:hAnsi="Calibri"/>
          <w:i/>
          <w:sz w:val="20"/>
          <w:szCs w:val="20"/>
        </w:rPr>
      </w:pPr>
      <w:r w:rsidRPr="005674AF">
        <w:rPr>
          <w:rFonts w:ascii="Calibri" w:eastAsia="Cambria" w:hAnsi="Calibri"/>
          <w:sz w:val="20"/>
          <w:szCs w:val="20"/>
        </w:rPr>
        <w:t>Recommendations are summarized in Section V</w:t>
      </w:r>
      <w:r>
        <w:rPr>
          <w:rFonts w:ascii="Calibri" w:eastAsia="Cambria" w:hAnsi="Calibri"/>
          <w:sz w:val="20"/>
          <w:szCs w:val="20"/>
        </w:rPr>
        <w:t>I</w:t>
      </w:r>
      <w:r w:rsidRPr="005674AF">
        <w:rPr>
          <w:rFonts w:ascii="Calibri" w:eastAsia="Cambria" w:hAnsi="Calibri"/>
          <w:sz w:val="20"/>
          <w:szCs w:val="20"/>
        </w:rPr>
        <w:t>.</w:t>
      </w:r>
      <w:r>
        <w:rPr>
          <w:rFonts w:ascii="Calibri" w:eastAsia="Cambria" w:hAnsi="Calibri"/>
          <w:sz w:val="20"/>
          <w:szCs w:val="20"/>
        </w:rPr>
        <w:t>D</w:t>
      </w:r>
      <w:r w:rsidRPr="005674AF">
        <w:rPr>
          <w:rFonts w:ascii="Calibri" w:eastAsia="Cambria" w:hAnsi="Calibri"/>
          <w:sz w:val="20"/>
          <w:szCs w:val="20"/>
        </w:rPr>
        <w:t>.</w:t>
      </w:r>
    </w:p>
    <w:p w:rsidR="00B454FB" w:rsidRPr="00D61C8A"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VI.C.1</w:t>
      </w:r>
      <w:r>
        <w:rPr>
          <w:rFonts w:ascii="Calibri" w:hAnsi="Calibri"/>
          <w:sz w:val="20"/>
          <w:szCs w:val="20"/>
        </w:rPr>
        <w:tab/>
      </w:r>
      <w:r>
        <w:rPr>
          <w:rFonts w:ascii="Calibri" w:hAnsi="Calibri"/>
          <w:sz w:val="20"/>
          <w:szCs w:val="20"/>
        </w:rPr>
        <w:tab/>
      </w:r>
      <w:r w:rsidRPr="00D61C8A">
        <w:rPr>
          <w:rFonts w:ascii="Calibri" w:hAnsi="Calibri"/>
          <w:sz w:val="20"/>
          <w:szCs w:val="20"/>
        </w:rPr>
        <w:t>Relevance</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“Relevance is concerned with assessing whether the action correctly identified problems and real needs, and whether the projects or programmes were in line with local needs and priorities as well as with donor policy.”</w:t>
      </w:r>
      <w:r w:rsidRPr="00E27C01">
        <w:rPr>
          <w:rStyle w:val="EndnoteReference"/>
          <w:rFonts w:ascii="Calibri" w:eastAsia="Cambria" w:hAnsi="Calibri"/>
          <w:sz w:val="20"/>
          <w:szCs w:val="20"/>
        </w:rPr>
        <w:endnoteReference w:id="359"/>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Relevance is assessed by considering the need, usefulness, accuracy, and participatory nature of the program.</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20"/>
        </w:numPr>
        <w:spacing w:line="276" w:lineRule="auto"/>
        <w:contextualSpacing/>
        <w:rPr>
          <w:rFonts w:ascii="Calibri" w:eastAsia="Cambria" w:hAnsi="Calibri"/>
          <w:sz w:val="20"/>
          <w:szCs w:val="20"/>
        </w:rPr>
      </w:pPr>
      <w:r w:rsidRPr="00D61C8A">
        <w:rPr>
          <w:rFonts w:ascii="Calibri" w:eastAsia="Cambria" w:hAnsi="Calibri"/>
          <w:sz w:val="20"/>
          <w:szCs w:val="20"/>
        </w:rPr>
        <w:t xml:space="preserve">Safety messages regarding fears of </w:t>
      </w:r>
      <w:r>
        <w:rPr>
          <w:rFonts w:ascii="Calibri" w:eastAsia="Cambria" w:hAnsi="Calibri"/>
          <w:sz w:val="20"/>
          <w:szCs w:val="20"/>
        </w:rPr>
        <w:t xml:space="preserve">reporting, different shapes of </w:t>
      </w:r>
      <w:r w:rsidRPr="00D61C8A">
        <w:rPr>
          <w:rFonts w:ascii="Calibri" w:eastAsia="Cambria" w:hAnsi="Calibri"/>
          <w:sz w:val="20"/>
          <w:szCs w:val="20"/>
        </w:rPr>
        <w:t xml:space="preserve">ED and high-risk behaviors were developed based on data collected from the VAE injury surveillance system and findings of the 2007 KAP survey.  Culturally appropriate MRE messages and materials have been updated to reveal changing patterns in ED use and developing knowledge about VAE injury trends.  </w:t>
      </w:r>
      <w:r w:rsidRPr="00D61C8A">
        <w:rPr>
          <w:rFonts w:ascii="Calibri" w:eastAsia="Cambria" w:hAnsi="Calibri"/>
          <w:sz w:val="20"/>
          <w:szCs w:val="20"/>
        </w:rPr>
        <w:lastRenderedPageBreak/>
        <w:t xml:space="preserve">Trainers are provided with adequate instruction to conduct MRE activities and are given specific materials (user and emergency MRE kit guides) to </w:t>
      </w:r>
      <w:r>
        <w:rPr>
          <w:rFonts w:ascii="Calibri" w:eastAsia="Cambria" w:hAnsi="Calibri"/>
          <w:sz w:val="20"/>
          <w:szCs w:val="20"/>
        </w:rPr>
        <w:t>en</w:t>
      </w:r>
      <w:r w:rsidRPr="00D61C8A">
        <w:rPr>
          <w:rFonts w:ascii="Calibri" w:eastAsia="Cambria" w:hAnsi="Calibri"/>
          <w:sz w:val="20"/>
          <w:szCs w:val="20"/>
        </w:rPr>
        <w:t>sure that MRE messages are explained correctly and consistently.</w:t>
      </w:r>
    </w:p>
    <w:p w:rsidR="00B454FB" w:rsidRPr="00D61C8A" w:rsidRDefault="00B454FB" w:rsidP="00B454FB">
      <w:pPr>
        <w:numPr>
          <w:ilvl w:val="0"/>
          <w:numId w:val="20"/>
        </w:numPr>
        <w:spacing w:line="276" w:lineRule="auto"/>
        <w:contextualSpacing/>
        <w:rPr>
          <w:rFonts w:ascii="Calibri" w:eastAsia="Cambria" w:hAnsi="Calibri"/>
          <w:sz w:val="20"/>
          <w:szCs w:val="20"/>
        </w:rPr>
      </w:pPr>
      <w:r w:rsidRPr="00D61C8A">
        <w:rPr>
          <w:rFonts w:ascii="Calibri" w:eastAsia="Cambria" w:hAnsi="Calibri"/>
          <w:sz w:val="20"/>
          <w:szCs w:val="20"/>
        </w:rPr>
        <w:t>All three types of MRE activities (emergency, regular and systematic) are geographically and demographically targeted to serve individuals who are at highest risk of injury, based on VAE injury surveillance system data, recent incidents, situations of obvious risk, and mapping of injuries and MRE activities.  Portions of related activities, such as the 2007 and 2009 KAP surveys, have targeted specific sub-populations at higher risk (</w:t>
      </w:r>
      <w:r>
        <w:rPr>
          <w:rFonts w:ascii="Calibri" w:eastAsia="Cambria" w:hAnsi="Calibri"/>
          <w:i/>
          <w:sz w:val="20"/>
          <w:szCs w:val="20"/>
        </w:rPr>
        <w:t>e</w:t>
      </w:r>
      <w:r w:rsidRPr="00D61C8A">
        <w:rPr>
          <w:rFonts w:ascii="Calibri" w:eastAsia="Cambria" w:hAnsi="Calibri"/>
          <w:i/>
          <w:sz w:val="20"/>
          <w:szCs w:val="20"/>
        </w:rPr>
        <w:t>.</w:t>
      </w:r>
      <w:r>
        <w:rPr>
          <w:rFonts w:ascii="Calibri" w:eastAsia="Cambria" w:hAnsi="Calibri"/>
          <w:i/>
          <w:sz w:val="20"/>
          <w:szCs w:val="20"/>
        </w:rPr>
        <w:t>g</w:t>
      </w:r>
      <w:r w:rsidRPr="00D61C8A">
        <w:rPr>
          <w:rFonts w:ascii="Calibri" w:eastAsia="Cambria" w:hAnsi="Calibri"/>
          <w:i/>
          <w:sz w:val="20"/>
          <w:szCs w:val="20"/>
        </w:rPr>
        <w:t>.</w:t>
      </w:r>
      <w:r w:rsidRPr="00D61C8A">
        <w:rPr>
          <w:rFonts w:ascii="Calibri" w:eastAsia="Cambria" w:hAnsi="Calibri"/>
          <w:sz w:val="20"/>
          <w:szCs w:val="20"/>
        </w:rPr>
        <w:t xml:space="preserve"> children).</w:t>
      </w:r>
    </w:p>
    <w:p w:rsidR="00B454FB" w:rsidRPr="00D61C8A" w:rsidRDefault="00B454FB" w:rsidP="00B454FB">
      <w:pPr>
        <w:numPr>
          <w:ilvl w:val="0"/>
          <w:numId w:val="20"/>
        </w:numPr>
        <w:spacing w:line="276" w:lineRule="auto"/>
        <w:contextualSpacing/>
        <w:rPr>
          <w:rFonts w:ascii="Calibri" w:eastAsia="Cambria" w:hAnsi="Calibri"/>
          <w:sz w:val="20"/>
          <w:szCs w:val="20"/>
        </w:rPr>
      </w:pPr>
      <w:r w:rsidRPr="00D61C8A">
        <w:rPr>
          <w:rFonts w:ascii="Calibri" w:eastAsia="Cambria" w:hAnsi="Calibri"/>
          <w:sz w:val="20"/>
          <w:szCs w:val="20"/>
        </w:rPr>
        <w:t xml:space="preserve">UNICEF’s MA programs complement the activities of other organizations without duplicating tasks that have been or are being accomplished.  By </w:t>
      </w:r>
      <w:r>
        <w:rPr>
          <w:rFonts w:ascii="Calibri" w:eastAsia="Cambria" w:hAnsi="Calibri"/>
          <w:sz w:val="20"/>
          <w:szCs w:val="20"/>
        </w:rPr>
        <w:t>working together, UNICEF and</w:t>
      </w:r>
      <w:r w:rsidRPr="00D61C8A">
        <w:rPr>
          <w:rFonts w:ascii="Calibri" w:eastAsia="Cambria" w:hAnsi="Calibri"/>
          <w:sz w:val="20"/>
          <w:szCs w:val="20"/>
        </w:rPr>
        <w:t xml:space="preserve"> the MAJWG</w:t>
      </w:r>
      <w:r>
        <w:rPr>
          <w:rFonts w:ascii="Calibri" w:eastAsia="Cambria" w:hAnsi="Calibri"/>
          <w:sz w:val="20"/>
          <w:szCs w:val="20"/>
        </w:rPr>
        <w:t xml:space="preserve"> have produced</w:t>
      </w:r>
      <w:r w:rsidRPr="00D61C8A">
        <w:rPr>
          <w:rFonts w:ascii="Calibri" w:eastAsia="Cambria" w:hAnsi="Calibri"/>
          <w:sz w:val="20"/>
          <w:szCs w:val="20"/>
        </w:rPr>
        <w:t xml:space="preserve"> high-quality MRE messages and materials that have been vetted by over 20 organizations.  </w:t>
      </w:r>
      <w:r>
        <w:rPr>
          <w:rFonts w:ascii="Calibri" w:eastAsia="Cambria" w:hAnsi="Calibri"/>
          <w:sz w:val="20"/>
          <w:szCs w:val="20"/>
        </w:rPr>
        <w:t>UNICEF’s</w:t>
      </w:r>
      <w:r w:rsidRPr="00D61C8A">
        <w:rPr>
          <w:rFonts w:ascii="Calibri" w:eastAsia="Cambria" w:hAnsi="Calibri"/>
          <w:sz w:val="20"/>
          <w:szCs w:val="20"/>
        </w:rPr>
        <w:t xml:space="preserve"> </w:t>
      </w:r>
      <w:r>
        <w:rPr>
          <w:rFonts w:ascii="Calibri" w:eastAsia="Cambria" w:hAnsi="Calibri"/>
          <w:sz w:val="20"/>
          <w:szCs w:val="20"/>
        </w:rPr>
        <w:t>work</w:t>
      </w:r>
      <w:r w:rsidRPr="00D61C8A">
        <w:rPr>
          <w:rFonts w:ascii="Calibri" w:eastAsia="Cambria" w:hAnsi="Calibri"/>
          <w:sz w:val="20"/>
          <w:szCs w:val="20"/>
        </w:rPr>
        <w:t xml:space="preserve"> with a large number – and wide variety – of organizations providing MRE is valuable in Nepal, where challenges of communication, geography, and politics complicate the provision of MRE. </w:t>
      </w:r>
    </w:p>
    <w:p w:rsidR="00B454FB" w:rsidRPr="00D61C8A" w:rsidRDefault="00B454FB" w:rsidP="00B454FB">
      <w:pPr>
        <w:numPr>
          <w:ilvl w:val="0"/>
          <w:numId w:val="20"/>
        </w:numPr>
        <w:spacing w:line="276" w:lineRule="auto"/>
        <w:contextualSpacing/>
        <w:rPr>
          <w:rFonts w:ascii="Calibri" w:eastAsia="Cambria" w:hAnsi="Calibri"/>
          <w:sz w:val="20"/>
          <w:szCs w:val="20"/>
        </w:rPr>
      </w:pPr>
      <w:r w:rsidRPr="00D61C8A">
        <w:rPr>
          <w:rFonts w:ascii="Calibri" w:eastAsia="Cambria" w:hAnsi="Calibri"/>
          <w:sz w:val="20"/>
          <w:szCs w:val="20"/>
        </w:rPr>
        <w:t>Organization of the MRE working group and transformation of the group into the MAJWG (to include MA activities outside of MRE) have encouraged stakeholder participation in the design, implementation and monitoring of MRE.  Attendance at regular MAJWG meetings demonstrates that partner organizations are engaged and interested in building MRE networks.  Regular meetings with DOE personnel and the new MRE monitoring system provide additional feedback about systematic MRE activities.</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D61C8A" w:rsidRDefault="00B454FB" w:rsidP="00B454FB">
      <w:pPr>
        <w:numPr>
          <w:ilvl w:val="0"/>
          <w:numId w:val="21"/>
        </w:numPr>
        <w:spacing w:line="276" w:lineRule="auto"/>
        <w:contextualSpacing/>
        <w:rPr>
          <w:rFonts w:ascii="Calibri" w:eastAsia="Cambria" w:hAnsi="Calibri"/>
          <w:sz w:val="20"/>
          <w:szCs w:val="20"/>
        </w:rPr>
      </w:pPr>
      <w:r>
        <w:rPr>
          <w:rFonts w:ascii="Calibri" w:hAnsi="Calibri"/>
          <w:sz w:val="20"/>
          <w:szCs w:val="20"/>
        </w:rPr>
        <w:t>As mentioned above in Section V.B.1, VAE injuries are extremely rare in comparison with other health problems among the people of Nepal.  If VAE injuries continue to decrease in incidence, it may be necessary to reevaluate MRE resource expenditure.</w:t>
      </w:r>
      <w:r w:rsidRPr="00D61C8A">
        <w:rPr>
          <w:rFonts w:ascii="Calibri" w:eastAsia="Cambria" w:hAnsi="Calibri"/>
          <w:sz w:val="20"/>
          <w:szCs w:val="20"/>
        </w:rPr>
        <w:t xml:space="preserve">  </w:t>
      </w:r>
    </w:p>
    <w:p w:rsidR="00B454FB" w:rsidRPr="00D61C8A" w:rsidRDefault="00B454FB" w:rsidP="00B454FB">
      <w:pPr>
        <w:numPr>
          <w:ilvl w:val="0"/>
          <w:numId w:val="21"/>
        </w:numPr>
        <w:spacing w:line="276" w:lineRule="auto"/>
        <w:contextualSpacing/>
        <w:rPr>
          <w:rFonts w:ascii="Calibri" w:eastAsia="Cambria" w:hAnsi="Calibri"/>
          <w:sz w:val="20"/>
          <w:szCs w:val="20"/>
        </w:rPr>
      </w:pPr>
      <w:r w:rsidRPr="00D61C8A">
        <w:rPr>
          <w:rFonts w:ascii="Calibri" w:eastAsia="Cambria" w:hAnsi="Calibri"/>
          <w:sz w:val="20"/>
          <w:szCs w:val="20"/>
        </w:rPr>
        <w:t>Training of police constables, while mandated in UNICEF’s annual work plan, was not conducted during 2009.  According to NCBL, some police constables have displayed high-risk behaviors such as picking up and throwing ED.  This is particularly troubling because police constables may set an example for others; community members who witness high-risk behaviors by constables may assume that such behaviors are safe.</w:t>
      </w:r>
    </w:p>
    <w:p w:rsidR="00B454FB" w:rsidRPr="00D61C8A" w:rsidRDefault="00B454FB" w:rsidP="00B454FB">
      <w:pPr>
        <w:numPr>
          <w:ilvl w:val="0"/>
          <w:numId w:val="21"/>
        </w:numPr>
        <w:spacing w:line="276" w:lineRule="auto"/>
        <w:contextualSpacing/>
        <w:rPr>
          <w:rFonts w:ascii="Calibri" w:eastAsia="Cambria" w:hAnsi="Calibri"/>
          <w:sz w:val="20"/>
          <w:szCs w:val="20"/>
        </w:rPr>
      </w:pPr>
      <w:r w:rsidRPr="00D61C8A">
        <w:rPr>
          <w:rFonts w:ascii="Calibri" w:eastAsia="Cambria" w:hAnsi="Calibri"/>
          <w:sz w:val="20"/>
          <w:szCs w:val="20"/>
        </w:rPr>
        <w:t>Representatives of the CPN/M and other Maoist groups are noticeably absent from the MAJWG and other MRE coordination activities.  This is problematic given the relatively high risk of injury among communities with significant numbers of Maoists and Maoist sympathizers.</w:t>
      </w:r>
    </w:p>
    <w:p w:rsidR="00B454FB" w:rsidRPr="00D61C8A" w:rsidRDefault="00B454FB" w:rsidP="00B454FB">
      <w:pPr>
        <w:spacing w:line="276" w:lineRule="auto"/>
        <w:ind w:left="360"/>
        <w:contextualSpacing/>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D61C8A" w:rsidRDefault="00B454FB" w:rsidP="00B454FB">
      <w:pPr>
        <w:numPr>
          <w:ilvl w:val="0"/>
          <w:numId w:val="22"/>
        </w:numPr>
        <w:spacing w:line="276" w:lineRule="auto"/>
        <w:contextualSpacing/>
        <w:rPr>
          <w:rFonts w:ascii="Calibri" w:eastAsia="Cambria" w:hAnsi="Calibri"/>
          <w:sz w:val="20"/>
          <w:szCs w:val="20"/>
        </w:rPr>
      </w:pPr>
      <w:r w:rsidRPr="00D61C8A">
        <w:rPr>
          <w:rFonts w:ascii="Calibri" w:eastAsia="Cambria" w:hAnsi="Calibri"/>
          <w:sz w:val="20"/>
          <w:szCs w:val="20"/>
        </w:rPr>
        <w:t xml:space="preserve">At this time it is not possible to assess whether individuals and communities who have received MRE have become more knowledgeable about ED risk and safety behaviors or implemented suggested actions following receipt of MRE.  Findings from the 2007 KAP survey suggest low levels of knowledge about </w:t>
      </w:r>
      <w:r>
        <w:rPr>
          <w:rFonts w:ascii="Calibri" w:eastAsia="Cambria" w:hAnsi="Calibri"/>
          <w:sz w:val="20"/>
          <w:szCs w:val="20"/>
        </w:rPr>
        <w:t>some types of</w:t>
      </w:r>
      <w:r w:rsidRPr="00D61C8A">
        <w:rPr>
          <w:rFonts w:ascii="Calibri" w:eastAsia="Cambria" w:hAnsi="Calibri"/>
          <w:sz w:val="20"/>
          <w:szCs w:val="20"/>
        </w:rPr>
        <w:t xml:space="preserve"> ED and high levels of certain high-risk behaviors (see Appendix B.3).  However, due to the low number of participants (13) who had received MRE, it was not possible to disaggregate knowledge and behaviors by prior receipt of MRE.  Individuals in affected communities exhibit interest in learning more about ED: 90.7 % of adult participants in the 2007 KAP survey stated that they wanted more information about ED.</w:t>
      </w:r>
    </w:p>
    <w:p w:rsidR="00B454FB" w:rsidRPr="00D61C8A" w:rsidRDefault="00B454FB" w:rsidP="00B454FB">
      <w:pPr>
        <w:numPr>
          <w:ilvl w:val="0"/>
          <w:numId w:val="22"/>
        </w:numPr>
        <w:spacing w:line="276" w:lineRule="auto"/>
        <w:contextualSpacing/>
        <w:rPr>
          <w:rFonts w:ascii="Calibri" w:eastAsia="Cambria" w:hAnsi="Calibri"/>
          <w:sz w:val="20"/>
          <w:szCs w:val="20"/>
        </w:rPr>
      </w:pPr>
      <w:r w:rsidRPr="00D61C8A">
        <w:rPr>
          <w:rFonts w:ascii="Calibri" w:eastAsia="Cambria" w:hAnsi="Calibri"/>
          <w:sz w:val="20"/>
          <w:szCs w:val="20"/>
        </w:rPr>
        <w:t>UNICEF and the DOE may be missing a valuable opportunity to reach marginalized populations by neglecting to systematically integrate MRE into non-traditional education activities such as adult literacy programs and alternative programs for children who are not attending school.  Some DPOs may do this informally in their districts, but the high percentage of children not enrolled in school</w:t>
      </w:r>
      <w:r w:rsidRPr="00D61C8A">
        <w:rPr>
          <w:rStyle w:val="FootnoteReference"/>
          <w:rFonts w:ascii="Calibri" w:eastAsia="Cambria" w:hAnsi="Calibri"/>
          <w:sz w:val="20"/>
          <w:szCs w:val="20"/>
        </w:rPr>
        <w:footnoteReference w:id="23"/>
      </w:r>
      <w:r w:rsidRPr="00D61C8A">
        <w:rPr>
          <w:rFonts w:ascii="Calibri" w:eastAsia="Cambria" w:hAnsi="Calibri"/>
          <w:sz w:val="20"/>
          <w:szCs w:val="20"/>
        </w:rPr>
        <w:t xml:space="preserve"> suggests that higher coverage is desirable.  </w:t>
      </w:r>
    </w:p>
    <w:p w:rsidR="00B454FB" w:rsidRPr="00D61C8A" w:rsidRDefault="00B454FB" w:rsidP="00B454FB">
      <w:pPr>
        <w:spacing w:line="276" w:lineRule="auto"/>
        <w:contextualSpacing/>
        <w:rPr>
          <w:rFonts w:ascii="Calibri" w:eastAsia="Cambria" w:hAnsi="Calibri"/>
          <w:sz w:val="20"/>
          <w:szCs w:val="20"/>
        </w:rPr>
      </w:pPr>
    </w:p>
    <w:p w:rsidR="00B454FB" w:rsidRPr="00E55822" w:rsidRDefault="00B454FB" w:rsidP="00B454FB">
      <w:pPr>
        <w:spacing w:line="276" w:lineRule="auto"/>
        <w:contextualSpacing/>
        <w:rPr>
          <w:rFonts w:ascii="Calibri" w:eastAsia="Cambria" w:hAnsi="Calibri"/>
          <w:sz w:val="20"/>
          <w:szCs w:val="20"/>
        </w:rPr>
      </w:pPr>
      <w:r w:rsidRPr="00D61C8A">
        <w:rPr>
          <w:rFonts w:ascii="Calibri" w:eastAsia="Cambria" w:hAnsi="Calibri"/>
          <w:b/>
          <w:sz w:val="20"/>
          <w:szCs w:val="20"/>
        </w:rPr>
        <w:t>Recommendati</w:t>
      </w:r>
      <w:r w:rsidRPr="00E55822">
        <w:rPr>
          <w:rFonts w:ascii="Calibri" w:eastAsia="Cambria" w:hAnsi="Calibri"/>
          <w:b/>
          <w:sz w:val="20"/>
          <w:szCs w:val="20"/>
        </w:rPr>
        <w:t>ons</w:t>
      </w:r>
    </w:p>
    <w:p w:rsidR="00B454FB" w:rsidRPr="00E55822" w:rsidRDefault="00B454FB" w:rsidP="00B454FB">
      <w:pPr>
        <w:pStyle w:val="ColorfulList-Accent11"/>
        <w:numPr>
          <w:ilvl w:val="0"/>
          <w:numId w:val="63"/>
        </w:numPr>
        <w:spacing w:line="276" w:lineRule="auto"/>
        <w:rPr>
          <w:rFonts w:ascii="Calibri" w:eastAsia="Cambria" w:hAnsi="Calibri"/>
          <w:sz w:val="20"/>
          <w:szCs w:val="20"/>
        </w:rPr>
      </w:pPr>
      <w:r w:rsidRPr="00D61C8A">
        <w:rPr>
          <w:rFonts w:ascii="Calibri" w:eastAsia="Cambria" w:hAnsi="Calibri"/>
          <w:sz w:val="20"/>
          <w:szCs w:val="20"/>
        </w:rPr>
        <w:t>Provide police</w:t>
      </w:r>
      <w:r>
        <w:rPr>
          <w:rFonts w:ascii="Calibri" w:eastAsia="Cambria" w:hAnsi="Calibri"/>
          <w:sz w:val="20"/>
          <w:szCs w:val="20"/>
        </w:rPr>
        <w:t xml:space="preserve"> constables (as well as representatives of the NA, APF and Maoists)</w:t>
      </w:r>
      <w:r w:rsidRPr="00D61C8A">
        <w:rPr>
          <w:rFonts w:ascii="Calibri" w:eastAsia="Cambria" w:hAnsi="Calibri"/>
          <w:sz w:val="20"/>
          <w:szCs w:val="20"/>
        </w:rPr>
        <w:t xml:space="preserve"> with MRE materials and focal point training sessions, enabling them to conduct their own MRE activities.</w:t>
      </w:r>
    </w:p>
    <w:p w:rsidR="00B454FB" w:rsidRPr="00E55822" w:rsidRDefault="00B454FB" w:rsidP="00B454FB">
      <w:pPr>
        <w:pStyle w:val="ColorfulList-Accent11"/>
        <w:numPr>
          <w:ilvl w:val="0"/>
          <w:numId w:val="63"/>
        </w:numPr>
        <w:spacing w:line="276" w:lineRule="auto"/>
        <w:rPr>
          <w:rFonts w:ascii="Calibri" w:eastAsia="Cambria" w:hAnsi="Calibri"/>
          <w:sz w:val="20"/>
          <w:szCs w:val="20"/>
        </w:rPr>
      </w:pPr>
      <w:r w:rsidRPr="00D61C8A">
        <w:rPr>
          <w:rFonts w:ascii="Calibri" w:eastAsia="Cambria" w:hAnsi="Calibri"/>
          <w:sz w:val="20"/>
          <w:szCs w:val="20"/>
        </w:rPr>
        <w:t xml:space="preserve">Reach out to the CPN/M and other Maoist groups at the central, regional, district and local levels.  Framing the issue of ED injury as a child health issue – rather than a political issue - may encourage </w:t>
      </w:r>
      <w:r>
        <w:rPr>
          <w:rFonts w:ascii="Calibri" w:eastAsia="Cambria" w:hAnsi="Calibri"/>
          <w:sz w:val="20"/>
          <w:szCs w:val="20"/>
        </w:rPr>
        <w:t xml:space="preserve">their </w:t>
      </w:r>
      <w:r w:rsidRPr="00D61C8A">
        <w:rPr>
          <w:rFonts w:ascii="Calibri" w:eastAsia="Cambria" w:hAnsi="Calibri"/>
          <w:sz w:val="20"/>
          <w:szCs w:val="20"/>
        </w:rPr>
        <w:t>participation.</w:t>
      </w:r>
    </w:p>
    <w:p w:rsidR="00B454FB" w:rsidRDefault="00B454FB" w:rsidP="00B454FB">
      <w:pPr>
        <w:pStyle w:val="ColorfulList-Accent11"/>
        <w:numPr>
          <w:ilvl w:val="0"/>
          <w:numId w:val="63"/>
        </w:numPr>
        <w:spacing w:line="276" w:lineRule="auto"/>
        <w:rPr>
          <w:rFonts w:ascii="Calibri" w:eastAsia="Cambria" w:hAnsi="Calibri"/>
          <w:sz w:val="20"/>
          <w:szCs w:val="20"/>
        </w:rPr>
      </w:pPr>
      <w:r w:rsidRPr="00953679">
        <w:rPr>
          <w:rFonts w:ascii="Calibri" w:eastAsia="Cambria" w:hAnsi="Calibri"/>
          <w:sz w:val="20"/>
          <w:szCs w:val="20"/>
        </w:rPr>
        <w:lastRenderedPageBreak/>
        <w:t xml:space="preserve">Promote MRE among marginalized populations by integrating MRE messages into non-formal education activities </w:t>
      </w:r>
      <w:r>
        <w:rPr>
          <w:rFonts w:ascii="Calibri" w:eastAsia="Cambria" w:hAnsi="Calibri"/>
          <w:sz w:val="20"/>
          <w:szCs w:val="20"/>
        </w:rPr>
        <w:t xml:space="preserve">such as </w:t>
      </w:r>
      <w:r w:rsidRPr="00953679">
        <w:rPr>
          <w:rFonts w:ascii="Calibri" w:eastAsia="Cambria" w:hAnsi="Calibri"/>
          <w:sz w:val="20"/>
          <w:szCs w:val="20"/>
        </w:rPr>
        <w:t>those for adult literacy and for children not attending school</w:t>
      </w:r>
      <w:r>
        <w:rPr>
          <w:rFonts w:ascii="Calibri" w:eastAsia="Cambria" w:hAnsi="Calibri"/>
          <w:sz w:val="20"/>
          <w:szCs w:val="20"/>
        </w:rPr>
        <w:t xml:space="preserve">.  </w:t>
      </w:r>
      <w:r w:rsidRPr="00953679">
        <w:rPr>
          <w:rFonts w:ascii="Calibri" w:eastAsia="Cambria" w:hAnsi="Calibri"/>
          <w:sz w:val="20"/>
          <w:szCs w:val="20"/>
        </w:rPr>
        <w:t xml:space="preserve">Inclusion of </w:t>
      </w:r>
      <w:r>
        <w:rPr>
          <w:rFonts w:ascii="Calibri" w:eastAsia="Cambria" w:hAnsi="Calibri"/>
          <w:sz w:val="20"/>
          <w:szCs w:val="20"/>
        </w:rPr>
        <w:t xml:space="preserve">MRE in </w:t>
      </w:r>
      <w:r w:rsidRPr="00953679">
        <w:rPr>
          <w:rFonts w:ascii="Calibri" w:eastAsia="Cambria" w:hAnsi="Calibri"/>
          <w:sz w:val="20"/>
          <w:szCs w:val="20"/>
        </w:rPr>
        <w:t>non-traditional programs such as the UNICEF Education Section’s Life Skills Project could ensure better cover</w:t>
      </w:r>
      <w:r>
        <w:rPr>
          <w:rFonts w:ascii="Calibri" w:eastAsia="Cambria" w:hAnsi="Calibri"/>
          <w:sz w:val="20"/>
          <w:szCs w:val="20"/>
        </w:rPr>
        <w:t>age of vulnerable populations.</w:t>
      </w:r>
    </w:p>
    <w:p w:rsidR="00B454FB" w:rsidRDefault="00B454FB" w:rsidP="00B454FB">
      <w:pPr>
        <w:pStyle w:val="ColorfulList-Accent11"/>
        <w:numPr>
          <w:ilvl w:val="0"/>
          <w:numId w:val="63"/>
        </w:numPr>
        <w:spacing w:line="276" w:lineRule="auto"/>
        <w:rPr>
          <w:rFonts w:ascii="Calibri" w:eastAsia="Cambria" w:hAnsi="Calibri"/>
          <w:sz w:val="20"/>
          <w:szCs w:val="20"/>
        </w:rPr>
      </w:pPr>
      <w:r w:rsidRPr="00CC34AC">
        <w:rPr>
          <w:rFonts w:ascii="Calibri" w:eastAsia="Cambria" w:hAnsi="Calibri"/>
          <w:sz w:val="20"/>
          <w:szCs w:val="20"/>
        </w:rPr>
        <w:t>Reconsider the current level of resource expenditure on MRE, especially if VAE injuries continue to decrease in incidence.  It may be possible to integrate MRE into a broader injury prevention program and/or government school curricula (see Section VI.C.4).</w:t>
      </w:r>
    </w:p>
    <w:p w:rsidR="00B454FB" w:rsidRPr="00CC34AC" w:rsidRDefault="00B454FB" w:rsidP="00B454FB">
      <w:pPr>
        <w:pStyle w:val="ColorfulList-Accent11"/>
        <w:spacing w:line="276" w:lineRule="auto"/>
        <w:ind w:left="0"/>
        <w:rPr>
          <w:rFonts w:ascii="Calibri" w:eastAsia="Cambria"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VI.C.2</w:t>
      </w:r>
      <w:r>
        <w:rPr>
          <w:rFonts w:ascii="Calibri" w:hAnsi="Calibri"/>
          <w:sz w:val="20"/>
          <w:szCs w:val="20"/>
        </w:rPr>
        <w:tab/>
      </w:r>
      <w:r>
        <w:rPr>
          <w:rFonts w:ascii="Calibri" w:hAnsi="Calibri"/>
          <w:sz w:val="20"/>
          <w:szCs w:val="20"/>
        </w:rPr>
        <w:tab/>
      </w:r>
      <w:r w:rsidRPr="00D61C8A">
        <w:rPr>
          <w:rFonts w:ascii="Calibri" w:hAnsi="Calibri"/>
          <w:sz w:val="20"/>
          <w:szCs w:val="20"/>
        </w:rPr>
        <w:t>Effectiveness</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 xml:space="preserve">“Effectiveness measures the extent to which the activities funded by the programme or project achieved their objectives, or whether this can be expected based on the projects </w:t>
      </w:r>
      <w:r w:rsidRPr="00D61C8A">
        <w:rPr>
          <w:rFonts w:ascii="Calibri" w:eastAsia="Cambria" w:hAnsi="Calibri"/>
          <w:b/>
          <w:i/>
          <w:sz w:val="20"/>
          <w:szCs w:val="20"/>
        </w:rPr>
        <w:t>(sic)</w:t>
      </w:r>
      <w:r w:rsidRPr="00D61C8A">
        <w:rPr>
          <w:rFonts w:ascii="Calibri" w:eastAsia="Cambria" w:hAnsi="Calibri"/>
          <w:b/>
          <w:sz w:val="20"/>
          <w:szCs w:val="20"/>
        </w:rPr>
        <w:t xml:space="preserve"> outputs.  Basically, this means seeing whether the right things were done at the right time to ensure the success of the project.”</w:t>
      </w:r>
      <w:r w:rsidRPr="00E27C01">
        <w:rPr>
          <w:rStyle w:val="EndnoteReference"/>
          <w:rFonts w:ascii="Calibri" w:eastAsia="Cambria" w:hAnsi="Calibri"/>
          <w:sz w:val="20"/>
          <w:szCs w:val="20"/>
        </w:rPr>
        <w:endnoteReference w:id="360"/>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Effectiveness is assessed by considering whether MRE activities are timely, appropriate, memorable, deliverable, realizable, flexible, complementary with other MA activities, coordinated, and adjusted following monitoring.</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 xml:space="preserve">MRE messages and programs have been </w:t>
      </w:r>
      <w:r>
        <w:rPr>
          <w:rFonts w:ascii="Calibri" w:eastAsia="Cambria" w:hAnsi="Calibri"/>
          <w:sz w:val="20"/>
          <w:szCs w:val="20"/>
        </w:rPr>
        <w:t>adjusted according</w:t>
      </w:r>
      <w:r w:rsidRPr="00D61C8A">
        <w:rPr>
          <w:rFonts w:ascii="Calibri" w:eastAsia="Cambria" w:hAnsi="Calibri"/>
          <w:sz w:val="20"/>
          <w:szCs w:val="20"/>
        </w:rPr>
        <w:t xml:space="preserve"> to </w:t>
      </w:r>
      <w:r>
        <w:rPr>
          <w:rFonts w:ascii="Calibri" w:eastAsia="Cambria" w:hAnsi="Calibri"/>
          <w:sz w:val="20"/>
          <w:szCs w:val="20"/>
        </w:rPr>
        <w:t>emerging</w:t>
      </w:r>
      <w:r w:rsidRPr="00D61C8A">
        <w:rPr>
          <w:rFonts w:ascii="Calibri" w:eastAsia="Cambria" w:hAnsi="Calibri"/>
          <w:sz w:val="20"/>
          <w:szCs w:val="20"/>
        </w:rPr>
        <w:t xml:space="preserve"> VAE injury surveillance data and the findings of the 2007 KAP survey.  Systematic MRE has been targeted to reach the age group at highest risk of injury, and all MRE activities have addressed the risk behaviors and fears of reporting that became apparent through the VAE injury surveillance system and the 2007 KAP survey.</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 xml:space="preserve">Emergency MRE is delivered </w:t>
      </w:r>
      <w:r>
        <w:rPr>
          <w:rFonts w:ascii="Calibri" w:eastAsia="Cambria" w:hAnsi="Calibri"/>
          <w:sz w:val="20"/>
          <w:szCs w:val="20"/>
        </w:rPr>
        <w:t>in a timely and efficient manner</w:t>
      </w:r>
      <w:r w:rsidRPr="00D61C8A">
        <w:rPr>
          <w:rFonts w:ascii="Calibri" w:eastAsia="Cambria" w:hAnsi="Calibri"/>
          <w:sz w:val="20"/>
          <w:szCs w:val="20"/>
        </w:rPr>
        <w:t>.  UNICEF’s frequent communication with INSEC, availability of emergency MRE kits, and the use of monitoring databases facilitates the quick dispatch of MRE focal points to communities in 68 districts.</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MRE messages are provided in a clear, culturally appropriate manner via materials that were designed for illiterate individuals as well as those who do not understand the Nepali language.  Pictures were designed by a local artist, with several age-appropriate messages for children.  MRE materials were field tested among 375 individuals, and the six images with the lowest understanding scores were removed or changed.  MRE focal points have expressed their approval of the materials.  Focal points can tailor trainings for children by emphasizing certain methods and conducting trainings at a slower speed.</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UNICEF is fulfilling most activities included in its work plans</w:t>
      </w:r>
      <w:r>
        <w:rPr>
          <w:rFonts w:ascii="Calibri" w:eastAsia="Cambria" w:hAnsi="Calibri"/>
          <w:sz w:val="20"/>
          <w:szCs w:val="20"/>
        </w:rPr>
        <w:t xml:space="preserve"> and</w:t>
      </w:r>
      <w:r w:rsidRPr="00D61C8A">
        <w:rPr>
          <w:rFonts w:ascii="Calibri" w:eastAsia="Cambria" w:hAnsi="Calibri"/>
          <w:sz w:val="20"/>
          <w:szCs w:val="20"/>
        </w:rPr>
        <w:t xml:space="preserve"> using existing resources and networks in a competent manner.  Work plan objectives that were not met in 2008 and 2009 were incorporated into planning for the following years.</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 xml:space="preserve">In the absence of one UNICEF MA staff member, remaining personnel have exhibited great competency and flexibility by introducing new activities and scaling up existing ones.  This is a testament to their expertise and training and to a well-planned program design. </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 xml:space="preserve">Close relationships with partners providing injury surveillance (INSEC), victim assistance (HI), clearance and demining (UNMAT and the NA) and advocacy (NCBL) </w:t>
      </w:r>
      <w:r>
        <w:rPr>
          <w:rFonts w:ascii="Calibri" w:eastAsia="Cambria" w:hAnsi="Calibri"/>
          <w:sz w:val="20"/>
          <w:szCs w:val="20"/>
        </w:rPr>
        <w:t>en</w:t>
      </w:r>
      <w:r w:rsidRPr="00D61C8A">
        <w:rPr>
          <w:rFonts w:ascii="Calibri" w:eastAsia="Cambria" w:hAnsi="Calibri"/>
          <w:sz w:val="20"/>
          <w:szCs w:val="20"/>
        </w:rPr>
        <w:t xml:space="preserve">sure that UNICEF’s MRE </w:t>
      </w:r>
      <w:r>
        <w:rPr>
          <w:rFonts w:ascii="Calibri" w:eastAsia="Cambria" w:hAnsi="Calibri"/>
          <w:sz w:val="20"/>
          <w:szCs w:val="20"/>
        </w:rPr>
        <w:t>activities</w:t>
      </w:r>
      <w:r w:rsidRPr="00D61C8A">
        <w:rPr>
          <w:rFonts w:ascii="Calibri" w:eastAsia="Cambria" w:hAnsi="Calibri"/>
          <w:sz w:val="20"/>
          <w:szCs w:val="20"/>
        </w:rPr>
        <w:t xml:space="preserve"> operate closely with other MA activities in Nepal.    </w:t>
      </w:r>
    </w:p>
    <w:p w:rsidR="00B454FB" w:rsidRPr="00D61C8A" w:rsidRDefault="00B454FB" w:rsidP="00B454FB">
      <w:pPr>
        <w:numPr>
          <w:ilvl w:val="0"/>
          <w:numId w:val="23"/>
        </w:numPr>
        <w:spacing w:line="276" w:lineRule="auto"/>
        <w:contextualSpacing/>
        <w:rPr>
          <w:rFonts w:ascii="Calibri" w:eastAsia="Cambria" w:hAnsi="Calibri"/>
          <w:sz w:val="20"/>
          <w:szCs w:val="20"/>
        </w:rPr>
      </w:pPr>
      <w:r w:rsidRPr="00D61C8A">
        <w:rPr>
          <w:rFonts w:ascii="Calibri" w:eastAsia="Cambria" w:hAnsi="Calibri"/>
          <w:sz w:val="20"/>
          <w:szCs w:val="20"/>
        </w:rPr>
        <w:t>The new MRE monitoring system is very thorough.  Frequent contact with stakeholders, use of standardized data collection forms, mapping of MRE activities and quality assessment should contribute to the effectiveness of MRE activities.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Default="00B454FB" w:rsidP="00B454FB">
      <w:pPr>
        <w:numPr>
          <w:ilvl w:val="0"/>
          <w:numId w:val="24"/>
        </w:numPr>
        <w:spacing w:line="276" w:lineRule="auto"/>
        <w:contextualSpacing/>
        <w:rPr>
          <w:rFonts w:ascii="Calibri" w:eastAsia="Cambria" w:hAnsi="Calibri"/>
          <w:sz w:val="20"/>
          <w:szCs w:val="20"/>
        </w:rPr>
      </w:pPr>
      <w:r w:rsidRPr="00D61C8A">
        <w:rPr>
          <w:rFonts w:ascii="Calibri" w:eastAsia="Cambria" w:hAnsi="Calibri"/>
          <w:sz w:val="20"/>
          <w:szCs w:val="20"/>
        </w:rPr>
        <w:t>The best indicators of MRE effectiveness, in decreasing order, would be 1) a change in the number of VAE injuries among individuals who had received MRE</w:t>
      </w:r>
      <w:r>
        <w:rPr>
          <w:rFonts w:ascii="Calibri" w:eastAsia="Cambria" w:hAnsi="Calibri"/>
          <w:sz w:val="20"/>
          <w:szCs w:val="20"/>
        </w:rPr>
        <w:t>; 2) a change in high-risk</w:t>
      </w:r>
      <w:r w:rsidRPr="00D61C8A">
        <w:rPr>
          <w:rFonts w:ascii="Calibri" w:eastAsia="Cambria" w:hAnsi="Calibri"/>
          <w:sz w:val="20"/>
          <w:szCs w:val="20"/>
        </w:rPr>
        <w:t xml:space="preserve"> behaviors </w:t>
      </w:r>
      <w:r>
        <w:rPr>
          <w:rFonts w:ascii="Calibri" w:eastAsia="Cambria" w:hAnsi="Calibri"/>
          <w:sz w:val="20"/>
          <w:szCs w:val="20"/>
        </w:rPr>
        <w:t xml:space="preserve">among </w:t>
      </w:r>
      <w:r w:rsidRPr="00D61C8A">
        <w:rPr>
          <w:rFonts w:ascii="Calibri" w:eastAsia="Cambria" w:hAnsi="Calibri"/>
          <w:sz w:val="20"/>
          <w:szCs w:val="20"/>
        </w:rPr>
        <w:t>individuals who had received MRE; and 3) a change in the VAE-related knowledge of individuals who had received MRE.  It has not been possible to measure any of these indicators thus far, rendering it difficult to assess whether intended benefits have been delivered to and received by target populations and whether MRE participants have retained key messages.</w:t>
      </w:r>
    </w:p>
    <w:p w:rsidR="00B454FB" w:rsidRPr="00D61C8A" w:rsidRDefault="00B454FB" w:rsidP="00B454FB">
      <w:pPr>
        <w:numPr>
          <w:ilvl w:val="0"/>
          <w:numId w:val="24"/>
        </w:numPr>
        <w:spacing w:line="276" w:lineRule="auto"/>
        <w:contextualSpacing/>
        <w:rPr>
          <w:rFonts w:ascii="Calibri" w:eastAsia="Cambria" w:hAnsi="Calibri"/>
          <w:sz w:val="20"/>
          <w:szCs w:val="20"/>
        </w:rPr>
      </w:pPr>
      <w:r w:rsidRPr="00195B22">
        <w:rPr>
          <w:rFonts w:ascii="Calibri" w:eastAsia="Cambria" w:hAnsi="Calibri"/>
          <w:sz w:val="20"/>
          <w:szCs w:val="20"/>
        </w:rPr>
        <w:t>Approximately one third of focal points are receiving pay and/or reimbursement for their MRE activities, while other focal points are not.  This inequality may lower morale among focal points, eventually affecting the consistency and/or quality of MRE sessions.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216ECE" w:rsidRDefault="00B454FB" w:rsidP="00B454FB">
      <w:pPr>
        <w:numPr>
          <w:ilvl w:val="0"/>
          <w:numId w:val="24"/>
        </w:numPr>
        <w:spacing w:line="276" w:lineRule="auto"/>
        <w:contextualSpacing/>
        <w:rPr>
          <w:rFonts w:ascii="Calibri" w:eastAsia="Cambria" w:hAnsi="Calibri"/>
          <w:sz w:val="20"/>
          <w:szCs w:val="20"/>
        </w:rPr>
      </w:pPr>
      <w:r w:rsidRPr="00D61C8A">
        <w:rPr>
          <w:rFonts w:ascii="Calibri" w:eastAsia="Cambria" w:hAnsi="Calibri"/>
          <w:sz w:val="20"/>
          <w:szCs w:val="20"/>
        </w:rPr>
        <w:t>Distribution of MRE materials is very expensive and challenging given the geography of Nepal and the impact of frequent bandhs on transportation.  As a result, delivery of materials to trainers has been delayed on several occasions.</w:t>
      </w:r>
    </w:p>
    <w:p w:rsidR="00B454FB" w:rsidRPr="00D61C8A" w:rsidRDefault="00B454FB" w:rsidP="00B454FB">
      <w:pPr>
        <w:numPr>
          <w:ilvl w:val="0"/>
          <w:numId w:val="24"/>
        </w:numPr>
        <w:spacing w:line="276" w:lineRule="auto"/>
        <w:contextualSpacing/>
        <w:rPr>
          <w:rFonts w:ascii="Calibri" w:eastAsia="Cambria" w:hAnsi="Calibri"/>
          <w:sz w:val="20"/>
          <w:szCs w:val="20"/>
        </w:rPr>
      </w:pPr>
      <w:r w:rsidRPr="00D61C8A">
        <w:rPr>
          <w:rFonts w:ascii="Calibri" w:hAnsi="Calibri"/>
          <w:sz w:val="20"/>
          <w:szCs w:val="20"/>
        </w:rPr>
        <w:t xml:space="preserve">Data </w:t>
      </w:r>
      <w:r>
        <w:rPr>
          <w:rFonts w:ascii="Calibri" w:hAnsi="Calibri"/>
          <w:sz w:val="20"/>
          <w:szCs w:val="20"/>
        </w:rPr>
        <w:t>gathered</w:t>
      </w:r>
      <w:r w:rsidRPr="00D61C8A">
        <w:rPr>
          <w:rFonts w:ascii="Calibri" w:hAnsi="Calibri"/>
          <w:sz w:val="20"/>
          <w:szCs w:val="20"/>
        </w:rPr>
        <w:t xml:space="preserve"> </w:t>
      </w:r>
      <w:r>
        <w:rPr>
          <w:rFonts w:ascii="Calibri" w:hAnsi="Calibri"/>
          <w:sz w:val="20"/>
          <w:szCs w:val="20"/>
        </w:rPr>
        <w:t>via</w:t>
      </w:r>
      <w:r w:rsidRPr="00D61C8A">
        <w:rPr>
          <w:rFonts w:ascii="Calibri" w:hAnsi="Calibri"/>
          <w:sz w:val="20"/>
          <w:szCs w:val="20"/>
        </w:rPr>
        <w:t xml:space="preserve"> monitoring activities will facilitate timely </w:t>
      </w:r>
      <w:r>
        <w:rPr>
          <w:rFonts w:ascii="Calibri" w:hAnsi="Calibri"/>
          <w:sz w:val="20"/>
          <w:szCs w:val="20"/>
        </w:rPr>
        <w:t>response to concerns</w:t>
      </w:r>
      <w:r w:rsidR="0069131C">
        <w:rPr>
          <w:rFonts w:ascii="Calibri" w:hAnsi="Calibri"/>
          <w:sz w:val="20"/>
          <w:szCs w:val="20"/>
        </w:rPr>
        <w:t>,</w:t>
      </w:r>
      <w:r w:rsidRPr="00D61C8A">
        <w:rPr>
          <w:rFonts w:ascii="Calibri" w:hAnsi="Calibri"/>
          <w:sz w:val="20"/>
          <w:szCs w:val="20"/>
        </w:rPr>
        <w:t xml:space="preserve"> such as needs for additional training materials and the dispatch of an alternate emergency MRE focal point when a</w:t>
      </w:r>
      <w:r>
        <w:rPr>
          <w:rFonts w:ascii="Calibri" w:hAnsi="Calibri"/>
          <w:sz w:val="20"/>
          <w:szCs w:val="20"/>
        </w:rPr>
        <w:t>nother</w:t>
      </w:r>
      <w:r w:rsidRPr="00D61C8A">
        <w:rPr>
          <w:rFonts w:ascii="Calibri" w:hAnsi="Calibri"/>
          <w:sz w:val="20"/>
          <w:szCs w:val="20"/>
        </w:rPr>
        <w:t xml:space="preserve"> focal point is unavailable.  However, the relatively recent establishment of the monitoring system makes it difficult to assess whether the broader objectives and methods of MRE activities will be adjusted based on the output of monitoring tasks.</w:t>
      </w:r>
    </w:p>
    <w:p w:rsidR="00B454FB" w:rsidRPr="00D61C8A" w:rsidRDefault="00B454FB" w:rsidP="00B454FB">
      <w:pPr>
        <w:spacing w:line="276" w:lineRule="auto"/>
        <w:ind w:left="360"/>
        <w:contextualSpacing/>
        <w:rPr>
          <w:rFonts w:ascii="Calibri" w:eastAsia="Cambria" w:hAnsi="Calibri"/>
          <w:sz w:val="20"/>
          <w:szCs w:val="20"/>
        </w:rPr>
      </w:pPr>
    </w:p>
    <w:p w:rsidR="00B454FB" w:rsidRPr="00D61C8A" w:rsidRDefault="00B454FB" w:rsidP="00B454FB">
      <w:pPr>
        <w:spacing w:line="276" w:lineRule="auto"/>
        <w:contextualSpacing/>
        <w:rPr>
          <w:rFonts w:ascii="Calibri" w:hAnsi="Calibri"/>
          <w:b/>
          <w:sz w:val="20"/>
          <w:szCs w:val="20"/>
        </w:rPr>
      </w:pPr>
      <w:r w:rsidRPr="00D61C8A">
        <w:rPr>
          <w:rFonts w:ascii="Calibri" w:hAnsi="Calibri"/>
          <w:b/>
          <w:sz w:val="20"/>
          <w:szCs w:val="20"/>
        </w:rPr>
        <w:t>Recommendations</w:t>
      </w:r>
    </w:p>
    <w:p w:rsidR="00B454FB" w:rsidRDefault="00024565" w:rsidP="00B454FB">
      <w:pPr>
        <w:pStyle w:val="ColorfulList-Accent11"/>
        <w:numPr>
          <w:ilvl w:val="0"/>
          <w:numId w:val="64"/>
        </w:numPr>
        <w:spacing w:line="276" w:lineRule="auto"/>
        <w:rPr>
          <w:rFonts w:ascii="Calibri" w:eastAsia="Cambria" w:hAnsi="Calibri"/>
          <w:sz w:val="20"/>
          <w:szCs w:val="20"/>
        </w:rPr>
      </w:pPr>
      <w:r>
        <w:rPr>
          <w:rFonts w:ascii="Calibri" w:eastAsia="Cambria" w:hAnsi="Calibri"/>
          <w:sz w:val="20"/>
          <w:szCs w:val="20"/>
        </w:rPr>
        <w:t>C</w:t>
      </w:r>
      <w:r w:rsidR="00B454FB" w:rsidRPr="00195B22">
        <w:rPr>
          <w:rFonts w:ascii="Calibri" w:eastAsia="Cambria" w:hAnsi="Calibri"/>
          <w:sz w:val="20"/>
          <w:szCs w:val="20"/>
        </w:rPr>
        <w:t>oordinating with MRE partners to ensure that MRE focal points are receiving equal pay and/or reimbursement for equal work.</w:t>
      </w:r>
    </w:p>
    <w:p w:rsidR="00B454FB" w:rsidRPr="009741F8" w:rsidRDefault="00B454FB" w:rsidP="00B454FB">
      <w:pPr>
        <w:pStyle w:val="ColorfulList-Accent11"/>
        <w:numPr>
          <w:ilvl w:val="0"/>
          <w:numId w:val="64"/>
        </w:numPr>
        <w:spacing w:line="276" w:lineRule="auto"/>
        <w:rPr>
          <w:rFonts w:ascii="Calibri" w:eastAsia="Cambria" w:hAnsi="Calibri"/>
          <w:sz w:val="20"/>
          <w:szCs w:val="20"/>
        </w:rPr>
      </w:pPr>
      <w:r w:rsidRPr="00282D3D">
        <w:rPr>
          <w:rFonts w:ascii="Calibri" w:eastAsia="Cambria" w:hAnsi="Calibri"/>
          <w:sz w:val="20"/>
          <w:szCs w:val="20"/>
        </w:rPr>
        <w:t>Find faster delivery methods for MRE materials, sharing transportation with partner organizations when possible.</w:t>
      </w:r>
    </w:p>
    <w:p w:rsidR="00B454FB" w:rsidRPr="009741F8" w:rsidRDefault="00B454FB" w:rsidP="00B454FB">
      <w:pPr>
        <w:pStyle w:val="ColorfulList-Accent11"/>
        <w:numPr>
          <w:ilvl w:val="0"/>
          <w:numId w:val="64"/>
        </w:numPr>
        <w:spacing w:line="276" w:lineRule="auto"/>
        <w:rPr>
          <w:rFonts w:ascii="Calibri" w:eastAsia="Cambria" w:hAnsi="Calibri"/>
          <w:sz w:val="20"/>
          <w:szCs w:val="20"/>
        </w:rPr>
      </w:pPr>
      <w:r>
        <w:rPr>
          <w:rFonts w:ascii="Calibri" w:eastAsia="Cambria" w:hAnsi="Calibri"/>
          <w:sz w:val="20"/>
          <w:szCs w:val="20"/>
        </w:rPr>
        <w:t>En</w:t>
      </w:r>
      <w:r w:rsidRPr="00D61C8A">
        <w:rPr>
          <w:rFonts w:ascii="Calibri" w:eastAsia="Cambria" w:hAnsi="Calibri"/>
          <w:sz w:val="20"/>
          <w:szCs w:val="20"/>
        </w:rPr>
        <w:t>sure that all MRE symbols and me</w:t>
      </w:r>
      <w:r>
        <w:rPr>
          <w:rFonts w:ascii="Calibri" w:eastAsia="Cambria" w:hAnsi="Calibri"/>
          <w:sz w:val="20"/>
          <w:szCs w:val="20"/>
        </w:rPr>
        <w:t xml:space="preserve">ssages selected or designed for </w:t>
      </w:r>
      <w:r w:rsidRPr="00D61C8A">
        <w:rPr>
          <w:rFonts w:ascii="Calibri" w:eastAsia="Cambria" w:hAnsi="Calibri"/>
          <w:sz w:val="20"/>
          <w:szCs w:val="20"/>
        </w:rPr>
        <w:t>use in the future are easily understood by the target audience.</w:t>
      </w:r>
    </w:p>
    <w:p w:rsidR="00B454FB" w:rsidRPr="009741F8"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sidRPr="009741F8">
        <w:rPr>
          <w:rFonts w:ascii="Calibri" w:hAnsi="Calibri"/>
          <w:sz w:val="20"/>
          <w:szCs w:val="20"/>
        </w:rPr>
        <w:t>V</w:t>
      </w:r>
      <w:r>
        <w:rPr>
          <w:rFonts w:ascii="Calibri" w:hAnsi="Calibri"/>
          <w:sz w:val="20"/>
          <w:szCs w:val="20"/>
        </w:rPr>
        <w:t>I.C.3</w:t>
      </w:r>
      <w:r>
        <w:rPr>
          <w:rFonts w:ascii="Calibri" w:hAnsi="Calibri"/>
          <w:sz w:val="20"/>
          <w:szCs w:val="20"/>
        </w:rPr>
        <w:tab/>
      </w:r>
      <w:r>
        <w:rPr>
          <w:rFonts w:ascii="Calibri" w:hAnsi="Calibri"/>
          <w:sz w:val="20"/>
          <w:szCs w:val="20"/>
        </w:rPr>
        <w:tab/>
      </w:r>
      <w:r w:rsidRPr="00D61C8A">
        <w:rPr>
          <w:rFonts w:ascii="Calibri" w:hAnsi="Calibri"/>
          <w:sz w:val="20"/>
          <w:szCs w:val="20"/>
        </w:rPr>
        <w:t>Efficiency</w:t>
      </w: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“Efficiency measures value for money and assesses whether similar results could have been achieved in other ways for a lower cost.  An analysis of efficiency would therefore focus on how project or programme costs have been converted into measurable results.”</w:t>
      </w:r>
      <w:r w:rsidRPr="00E27C01">
        <w:rPr>
          <w:rStyle w:val="EndnoteReference"/>
          <w:rFonts w:ascii="Calibri" w:eastAsia="Cambria" w:hAnsi="Calibri"/>
          <w:sz w:val="20"/>
          <w:szCs w:val="20"/>
        </w:rPr>
        <w:endnoteReference w:id="361"/>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Efficiency is assessed by considering resources used, comparability of project costs with similar projects; alternatives; cost benefit; and monitoring.</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25"/>
        </w:numPr>
        <w:spacing w:line="276" w:lineRule="auto"/>
        <w:contextualSpacing/>
        <w:rPr>
          <w:rFonts w:ascii="Calibri" w:eastAsia="Cambria" w:hAnsi="Calibri"/>
          <w:sz w:val="20"/>
          <w:szCs w:val="20"/>
        </w:rPr>
      </w:pPr>
      <w:r w:rsidRPr="00D61C8A">
        <w:rPr>
          <w:rFonts w:ascii="Calibri" w:eastAsia="Cambria" w:hAnsi="Calibri"/>
          <w:sz w:val="20"/>
          <w:szCs w:val="20"/>
        </w:rPr>
        <w:t>UNICEF MA personnel practice good physical stewardship of MRE materials.  MRE emergency kits are numbered, encouraging responsibility among kit recipients and facilitating tracking of kits at the central level.  The MRE MO asks focal points about kits and other materials upon administration of the “</w:t>
      </w:r>
      <w:r w:rsidRPr="00D61C8A">
        <w:rPr>
          <w:rFonts w:ascii="Calibri" w:hAnsi="Calibri"/>
          <w:sz w:val="20"/>
          <w:szCs w:val="20"/>
        </w:rPr>
        <w:t>Telephonic FAQ for MRE focal points”</w:t>
      </w:r>
      <w:r w:rsidRPr="00D61C8A">
        <w:rPr>
          <w:rFonts w:ascii="Calibri" w:eastAsia="Cambria" w:hAnsi="Calibri"/>
          <w:sz w:val="20"/>
          <w:szCs w:val="20"/>
        </w:rPr>
        <w:t>; if focal points are no longer active, the MO asks them to return their MRE materials to their organizations for use by other focal points.</w:t>
      </w:r>
    </w:p>
    <w:p w:rsidR="00B454FB" w:rsidRPr="00D61C8A" w:rsidRDefault="00B454FB" w:rsidP="00B454FB">
      <w:pPr>
        <w:numPr>
          <w:ilvl w:val="0"/>
          <w:numId w:val="25"/>
        </w:numPr>
        <w:spacing w:line="276" w:lineRule="auto"/>
        <w:contextualSpacing/>
        <w:rPr>
          <w:rFonts w:ascii="Calibri" w:eastAsia="Cambria" w:hAnsi="Calibri"/>
          <w:sz w:val="20"/>
          <w:szCs w:val="20"/>
        </w:rPr>
      </w:pPr>
      <w:r w:rsidRPr="00D61C8A">
        <w:rPr>
          <w:rFonts w:ascii="Calibri" w:eastAsia="Cambria" w:hAnsi="Calibri"/>
          <w:sz w:val="20"/>
          <w:szCs w:val="20"/>
        </w:rPr>
        <w:t xml:space="preserve">UNICEF </w:t>
      </w:r>
      <w:r>
        <w:rPr>
          <w:rFonts w:ascii="Calibri" w:eastAsia="Cambria" w:hAnsi="Calibri"/>
          <w:sz w:val="20"/>
          <w:szCs w:val="20"/>
        </w:rPr>
        <w:t xml:space="preserve">and partners </w:t>
      </w:r>
      <w:r w:rsidRPr="00D61C8A">
        <w:rPr>
          <w:rFonts w:ascii="Calibri" w:eastAsia="Cambria" w:hAnsi="Calibri"/>
          <w:sz w:val="20"/>
          <w:szCs w:val="20"/>
        </w:rPr>
        <w:t xml:space="preserve">increase the value of MRE sessions and materials by encouraging session participants to share the messages and materials they have received with others.  This approach was incorporated in the last step of UNICEF’s implementation strategy for systematic MRE, which encourages students to share their new knowledge with family and friends.  Furthermore, MRE messages in flipcharts encourage participants to share their leaflets following sessions.  The 2007 KAP survey found that nine of 13 adult participants who had MRE materials in their possession were using them to inform others. </w:t>
      </w:r>
    </w:p>
    <w:p w:rsidR="00B454FB" w:rsidRPr="00D61C8A" w:rsidRDefault="00B454FB" w:rsidP="00B454FB">
      <w:pPr>
        <w:numPr>
          <w:ilvl w:val="0"/>
          <w:numId w:val="25"/>
        </w:numPr>
        <w:spacing w:line="276" w:lineRule="auto"/>
        <w:contextualSpacing/>
        <w:rPr>
          <w:rFonts w:ascii="Calibri" w:eastAsia="Cambria" w:hAnsi="Calibri"/>
          <w:sz w:val="20"/>
          <w:szCs w:val="20"/>
        </w:rPr>
      </w:pPr>
      <w:r w:rsidRPr="00D61C8A">
        <w:rPr>
          <w:rFonts w:ascii="Calibri" w:eastAsia="Cambria" w:hAnsi="Calibri"/>
          <w:sz w:val="20"/>
          <w:szCs w:val="20"/>
        </w:rPr>
        <w:t xml:space="preserve">A strong and thorough monitoring system </w:t>
      </w:r>
      <w:r>
        <w:rPr>
          <w:rFonts w:ascii="Calibri" w:eastAsia="Cambria" w:hAnsi="Calibri"/>
          <w:sz w:val="20"/>
          <w:szCs w:val="20"/>
        </w:rPr>
        <w:t>en</w:t>
      </w:r>
      <w:r w:rsidRPr="00D61C8A">
        <w:rPr>
          <w:rFonts w:ascii="Calibri" w:eastAsia="Cambria" w:hAnsi="Calibri"/>
          <w:sz w:val="20"/>
          <w:szCs w:val="20"/>
        </w:rPr>
        <w:t>sures that materials are accurate, appropriate and used.  In the future, the system may reveal methods to cut costs and increase efficiency.</w:t>
      </w:r>
    </w:p>
    <w:p w:rsidR="00B454FB" w:rsidRPr="00D61C8A" w:rsidRDefault="00B454FB" w:rsidP="00B454FB">
      <w:pPr>
        <w:numPr>
          <w:ilvl w:val="0"/>
          <w:numId w:val="25"/>
        </w:numPr>
        <w:spacing w:line="276" w:lineRule="auto"/>
        <w:contextualSpacing/>
        <w:rPr>
          <w:rFonts w:ascii="Calibri" w:eastAsia="Cambria" w:hAnsi="Calibri"/>
          <w:sz w:val="20"/>
          <w:szCs w:val="20"/>
        </w:rPr>
      </w:pPr>
      <w:r w:rsidRPr="00D61C8A">
        <w:rPr>
          <w:rFonts w:ascii="Calibri" w:eastAsia="Cambria" w:hAnsi="Calibri"/>
          <w:sz w:val="20"/>
          <w:szCs w:val="20"/>
        </w:rPr>
        <w:t xml:space="preserve">Emergency and regular MRE are implemented through existing networks of partner organizations.  </w:t>
      </w:r>
      <w:r>
        <w:rPr>
          <w:rFonts w:ascii="Calibri" w:eastAsia="Cambria" w:hAnsi="Calibri"/>
          <w:sz w:val="20"/>
          <w:szCs w:val="20"/>
        </w:rPr>
        <w:t>Some</w:t>
      </w:r>
      <w:r w:rsidRPr="00D61C8A">
        <w:rPr>
          <w:rFonts w:ascii="Calibri" w:eastAsia="Cambria" w:hAnsi="Calibri"/>
          <w:sz w:val="20"/>
          <w:szCs w:val="20"/>
        </w:rPr>
        <w:t xml:space="preserve"> of these organizations </w:t>
      </w:r>
      <w:r>
        <w:rPr>
          <w:rFonts w:ascii="Calibri" w:eastAsia="Cambria" w:hAnsi="Calibri"/>
          <w:sz w:val="20"/>
          <w:szCs w:val="20"/>
        </w:rPr>
        <w:t>support</w:t>
      </w:r>
      <w:r w:rsidRPr="00D61C8A">
        <w:rPr>
          <w:rFonts w:ascii="Calibri" w:eastAsia="Cambria" w:hAnsi="Calibri"/>
          <w:sz w:val="20"/>
          <w:szCs w:val="20"/>
        </w:rPr>
        <w:t xml:space="preserve"> focal points</w:t>
      </w:r>
      <w:r>
        <w:rPr>
          <w:rFonts w:ascii="Calibri" w:eastAsia="Cambria" w:hAnsi="Calibri"/>
          <w:sz w:val="20"/>
          <w:szCs w:val="20"/>
        </w:rPr>
        <w:t xml:space="preserve"> financially</w:t>
      </w:r>
      <w:r w:rsidRPr="00D61C8A">
        <w:rPr>
          <w:rFonts w:ascii="Calibri" w:eastAsia="Cambria" w:hAnsi="Calibri"/>
          <w:sz w:val="20"/>
          <w:szCs w:val="20"/>
        </w:rPr>
        <w:t xml:space="preserve">, easing the </w:t>
      </w:r>
      <w:r>
        <w:rPr>
          <w:rFonts w:ascii="Calibri" w:eastAsia="Cambria" w:hAnsi="Calibri"/>
          <w:sz w:val="20"/>
          <w:szCs w:val="20"/>
        </w:rPr>
        <w:t>resource burden on UNICEF.</w:t>
      </w:r>
    </w:p>
    <w:p w:rsidR="00B454FB" w:rsidRDefault="00B454FB" w:rsidP="00B454FB">
      <w:pPr>
        <w:numPr>
          <w:ilvl w:val="0"/>
          <w:numId w:val="25"/>
        </w:numPr>
        <w:spacing w:line="276" w:lineRule="auto"/>
        <w:contextualSpacing/>
        <w:rPr>
          <w:rFonts w:ascii="Calibri" w:eastAsia="Cambria" w:hAnsi="Calibri"/>
          <w:sz w:val="20"/>
          <w:szCs w:val="20"/>
        </w:rPr>
      </w:pPr>
      <w:r w:rsidRPr="00D61C8A">
        <w:rPr>
          <w:rFonts w:ascii="Calibri" w:eastAsia="Cambria" w:hAnsi="Calibri"/>
          <w:sz w:val="20"/>
          <w:szCs w:val="20"/>
        </w:rPr>
        <w:t xml:space="preserve">Systematic MRE was infused into the existing government education system, </w:t>
      </w:r>
      <w:r>
        <w:rPr>
          <w:rFonts w:ascii="Calibri" w:eastAsia="Cambria" w:hAnsi="Calibri"/>
          <w:sz w:val="20"/>
          <w:szCs w:val="20"/>
        </w:rPr>
        <w:t>conserv</w:t>
      </w:r>
      <w:r w:rsidRPr="00D61C8A">
        <w:rPr>
          <w:rFonts w:ascii="Calibri" w:eastAsia="Cambria" w:hAnsi="Calibri"/>
          <w:sz w:val="20"/>
          <w:szCs w:val="20"/>
        </w:rPr>
        <w:t>ing resources that would have otherwise been used to create additional MRE networks.</w:t>
      </w:r>
    </w:p>
    <w:p w:rsidR="00B454FB" w:rsidRPr="00162526" w:rsidRDefault="00B454FB" w:rsidP="00B454FB">
      <w:pPr>
        <w:numPr>
          <w:ilvl w:val="0"/>
          <w:numId w:val="25"/>
        </w:numPr>
        <w:rPr>
          <w:rFonts w:ascii="Calibri" w:hAnsi="Calibri"/>
          <w:sz w:val="20"/>
          <w:szCs w:val="20"/>
        </w:rPr>
      </w:pPr>
      <w:r>
        <w:rPr>
          <w:rFonts w:ascii="Calibri" w:hAnsi="Calibri"/>
          <w:sz w:val="20"/>
          <w:szCs w:val="20"/>
        </w:rPr>
        <w:t>Production of landmine and IED hazard signs (for USD1 each) is a cost-effective and highly visible intervention in contaminated communities.  As an added benefit, UNICEF’s inclusion of the PLA as well as the NA in distribution of the signs may have contributed to peace-building among conflicting parties.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D61C8A" w:rsidRDefault="00B454FB" w:rsidP="00B454FB">
      <w:pPr>
        <w:numPr>
          <w:ilvl w:val="0"/>
          <w:numId w:val="26"/>
        </w:numPr>
        <w:spacing w:line="276" w:lineRule="auto"/>
        <w:contextualSpacing/>
        <w:rPr>
          <w:rFonts w:ascii="Calibri" w:eastAsia="Cambria" w:hAnsi="Calibri"/>
          <w:sz w:val="20"/>
          <w:szCs w:val="20"/>
        </w:rPr>
      </w:pPr>
      <w:r w:rsidRPr="00D61C8A">
        <w:rPr>
          <w:rFonts w:ascii="Calibri" w:eastAsia="Cambria" w:hAnsi="Calibri"/>
          <w:sz w:val="20"/>
          <w:szCs w:val="20"/>
        </w:rPr>
        <w:t>MRE materials are expensive to produce and distribute.</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D61C8A" w:rsidRDefault="00B454FB" w:rsidP="00B454FB">
      <w:pPr>
        <w:numPr>
          <w:ilvl w:val="0"/>
          <w:numId w:val="27"/>
        </w:numPr>
        <w:spacing w:line="276" w:lineRule="auto"/>
        <w:contextualSpacing/>
        <w:rPr>
          <w:rFonts w:ascii="Calibri" w:eastAsia="Cambria" w:hAnsi="Calibri"/>
          <w:sz w:val="20"/>
          <w:szCs w:val="20"/>
        </w:rPr>
      </w:pPr>
      <w:r w:rsidRPr="00D61C8A">
        <w:rPr>
          <w:rFonts w:ascii="Calibri" w:eastAsia="Cambria" w:hAnsi="Calibri"/>
          <w:sz w:val="20"/>
          <w:szCs w:val="20"/>
        </w:rPr>
        <w:lastRenderedPageBreak/>
        <w:t>A thorough cost-benefit analysis of MRE activities cannot be completed without additional information.  Such an analysis would require, at a minimum, firm knowledge of costs of the following system inputs:</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Administration of MRE at the central level, including person-time of national and international MA officers and operational costs</w:t>
      </w:r>
      <w:r>
        <w:rPr>
          <w:rFonts w:ascii="Calibri" w:eastAsia="Cambria" w:hAnsi="Calibri"/>
          <w:sz w:val="20"/>
          <w:szCs w:val="20"/>
        </w:rPr>
        <w:t>;</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Development, production and distribution of MRE materials, emergency MRE kit and minimum set of updated MRE messages</w:t>
      </w:r>
      <w:r>
        <w:rPr>
          <w:rFonts w:ascii="Calibri" w:eastAsia="Cambria" w:hAnsi="Calibri"/>
          <w:sz w:val="20"/>
          <w:szCs w:val="20"/>
        </w:rPr>
        <w:t>;</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Training of MRE focal points</w:t>
      </w:r>
      <w:r>
        <w:rPr>
          <w:rFonts w:ascii="Calibri" w:eastAsia="Cambria" w:hAnsi="Calibri"/>
          <w:sz w:val="20"/>
          <w:szCs w:val="20"/>
        </w:rPr>
        <w:t>;</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Administration of emergency and regular MRE sessions, including per diem for focal points</w:t>
      </w:r>
      <w:r>
        <w:rPr>
          <w:rFonts w:ascii="Calibri" w:eastAsia="Cambria" w:hAnsi="Calibri"/>
          <w:sz w:val="20"/>
          <w:szCs w:val="20"/>
        </w:rPr>
        <w:t>;</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Support of the DOE’s systematic MRE activities</w:t>
      </w:r>
      <w:r>
        <w:rPr>
          <w:rFonts w:ascii="Calibri" w:eastAsia="Cambria" w:hAnsi="Calibri"/>
          <w:sz w:val="20"/>
          <w:szCs w:val="20"/>
        </w:rPr>
        <w:t>;</w:t>
      </w:r>
    </w:p>
    <w:p w:rsidR="00B454FB" w:rsidRPr="00D61C8A"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Monitoring of MRE activities</w:t>
      </w:r>
      <w:r>
        <w:rPr>
          <w:rFonts w:ascii="Calibri" w:eastAsia="Cambria" w:hAnsi="Calibri"/>
          <w:sz w:val="20"/>
          <w:szCs w:val="20"/>
        </w:rPr>
        <w:t>; and</w:t>
      </w:r>
    </w:p>
    <w:p w:rsidR="00B454FB" w:rsidRDefault="00B454FB" w:rsidP="00B454FB">
      <w:pPr>
        <w:numPr>
          <w:ilvl w:val="0"/>
          <w:numId w:val="28"/>
        </w:numPr>
        <w:spacing w:line="276" w:lineRule="auto"/>
        <w:contextualSpacing/>
        <w:rPr>
          <w:rFonts w:ascii="Calibri" w:eastAsia="Cambria" w:hAnsi="Calibri"/>
          <w:sz w:val="20"/>
          <w:szCs w:val="20"/>
        </w:rPr>
      </w:pPr>
      <w:r w:rsidRPr="00D61C8A">
        <w:rPr>
          <w:rFonts w:ascii="Calibri" w:eastAsia="Cambria" w:hAnsi="Calibri"/>
          <w:sz w:val="20"/>
          <w:szCs w:val="20"/>
        </w:rPr>
        <w:t>Administration of KAP surveys</w:t>
      </w:r>
      <w:r>
        <w:rPr>
          <w:rFonts w:ascii="Calibri" w:eastAsia="Cambria" w:hAnsi="Calibri"/>
          <w:sz w:val="20"/>
          <w:szCs w:val="20"/>
        </w:rPr>
        <w:t>.</w:t>
      </w:r>
    </w:p>
    <w:p w:rsidR="00B454FB" w:rsidRDefault="00B454FB" w:rsidP="00B454FB">
      <w:pPr>
        <w:numPr>
          <w:ilvl w:val="0"/>
          <w:numId w:val="27"/>
        </w:numPr>
        <w:spacing w:line="276" w:lineRule="auto"/>
        <w:contextualSpacing/>
        <w:rPr>
          <w:rFonts w:ascii="Calibri" w:eastAsia="Cambria" w:hAnsi="Calibri"/>
          <w:sz w:val="20"/>
          <w:szCs w:val="20"/>
        </w:rPr>
      </w:pPr>
      <w:r w:rsidRPr="003A67D7">
        <w:rPr>
          <w:rFonts w:ascii="Calibri" w:eastAsia="Cambria" w:hAnsi="Calibri"/>
          <w:sz w:val="20"/>
          <w:szCs w:val="20"/>
        </w:rPr>
        <w:t xml:space="preserve">Some estimates can be conducted at this time.  Given, for example, that UNICEF </w:t>
      </w:r>
      <w:r w:rsidR="00024565">
        <w:rPr>
          <w:rFonts w:ascii="Calibri" w:eastAsia="Cambria" w:hAnsi="Calibri"/>
          <w:sz w:val="20"/>
          <w:szCs w:val="20"/>
        </w:rPr>
        <w:t>provided</w:t>
      </w:r>
      <w:r w:rsidRPr="003A67D7">
        <w:rPr>
          <w:rFonts w:ascii="Calibri" w:eastAsia="Cambria" w:hAnsi="Calibri"/>
          <w:sz w:val="20"/>
          <w:szCs w:val="20"/>
        </w:rPr>
        <w:t xml:space="preserve"> $105,000 to systematic MRE programs that reached 500,000 children in 2009, the price per child of systematic MRE was $0.21 per child.</w:t>
      </w:r>
    </w:p>
    <w:p w:rsidR="00B454FB" w:rsidRPr="00301096" w:rsidRDefault="00B454FB" w:rsidP="00B454FB">
      <w:pPr>
        <w:numPr>
          <w:ilvl w:val="0"/>
          <w:numId w:val="27"/>
        </w:numPr>
        <w:spacing w:line="276" w:lineRule="auto"/>
        <w:contextualSpacing/>
        <w:rPr>
          <w:rFonts w:ascii="Calibri" w:eastAsia="Cambria" w:hAnsi="Calibri"/>
          <w:sz w:val="20"/>
          <w:szCs w:val="20"/>
        </w:rPr>
      </w:pPr>
      <w:r w:rsidRPr="00B23203">
        <w:rPr>
          <w:rFonts w:ascii="Calibri" w:eastAsia="Cambria" w:hAnsi="Calibri"/>
          <w:sz w:val="20"/>
          <w:szCs w:val="20"/>
        </w:rPr>
        <w:t>District-level mapping provided a thorough baseline of MRE coverage at the local level</w:t>
      </w:r>
      <w:r>
        <w:rPr>
          <w:rFonts w:ascii="Calibri" w:eastAsia="Cambria" w:hAnsi="Calibri"/>
          <w:sz w:val="20"/>
          <w:szCs w:val="20"/>
        </w:rPr>
        <w:t xml:space="preserve"> and facilitated coordination of emergency MRE.  I</w:t>
      </w:r>
      <w:r w:rsidRPr="00B23203">
        <w:rPr>
          <w:rFonts w:ascii="Calibri" w:eastAsia="Cambria" w:hAnsi="Calibri"/>
          <w:sz w:val="20"/>
          <w:szCs w:val="20"/>
        </w:rPr>
        <w:t>t is</w:t>
      </w:r>
      <w:r>
        <w:rPr>
          <w:rFonts w:ascii="Calibri" w:eastAsia="Cambria" w:hAnsi="Calibri"/>
          <w:sz w:val="20"/>
          <w:szCs w:val="20"/>
        </w:rPr>
        <w:t>, however,</w:t>
      </w:r>
      <w:r w:rsidRPr="00B23203">
        <w:rPr>
          <w:rFonts w:ascii="Calibri" w:eastAsia="Cambria" w:hAnsi="Calibri"/>
          <w:sz w:val="20"/>
          <w:szCs w:val="20"/>
        </w:rPr>
        <w:t xml:space="preserve"> unclear whether the returns for this activity justify the amount of time spent</w:t>
      </w:r>
      <w:r>
        <w:rPr>
          <w:rFonts w:ascii="Calibri" w:eastAsia="Cambria" w:hAnsi="Calibri"/>
          <w:sz w:val="20"/>
          <w:szCs w:val="20"/>
        </w:rPr>
        <w:t>, especially for regular and systematic MRE</w:t>
      </w:r>
      <w:r w:rsidRPr="00B23203">
        <w:rPr>
          <w:rFonts w:ascii="Calibri" w:eastAsia="Cambria" w:hAnsi="Calibri"/>
          <w:sz w:val="20"/>
          <w:szCs w:val="20"/>
        </w:rPr>
        <w:t>.  UNICEF MA personnel claimed that this activity took a large amount of time to complete.  The main goal of coverage monitoring is to ensure that MRE focal points can be dispatched to necessary locations in a timely manner.  It is not yet clear whether the maps provide significant additional benefit to other coverage monitoring activities such as maintenance of the two focal point databases.</w:t>
      </w:r>
    </w:p>
    <w:p w:rsidR="00B454FB" w:rsidRPr="00D61C8A" w:rsidRDefault="00B454FB" w:rsidP="00B454FB">
      <w:pPr>
        <w:rPr>
          <w:rFonts w:ascii="Calibri" w:hAnsi="Calibri"/>
          <w:sz w:val="20"/>
          <w:szCs w:val="20"/>
        </w:rPr>
      </w:pPr>
    </w:p>
    <w:p w:rsidR="00B454FB" w:rsidRPr="009741F8" w:rsidRDefault="00B454FB" w:rsidP="00B454FB">
      <w:pPr>
        <w:rPr>
          <w:rFonts w:ascii="Calibri" w:hAnsi="Calibri"/>
          <w:b/>
          <w:sz w:val="20"/>
          <w:szCs w:val="20"/>
        </w:rPr>
      </w:pPr>
      <w:r w:rsidRPr="009741F8">
        <w:rPr>
          <w:rFonts w:ascii="Calibri" w:hAnsi="Calibri"/>
          <w:b/>
          <w:sz w:val="20"/>
          <w:szCs w:val="20"/>
        </w:rPr>
        <w:t>Recommendations</w:t>
      </w:r>
    </w:p>
    <w:p w:rsidR="00B454FB" w:rsidRPr="009741F8" w:rsidRDefault="00B454FB" w:rsidP="00B454FB">
      <w:pPr>
        <w:pStyle w:val="ColorfulList-Accent11"/>
        <w:numPr>
          <w:ilvl w:val="0"/>
          <w:numId w:val="62"/>
        </w:numPr>
        <w:rPr>
          <w:rFonts w:ascii="Calibri" w:hAnsi="Calibri"/>
          <w:sz w:val="20"/>
          <w:szCs w:val="20"/>
        </w:rPr>
      </w:pPr>
      <w:r w:rsidRPr="00D61C8A">
        <w:rPr>
          <w:rFonts w:ascii="Calibri" w:eastAsia="Cambria" w:hAnsi="Calibri"/>
          <w:sz w:val="20"/>
          <w:szCs w:val="20"/>
        </w:rPr>
        <w:t>Consider conducting a formal cost-effectiveness study of MRE materials and/or activities.</w:t>
      </w:r>
    </w:p>
    <w:p w:rsidR="00B454FB" w:rsidRPr="009741F8" w:rsidRDefault="00B454FB" w:rsidP="00B454FB">
      <w:pPr>
        <w:pStyle w:val="ColorfulList-Accent11"/>
        <w:numPr>
          <w:ilvl w:val="0"/>
          <w:numId w:val="62"/>
        </w:numPr>
        <w:rPr>
          <w:rFonts w:ascii="Calibri" w:eastAsia="Cambria" w:hAnsi="Calibri"/>
          <w:sz w:val="20"/>
          <w:szCs w:val="20"/>
        </w:rPr>
      </w:pPr>
      <w:r w:rsidRPr="00A547E3">
        <w:rPr>
          <w:rFonts w:ascii="Calibri" w:hAnsi="Calibri"/>
          <w:sz w:val="20"/>
          <w:szCs w:val="20"/>
        </w:rPr>
        <w:t xml:space="preserve">Reconsider the utility of certain MRE monitoring activities such as district-level mapping.  If an activity does not provide benefit commensurate with the human and other resources used, decrease or stop the activity.  Time may be better spent on other necessary </w:t>
      </w:r>
      <w:r>
        <w:rPr>
          <w:rFonts w:ascii="Calibri" w:hAnsi="Calibri"/>
          <w:sz w:val="20"/>
          <w:szCs w:val="20"/>
        </w:rPr>
        <w:t xml:space="preserve">MRE </w:t>
      </w:r>
      <w:r w:rsidRPr="00A547E3">
        <w:rPr>
          <w:rFonts w:ascii="Calibri" w:hAnsi="Calibri"/>
          <w:sz w:val="20"/>
          <w:szCs w:val="20"/>
        </w:rPr>
        <w:t>activities</w:t>
      </w:r>
      <w:r>
        <w:rPr>
          <w:rFonts w:ascii="Calibri" w:hAnsi="Calibri"/>
          <w:sz w:val="20"/>
          <w:szCs w:val="20"/>
        </w:rPr>
        <w:t>.</w:t>
      </w:r>
    </w:p>
    <w:p w:rsidR="00B454FB" w:rsidRPr="009741F8" w:rsidRDefault="00B454FB" w:rsidP="00B454FB">
      <w:pPr>
        <w:numPr>
          <w:ilvl w:val="0"/>
          <w:numId w:val="62"/>
        </w:numPr>
        <w:spacing w:line="276" w:lineRule="auto"/>
        <w:contextualSpacing/>
        <w:rPr>
          <w:rFonts w:ascii="Calibri" w:eastAsia="Cambria" w:hAnsi="Calibri"/>
          <w:sz w:val="20"/>
          <w:szCs w:val="20"/>
        </w:rPr>
      </w:pPr>
      <w:r w:rsidRPr="00D61C8A">
        <w:rPr>
          <w:rFonts w:ascii="Calibri" w:eastAsia="Cambria" w:hAnsi="Calibri"/>
          <w:sz w:val="20"/>
          <w:szCs w:val="20"/>
        </w:rPr>
        <w:t>Maintain more thorough records on the production and dissemination of all MRE materials (leaflets, user guides, flipcharts, posters, and MRE emergency kits).  These should include the following data elements for each type of material: cost per unit; number made each year; number distributed each year; recipients; cost of distribution; and number remaining.</w:t>
      </w:r>
    </w:p>
    <w:p w:rsidR="00B454FB" w:rsidRPr="009741F8" w:rsidRDefault="00B454FB" w:rsidP="00B454FB">
      <w:pPr>
        <w:rPr>
          <w:rFonts w:ascii="Calibri" w:hAnsi="Calibri"/>
        </w:rPr>
      </w:pPr>
    </w:p>
    <w:p w:rsidR="00B454FB" w:rsidRPr="00D61C8A" w:rsidRDefault="00B454FB" w:rsidP="00B454FB">
      <w:pPr>
        <w:pStyle w:val="Heading3"/>
        <w:numPr>
          <w:ilvl w:val="0"/>
          <w:numId w:val="0"/>
        </w:numPr>
        <w:spacing w:before="0"/>
        <w:rPr>
          <w:rFonts w:ascii="Calibri" w:hAnsi="Calibri"/>
          <w:sz w:val="20"/>
          <w:szCs w:val="20"/>
        </w:rPr>
      </w:pPr>
      <w:r w:rsidRPr="009741F8">
        <w:rPr>
          <w:rFonts w:ascii="Calibri" w:hAnsi="Calibri"/>
          <w:sz w:val="20"/>
          <w:szCs w:val="20"/>
        </w:rPr>
        <w:t>V</w:t>
      </w:r>
      <w:r>
        <w:rPr>
          <w:rFonts w:ascii="Calibri" w:hAnsi="Calibri"/>
          <w:sz w:val="20"/>
          <w:szCs w:val="20"/>
        </w:rPr>
        <w:t>I.C.4</w:t>
      </w:r>
      <w:r>
        <w:rPr>
          <w:rFonts w:ascii="Calibri" w:hAnsi="Calibri"/>
          <w:sz w:val="20"/>
          <w:szCs w:val="20"/>
        </w:rPr>
        <w:tab/>
      </w:r>
      <w:r>
        <w:rPr>
          <w:rFonts w:ascii="Calibri" w:hAnsi="Calibri"/>
          <w:sz w:val="20"/>
          <w:szCs w:val="20"/>
        </w:rPr>
        <w:tab/>
      </w:r>
      <w:r w:rsidRPr="00D61C8A">
        <w:rPr>
          <w:rFonts w:ascii="Calibri" w:hAnsi="Calibri"/>
          <w:sz w:val="20"/>
          <w:szCs w:val="20"/>
        </w:rPr>
        <w:t>Impact</w:t>
      </w:r>
    </w:p>
    <w:p w:rsidR="00B454FB" w:rsidRPr="00F90C48" w:rsidRDefault="00B454FB" w:rsidP="00B454FB">
      <w:pPr>
        <w:rPr>
          <w:rFonts w:ascii="Calibri" w:hAnsi="Calibri"/>
          <w:sz w:val="20"/>
          <w:szCs w:val="20"/>
        </w:rPr>
      </w:pPr>
    </w:p>
    <w:p w:rsidR="00B454FB" w:rsidRDefault="00B454FB" w:rsidP="00B454FB">
      <w:pPr>
        <w:rPr>
          <w:rFonts w:ascii="Calibri" w:hAnsi="Calibri"/>
          <w:sz w:val="20"/>
          <w:szCs w:val="20"/>
        </w:rPr>
      </w:pPr>
      <w:r>
        <w:rPr>
          <w:rFonts w:ascii="Calibri" w:eastAsia="Cambria" w:hAnsi="Calibri"/>
          <w:i/>
          <w:sz w:val="20"/>
          <w:szCs w:val="20"/>
        </w:rPr>
        <w:t>Please note that this report is the result of a process evaluation, not a formal assessment of impact.  It is possible to utilize process indicators to make some limited inferences regarding impact, as seen in the following section.  However, formal assessment of impact would require a much more rigorous exploration of the effects of MRE interventions among the target population.</w:t>
      </w:r>
    </w:p>
    <w:p w:rsidR="00B454FB" w:rsidRDefault="00B454FB" w:rsidP="00B454FB">
      <w:pPr>
        <w:rPr>
          <w:rFonts w:ascii="Calibri" w:hAnsi="Calibri"/>
          <w:sz w:val="20"/>
          <w:szCs w:val="20"/>
        </w:rPr>
      </w:pPr>
    </w:p>
    <w:p w:rsidR="00B454FB" w:rsidRPr="00F90C48" w:rsidRDefault="00B454FB" w:rsidP="00B454FB">
      <w:pPr>
        <w:rPr>
          <w:rFonts w:ascii="Calibri"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“Impact looks at the benefits of the MRE project, whether direct or indirect, intended or unintended.  An analysis of impact would include a focus on the primary and secondary long-term effects produced by an MRE intervention….Impact is extremely hard to measure and prove, but it may be possible to build a series of indicators of success which, when analyzed together, will suggest whether the programme is having a positive (or negative) impact.</w:t>
      </w:r>
      <w:r>
        <w:rPr>
          <w:rFonts w:ascii="Calibri" w:eastAsia="Cambria" w:hAnsi="Calibri"/>
          <w:b/>
          <w:sz w:val="20"/>
          <w:szCs w:val="20"/>
        </w:rPr>
        <w:t>”</w:t>
      </w:r>
      <w:r w:rsidRPr="00E27C01">
        <w:rPr>
          <w:rStyle w:val="EndnoteReference"/>
          <w:rFonts w:ascii="Calibri" w:eastAsia="Cambria" w:hAnsi="Calibri"/>
          <w:sz w:val="20"/>
          <w:szCs w:val="20"/>
        </w:rPr>
        <w:endnoteReference w:id="362"/>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Impact is assessed by considering the coverage, scale, targeting, accessibility, and capacity of program activities; behavioral and attitudinal changes as a result of the program; and whether the program focuses on realistic safety behaviors and recognizes and understands risk behavior.</w:t>
      </w:r>
    </w:p>
    <w:p w:rsidR="00B454FB" w:rsidRPr="00D61C8A" w:rsidRDefault="00B454FB" w:rsidP="00B454FB">
      <w:pPr>
        <w:spacing w:line="276" w:lineRule="auto"/>
        <w:rPr>
          <w:rFonts w:ascii="Calibri" w:eastAsia="Cambria" w:hAnsi="Calibri"/>
          <w: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29"/>
        </w:numPr>
        <w:spacing w:line="276" w:lineRule="auto"/>
        <w:contextualSpacing/>
        <w:rPr>
          <w:rFonts w:ascii="Calibri" w:eastAsia="Cambria" w:hAnsi="Calibri"/>
          <w:sz w:val="20"/>
          <w:szCs w:val="20"/>
        </w:rPr>
      </w:pPr>
      <w:r w:rsidRPr="00D61C8A">
        <w:rPr>
          <w:rFonts w:ascii="Calibri" w:eastAsia="Cambria" w:hAnsi="Calibri"/>
          <w:sz w:val="20"/>
          <w:szCs w:val="20"/>
        </w:rPr>
        <w:t xml:space="preserve">Information is provided in a manner that is accessible to </w:t>
      </w:r>
      <w:r w:rsidR="0069131C">
        <w:rPr>
          <w:rFonts w:ascii="Calibri" w:eastAsia="Cambria" w:hAnsi="Calibri"/>
          <w:sz w:val="20"/>
          <w:szCs w:val="20"/>
        </w:rPr>
        <w:t>high-</w:t>
      </w:r>
      <w:r w:rsidRPr="00D61C8A">
        <w:rPr>
          <w:rFonts w:ascii="Calibri" w:eastAsia="Cambria" w:hAnsi="Calibri"/>
          <w:sz w:val="20"/>
          <w:szCs w:val="20"/>
        </w:rPr>
        <w:t>risk groups.  Materials were designed for illiterate individuals as well as those who do not understand the Nepali language.  Following field testing among 375 participants, materials were changed to improve MRE messaging.</w:t>
      </w:r>
    </w:p>
    <w:p w:rsidR="00B454FB" w:rsidRPr="00D61C8A" w:rsidRDefault="00B454FB" w:rsidP="00B454FB">
      <w:pPr>
        <w:numPr>
          <w:ilvl w:val="0"/>
          <w:numId w:val="29"/>
        </w:numPr>
        <w:spacing w:line="276" w:lineRule="auto"/>
        <w:contextualSpacing/>
        <w:rPr>
          <w:rFonts w:ascii="Calibri" w:eastAsia="Cambria" w:hAnsi="Calibri"/>
          <w:sz w:val="20"/>
          <w:szCs w:val="20"/>
        </w:rPr>
      </w:pPr>
      <w:r w:rsidRPr="00D61C8A">
        <w:rPr>
          <w:rFonts w:ascii="Calibri" w:eastAsia="Cambria" w:hAnsi="Calibri"/>
          <w:sz w:val="20"/>
          <w:szCs w:val="20"/>
        </w:rPr>
        <w:lastRenderedPageBreak/>
        <w:t>Capacity has been built among MRE focal points, who receive training in content and delivery skills, and among partner organizations, which benefit from participation in the MAJWG network.  Measures have been taken to ensure system continuation with minimal input from UNICEF; within the systematic MRE program in schools, for example, DOE (rather than UNICEF) personnel train teachers and monitor program activities</w:t>
      </w:r>
      <w:r>
        <w:rPr>
          <w:rFonts w:ascii="Calibri" w:eastAsia="Cambria" w:hAnsi="Calibri"/>
          <w:sz w:val="20"/>
          <w:szCs w:val="20"/>
        </w:rPr>
        <w:t>.</w:t>
      </w:r>
    </w:p>
    <w:p w:rsidR="00B454FB" w:rsidRPr="00D61C8A" w:rsidRDefault="00B454FB" w:rsidP="00B454FB">
      <w:pPr>
        <w:numPr>
          <w:ilvl w:val="0"/>
          <w:numId w:val="29"/>
        </w:numPr>
        <w:spacing w:line="276" w:lineRule="auto"/>
        <w:contextualSpacing/>
        <w:rPr>
          <w:rFonts w:ascii="Calibri" w:eastAsia="Cambria" w:hAnsi="Calibri"/>
          <w:sz w:val="20"/>
          <w:szCs w:val="20"/>
        </w:rPr>
      </w:pPr>
      <w:r w:rsidRPr="00D61C8A">
        <w:rPr>
          <w:rFonts w:ascii="Calibri" w:eastAsia="Cambria" w:hAnsi="Calibri"/>
          <w:sz w:val="20"/>
          <w:szCs w:val="20"/>
        </w:rPr>
        <w:t xml:space="preserve">UNICEF MA personnel are conducted are highly knowledgeable, skilled and compassionate.  They possess a deep understanding of reasons for risk behaviors and the impact of ED contamination and injury within communities.  As a result of frequent field visits, they have a firm grasp of the details of MRE implementation on the ground.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D61C8A" w:rsidRDefault="00B454FB" w:rsidP="00B454FB">
      <w:pPr>
        <w:numPr>
          <w:ilvl w:val="0"/>
          <w:numId w:val="30"/>
        </w:numPr>
        <w:spacing w:line="276" w:lineRule="auto"/>
        <w:contextualSpacing/>
        <w:rPr>
          <w:rFonts w:ascii="Calibri" w:eastAsia="Cambria" w:hAnsi="Calibri"/>
          <w:sz w:val="20"/>
          <w:szCs w:val="20"/>
        </w:rPr>
      </w:pPr>
      <w:r w:rsidRPr="00D61C8A">
        <w:rPr>
          <w:rFonts w:ascii="Calibri" w:eastAsia="Cambria" w:hAnsi="Calibri"/>
          <w:sz w:val="20"/>
          <w:szCs w:val="20"/>
        </w:rPr>
        <w:t xml:space="preserve">The demographic and geographic scale of systematic and regular MRE is insufficient to meet needs of communities and individuals.  While these MRE activities are focused correctly on high-risk groups, they are focused too narrowly to cover enough individuals.  Individuals in communities receiving emergency MRE often ask for additional trainings and complain that they did not have enough knowledge prior to VAE incidents; while this is a positive sign </w:t>
      </w:r>
      <w:r>
        <w:rPr>
          <w:rFonts w:ascii="Calibri" w:eastAsia="Cambria" w:hAnsi="Calibri"/>
          <w:sz w:val="20"/>
          <w:szCs w:val="20"/>
        </w:rPr>
        <w:t>of</w:t>
      </w:r>
      <w:r w:rsidRPr="00D61C8A">
        <w:rPr>
          <w:rFonts w:ascii="Calibri" w:eastAsia="Cambria" w:hAnsi="Calibri"/>
          <w:sz w:val="20"/>
          <w:szCs w:val="20"/>
        </w:rPr>
        <w:t xml:space="preserve"> acceptance of emergency MRE, it indicates insufficient coverage by regular and systematic MRE activities.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890777" w:rsidRDefault="00B454FB" w:rsidP="00B454FB">
      <w:pPr>
        <w:numPr>
          <w:ilvl w:val="0"/>
          <w:numId w:val="31"/>
        </w:numPr>
        <w:spacing w:line="276" w:lineRule="auto"/>
        <w:contextualSpacing/>
        <w:rPr>
          <w:rFonts w:ascii="Calibri" w:eastAsia="Cambria" w:hAnsi="Calibri"/>
          <w:sz w:val="20"/>
          <w:szCs w:val="20"/>
        </w:rPr>
      </w:pPr>
      <w:r w:rsidRPr="00D61C8A">
        <w:rPr>
          <w:rFonts w:ascii="Calibri" w:eastAsia="Cambria" w:hAnsi="Calibri"/>
          <w:sz w:val="20"/>
          <w:szCs w:val="20"/>
        </w:rPr>
        <w:t xml:space="preserve">It may be difficult to establish whether the right individuals are being targeted for regular MRE.  Some high-risk groups, such as illiterate women, appear to be receiving </w:t>
      </w:r>
      <w:r>
        <w:rPr>
          <w:rFonts w:ascii="Calibri" w:eastAsia="Cambria" w:hAnsi="Calibri"/>
          <w:sz w:val="20"/>
          <w:szCs w:val="20"/>
        </w:rPr>
        <w:t>MRE</w:t>
      </w:r>
      <w:r w:rsidRPr="00D61C8A">
        <w:rPr>
          <w:rFonts w:ascii="Calibri" w:eastAsia="Cambria" w:hAnsi="Calibri"/>
          <w:sz w:val="20"/>
          <w:szCs w:val="20"/>
        </w:rPr>
        <w:t xml:space="preserve"> (see Section VI.B.2.c).  Others, such as police and returning </w:t>
      </w:r>
      <w:r w:rsidR="0069131C">
        <w:rPr>
          <w:rFonts w:ascii="Calibri" w:eastAsia="Cambria" w:hAnsi="Calibri"/>
          <w:sz w:val="20"/>
          <w:szCs w:val="20"/>
        </w:rPr>
        <w:t>internally displaced persons</w:t>
      </w:r>
      <w:r w:rsidRPr="00D61C8A">
        <w:rPr>
          <w:rFonts w:ascii="Calibri" w:eastAsia="Cambria" w:hAnsi="Calibri"/>
          <w:sz w:val="20"/>
          <w:szCs w:val="20"/>
        </w:rPr>
        <w:t xml:space="preserve">, may not be </w:t>
      </w:r>
      <w:r w:rsidRPr="00890777">
        <w:rPr>
          <w:rFonts w:ascii="Calibri" w:eastAsia="Cambria" w:hAnsi="Calibri"/>
          <w:sz w:val="20"/>
          <w:szCs w:val="20"/>
        </w:rPr>
        <w:t>receiving adequate attention.  The new MRE monitoring system should reveal more details about MRE targeting.</w:t>
      </w:r>
    </w:p>
    <w:p w:rsidR="00B454FB" w:rsidRDefault="00B454FB" w:rsidP="00B454FB">
      <w:pPr>
        <w:numPr>
          <w:ilvl w:val="0"/>
          <w:numId w:val="31"/>
        </w:numPr>
        <w:spacing w:line="276" w:lineRule="auto"/>
        <w:contextualSpacing/>
        <w:rPr>
          <w:rFonts w:ascii="Calibri" w:eastAsia="Cambria" w:hAnsi="Calibri"/>
          <w:sz w:val="20"/>
          <w:szCs w:val="20"/>
        </w:rPr>
      </w:pPr>
      <w:r w:rsidRPr="00890777">
        <w:rPr>
          <w:rFonts w:ascii="Calibri" w:eastAsia="Cambria" w:hAnsi="Calibri"/>
          <w:sz w:val="20"/>
          <w:szCs w:val="20"/>
        </w:rPr>
        <w:t>MRE messaging encourages session participants to discourage their acquaintances from practicing unsafe behaviors such as touching bags of explosives and cutting grass near areas with hazard signs.  However, without a rigorous impact assessment it is difficult to measure changes in attitudes and behaviors.</w:t>
      </w:r>
    </w:p>
    <w:p w:rsidR="00B454FB" w:rsidRPr="00C41D3A" w:rsidRDefault="00B454FB" w:rsidP="00B454FB">
      <w:pPr>
        <w:numPr>
          <w:ilvl w:val="0"/>
          <w:numId w:val="31"/>
        </w:numPr>
        <w:spacing w:line="276" w:lineRule="auto"/>
        <w:contextualSpacing/>
        <w:rPr>
          <w:rFonts w:ascii="Calibri" w:eastAsia="Cambria" w:hAnsi="Calibri"/>
          <w:sz w:val="20"/>
          <w:szCs w:val="20"/>
        </w:rPr>
      </w:pPr>
      <w:r w:rsidRPr="00D61C8A">
        <w:rPr>
          <w:rFonts w:ascii="Calibri" w:eastAsia="Cambria" w:hAnsi="Calibri"/>
          <w:sz w:val="20"/>
          <w:szCs w:val="20"/>
        </w:rPr>
        <w:t xml:space="preserve">People in </w:t>
      </w:r>
      <w:r>
        <w:rPr>
          <w:rFonts w:ascii="Calibri" w:eastAsia="Cambria" w:hAnsi="Calibri"/>
          <w:sz w:val="20"/>
          <w:szCs w:val="20"/>
        </w:rPr>
        <w:t>ED-</w:t>
      </w:r>
      <w:r w:rsidRPr="00D61C8A">
        <w:rPr>
          <w:rFonts w:ascii="Calibri" w:eastAsia="Cambria" w:hAnsi="Calibri"/>
          <w:sz w:val="20"/>
          <w:szCs w:val="20"/>
        </w:rPr>
        <w:t xml:space="preserve">affected communities often know </w:t>
      </w:r>
      <w:r>
        <w:rPr>
          <w:rFonts w:ascii="Calibri" w:eastAsia="Cambria" w:hAnsi="Calibri"/>
          <w:sz w:val="20"/>
          <w:szCs w:val="20"/>
        </w:rPr>
        <w:t>if</w:t>
      </w:r>
      <w:r w:rsidRPr="00D61C8A">
        <w:rPr>
          <w:rFonts w:ascii="Calibri" w:eastAsia="Cambria" w:hAnsi="Calibri"/>
          <w:sz w:val="20"/>
          <w:szCs w:val="20"/>
        </w:rPr>
        <w:t xml:space="preserve"> they are practicing high-risk behaviors but continue to do so out of economic necessity</w:t>
      </w:r>
      <w:r>
        <w:rPr>
          <w:rFonts w:ascii="Calibri" w:eastAsia="Cambria" w:hAnsi="Calibri"/>
          <w:sz w:val="20"/>
          <w:szCs w:val="20"/>
        </w:rPr>
        <w:t>; w</w:t>
      </w:r>
      <w:r w:rsidRPr="00D61C8A">
        <w:rPr>
          <w:rFonts w:ascii="Calibri" w:eastAsia="Cambria" w:hAnsi="Calibri"/>
          <w:sz w:val="20"/>
          <w:szCs w:val="20"/>
        </w:rPr>
        <w:t>ithout viable alternatives, it is unlikely that they wil</w:t>
      </w:r>
      <w:r>
        <w:rPr>
          <w:rFonts w:ascii="Calibri" w:eastAsia="Cambria" w:hAnsi="Calibri"/>
          <w:sz w:val="20"/>
          <w:szCs w:val="20"/>
        </w:rPr>
        <w:t>l change their behavior</w:t>
      </w:r>
      <w:r w:rsidRPr="00D61C8A">
        <w:rPr>
          <w:rFonts w:ascii="Calibri" w:eastAsia="Cambria" w:hAnsi="Calibri"/>
          <w:sz w:val="20"/>
          <w:szCs w:val="20"/>
        </w:rPr>
        <w:t>.</w:t>
      </w:r>
      <w:r>
        <w:rPr>
          <w:rFonts w:ascii="Calibri" w:eastAsia="Cambria" w:hAnsi="Calibri"/>
          <w:sz w:val="20"/>
          <w:szCs w:val="20"/>
        </w:rPr>
        <w:t xml:space="preserve">  Current MRE messages used in Nepal draw </w:t>
      </w:r>
      <w:r w:rsidRPr="00D61C8A">
        <w:rPr>
          <w:rFonts w:ascii="Calibri" w:eastAsia="Cambria" w:hAnsi="Calibri"/>
          <w:sz w:val="20"/>
          <w:szCs w:val="20"/>
        </w:rPr>
        <w:t xml:space="preserve">attention to the danger of </w:t>
      </w:r>
      <w:r>
        <w:rPr>
          <w:rFonts w:ascii="Calibri" w:eastAsia="Cambria" w:hAnsi="Calibri"/>
          <w:sz w:val="20"/>
          <w:szCs w:val="20"/>
        </w:rPr>
        <w:t xml:space="preserve">particular </w:t>
      </w:r>
      <w:r w:rsidRPr="00D61C8A">
        <w:rPr>
          <w:rFonts w:ascii="Calibri" w:eastAsia="Cambria" w:hAnsi="Calibri"/>
          <w:sz w:val="20"/>
          <w:szCs w:val="20"/>
        </w:rPr>
        <w:t>acti</w:t>
      </w:r>
      <w:r>
        <w:rPr>
          <w:rFonts w:ascii="Calibri" w:eastAsia="Cambria" w:hAnsi="Calibri"/>
          <w:sz w:val="20"/>
          <w:szCs w:val="20"/>
        </w:rPr>
        <w:t>vities</w:t>
      </w:r>
      <w:r w:rsidRPr="00D61C8A">
        <w:rPr>
          <w:rFonts w:ascii="Calibri" w:eastAsia="Cambria" w:hAnsi="Calibri"/>
          <w:sz w:val="20"/>
          <w:szCs w:val="20"/>
        </w:rPr>
        <w:t xml:space="preserve"> </w:t>
      </w:r>
      <w:r>
        <w:rPr>
          <w:rFonts w:ascii="Calibri" w:eastAsia="Cambria" w:hAnsi="Calibri"/>
          <w:sz w:val="20"/>
          <w:szCs w:val="20"/>
        </w:rPr>
        <w:t>(</w:t>
      </w:r>
      <w:r w:rsidRPr="00D61C8A">
        <w:rPr>
          <w:rFonts w:ascii="Calibri" w:eastAsia="Cambria" w:hAnsi="Calibri"/>
          <w:sz w:val="20"/>
          <w:szCs w:val="20"/>
        </w:rPr>
        <w:t>such as traveling through combat areas</w:t>
      </w:r>
      <w:r>
        <w:rPr>
          <w:rFonts w:ascii="Calibri" w:eastAsia="Cambria" w:hAnsi="Calibri"/>
          <w:sz w:val="20"/>
          <w:szCs w:val="20"/>
        </w:rPr>
        <w:t>,</w:t>
      </w:r>
      <w:r w:rsidRPr="00D61C8A">
        <w:rPr>
          <w:rFonts w:ascii="Calibri" w:eastAsia="Cambria" w:hAnsi="Calibri"/>
          <w:sz w:val="20"/>
          <w:szCs w:val="20"/>
        </w:rPr>
        <w:t xml:space="preserve"> saving explosives for sale or </w:t>
      </w:r>
      <w:r w:rsidR="0069131C">
        <w:rPr>
          <w:rFonts w:ascii="Calibri" w:eastAsia="Cambria" w:hAnsi="Calibri"/>
          <w:sz w:val="20"/>
          <w:szCs w:val="20"/>
        </w:rPr>
        <w:t xml:space="preserve">for </w:t>
      </w:r>
      <w:r w:rsidRPr="00D61C8A">
        <w:rPr>
          <w:rFonts w:ascii="Calibri" w:eastAsia="Cambria" w:hAnsi="Calibri"/>
          <w:sz w:val="20"/>
          <w:szCs w:val="20"/>
        </w:rPr>
        <w:t>use in construction or fishing</w:t>
      </w:r>
      <w:r>
        <w:rPr>
          <w:rFonts w:ascii="Calibri" w:eastAsia="Cambria" w:hAnsi="Calibri"/>
          <w:sz w:val="20"/>
          <w:szCs w:val="20"/>
        </w:rPr>
        <w:t>,</w:t>
      </w:r>
      <w:r w:rsidRPr="00D61C8A">
        <w:rPr>
          <w:rFonts w:ascii="Calibri" w:eastAsia="Cambria" w:hAnsi="Calibri"/>
          <w:sz w:val="20"/>
          <w:szCs w:val="20"/>
        </w:rPr>
        <w:t xml:space="preserve"> and cutting grass near areas marked with fencing or hazard signs</w:t>
      </w:r>
      <w:r>
        <w:rPr>
          <w:rFonts w:ascii="Calibri" w:eastAsia="Cambria" w:hAnsi="Calibri"/>
          <w:sz w:val="20"/>
          <w:szCs w:val="20"/>
        </w:rPr>
        <w:t xml:space="preserve">) but </w:t>
      </w:r>
      <w:r w:rsidRPr="00D61C8A">
        <w:rPr>
          <w:rFonts w:ascii="Calibri" w:eastAsia="Cambria" w:hAnsi="Calibri"/>
          <w:sz w:val="20"/>
          <w:szCs w:val="20"/>
        </w:rPr>
        <w:t xml:space="preserve">do not </w:t>
      </w:r>
      <w:r>
        <w:rPr>
          <w:rFonts w:ascii="Calibri" w:eastAsia="Cambria" w:hAnsi="Calibri"/>
          <w:sz w:val="20"/>
          <w:szCs w:val="20"/>
        </w:rPr>
        <w:t>suggest</w:t>
      </w:r>
      <w:r w:rsidRPr="00D61C8A">
        <w:rPr>
          <w:rFonts w:ascii="Calibri" w:eastAsia="Cambria" w:hAnsi="Calibri"/>
          <w:sz w:val="20"/>
          <w:szCs w:val="20"/>
        </w:rPr>
        <w:t xml:space="preserve"> alternatives to these behaviors.</w:t>
      </w:r>
      <w:r>
        <w:rPr>
          <w:rFonts w:ascii="Calibri" w:eastAsia="Cambria" w:hAnsi="Calibri"/>
          <w:sz w:val="20"/>
          <w:szCs w:val="20"/>
        </w:rPr>
        <w:t xml:space="preserve">  This may not be a significant problem at this time, as available ED injury data suggest that economic factors account for few injuries in Nepal.  However, it may be a concern for individuals who are keeping ED in their homes with an </w:t>
      </w:r>
      <w:r w:rsidRPr="00C41D3A">
        <w:rPr>
          <w:rFonts w:ascii="Calibri" w:eastAsia="Cambria" w:hAnsi="Calibri"/>
          <w:sz w:val="20"/>
          <w:szCs w:val="20"/>
        </w:rPr>
        <w:t xml:space="preserve">intention to sell them at a later time.  </w:t>
      </w:r>
    </w:p>
    <w:p w:rsidR="00B454FB" w:rsidRPr="00C41D3A" w:rsidRDefault="00B454FB" w:rsidP="00B454FB">
      <w:pPr>
        <w:numPr>
          <w:ilvl w:val="0"/>
          <w:numId w:val="31"/>
        </w:numPr>
        <w:spacing w:line="276" w:lineRule="auto"/>
        <w:contextualSpacing/>
        <w:rPr>
          <w:rFonts w:ascii="Calibri" w:eastAsia="Cambria" w:hAnsi="Calibri"/>
          <w:sz w:val="20"/>
          <w:szCs w:val="20"/>
        </w:rPr>
      </w:pPr>
      <w:r w:rsidRPr="00C41D3A">
        <w:rPr>
          <w:rFonts w:ascii="Calibri" w:eastAsia="Cambria" w:hAnsi="Calibri"/>
          <w:sz w:val="20"/>
          <w:szCs w:val="20"/>
        </w:rPr>
        <w:t xml:space="preserve">In 2009, systematic MRE reached 500,000 (22.8 %) of 2,195,835 enrolled secondary level students in Nepal.  Targeting of the age group at highest risk of injury (lower secondary students, grades 6-8) in geographic locations with highest risk of injury is an efficient way to focus limited resources.  However, </w:t>
      </w:r>
      <w:r>
        <w:rPr>
          <w:rFonts w:ascii="Calibri" w:eastAsia="Cambria" w:hAnsi="Calibri"/>
          <w:sz w:val="20"/>
          <w:szCs w:val="20"/>
        </w:rPr>
        <w:t>insufficient</w:t>
      </w:r>
      <w:r w:rsidRPr="00C41D3A">
        <w:rPr>
          <w:rFonts w:ascii="Calibri" w:eastAsia="Cambria" w:hAnsi="Calibri"/>
          <w:sz w:val="20"/>
          <w:szCs w:val="20"/>
        </w:rPr>
        <w:t xml:space="preserve"> district- and grade-specific data make it difficult to assess exactly what percentage of this high-risk population is being reached.  Furthermore, the lower secondary grades comprise only children aged 11 to 13 </w:t>
      </w:r>
      <w:r w:rsidR="0069131C">
        <w:rPr>
          <w:rFonts w:ascii="Calibri" w:eastAsia="Cambria" w:hAnsi="Calibri"/>
          <w:sz w:val="20"/>
          <w:szCs w:val="20"/>
        </w:rPr>
        <w:t xml:space="preserve">years </w:t>
      </w:r>
      <w:r w:rsidRPr="00C41D3A">
        <w:rPr>
          <w:rFonts w:ascii="Calibri" w:eastAsia="Cambria" w:hAnsi="Calibri"/>
          <w:sz w:val="20"/>
          <w:szCs w:val="20"/>
        </w:rPr>
        <w:t xml:space="preserve">(which does not cover the entire 10- to 14-year-old age group at </w:t>
      </w:r>
      <w:r w:rsidR="0069131C">
        <w:rPr>
          <w:rFonts w:ascii="Calibri" w:eastAsia="Cambria" w:hAnsi="Calibri"/>
          <w:sz w:val="20"/>
          <w:szCs w:val="20"/>
        </w:rPr>
        <w:t xml:space="preserve">the </w:t>
      </w:r>
      <w:r w:rsidRPr="00C41D3A">
        <w:rPr>
          <w:rFonts w:ascii="Calibri" w:eastAsia="Cambria" w:hAnsi="Calibri"/>
          <w:sz w:val="20"/>
          <w:szCs w:val="20"/>
        </w:rPr>
        <w:t>highest risk of injury) and injury surveillance data indicate that other age groups (particularly 5- to 9- and 15- to 19-year-olds) are also at high risk (see Appendix A.1).</w:t>
      </w:r>
    </w:p>
    <w:p w:rsidR="00B454FB" w:rsidRPr="00C41D3A" w:rsidRDefault="00B454FB" w:rsidP="00B454FB">
      <w:pPr>
        <w:spacing w:line="276" w:lineRule="auto"/>
        <w:contextualSpacing/>
        <w:rPr>
          <w:rFonts w:ascii="Calibri" w:eastAsia="Cambria" w:hAnsi="Calibri"/>
          <w:sz w:val="20"/>
          <w:szCs w:val="20"/>
        </w:rPr>
      </w:pPr>
    </w:p>
    <w:p w:rsidR="00B454FB" w:rsidRPr="00C41D3A" w:rsidRDefault="00B454FB" w:rsidP="00B454FB">
      <w:pPr>
        <w:spacing w:line="276" w:lineRule="auto"/>
        <w:contextualSpacing/>
        <w:rPr>
          <w:rFonts w:ascii="Calibri" w:eastAsia="Cambria" w:hAnsi="Calibri"/>
          <w:b/>
          <w:sz w:val="20"/>
          <w:szCs w:val="20"/>
        </w:rPr>
      </w:pPr>
      <w:r w:rsidRPr="00C41D3A">
        <w:rPr>
          <w:rFonts w:ascii="Calibri" w:eastAsia="Cambria" w:hAnsi="Calibri"/>
          <w:b/>
          <w:sz w:val="20"/>
          <w:szCs w:val="20"/>
        </w:rPr>
        <w:t>Recommendations</w:t>
      </w:r>
    </w:p>
    <w:p w:rsidR="00B454FB" w:rsidRPr="00C41D3A" w:rsidRDefault="00B454FB" w:rsidP="00B454FB">
      <w:pPr>
        <w:pStyle w:val="ColorfulList-Accent11"/>
        <w:spacing w:line="276" w:lineRule="auto"/>
        <w:ind w:left="0"/>
        <w:rPr>
          <w:rFonts w:ascii="Calibri" w:eastAsia="Cambria" w:hAnsi="Calibri"/>
          <w:sz w:val="20"/>
          <w:szCs w:val="20"/>
        </w:rPr>
      </w:pPr>
    </w:p>
    <w:p w:rsidR="00B454FB" w:rsidRPr="00C41D3A" w:rsidRDefault="00B454FB" w:rsidP="00B454FB">
      <w:pPr>
        <w:pStyle w:val="ColorfulList-Accent11"/>
        <w:numPr>
          <w:ilvl w:val="0"/>
          <w:numId w:val="65"/>
        </w:numPr>
        <w:spacing w:line="276" w:lineRule="auto"/>
        <w:rPr>
          <w:rFonts w:ascii="Calibri" w:eastAsia="Cambria" w:hAnsi="Calibri"/>
          <w:sz w:val="20"/>
          <w:szCs w:val="20"/>
        </w:rPr>
      </w:pPr>
      <w:r w:rsidRPr="00C41D3A">
        <w:rPr>
          <w:rFonts w:ascii="Calibri" w:eastAsia="Cambria" w:hAnsi="Calibri"/>
          <w:sz w:val="20"/>
          <w:szCs w:val="20"/>
        </w:rPr>
        <w:t>Ensure that all emergency, regular and systematic MRE activities are targeted according to a specific and rigorous set of criteria, including VAE injury surveillance system data</w:t>
      </w:r>
      <w:r w:rsidR="0069131C">
        <w:rPr>
          <w:rFonts w:ascii="Calibri" w:eastAsia="Cambria" w:hAnsi="Calibri"/>
          <w:sz w:val="20"/>
          <w:szCs w:val="20"/>
        </w:rPr>
        <w:t>,</w:t>
      </w:r>
      <w:r w:rsidRPr="00C41D3A">
        <w:rPr>
          <w:rFonts w:ascii="Calibri" w:eastAsia="Cambria" w:hAnsi="Calibri"/>
          <w:sz w:val="20"/>
          <w:szCs w:val="20"/>
        </w:rPr>
        <w:t xml:space="preserve"> recent VAE incidents</w:t>
      </w:r>
      <w:r w:rsidR="0069131C">
        <w:rPr>
          <w:rFonts w:ascii="Calibri" w:eastAsia="Cambria" w:hAnsi="Calibri"/>
          <w:sz w:val="20"/>
          <w:szCs w:val="20"/>
        </w:rPr>
        <w:t>,</w:t>
      </w:r>
      <w:r w:rsidRPr="00C41D3A">
        <w:rPr>
          <w:rFonts w:ascii="Calibri" w:eastAsia="Cambria" w:hAnsi="Calibri"/>
          <w:sz w:val="20"/>
          <w:szCs w:val="20"/>
        </w:rPr>
        <w:t xml:space="preserve"> situations of obvious risk</w:t>
      </w:r>
      <w:r w:rsidR="0069131C">
        <w:rPr>
          <w:rFonts w:ascii="Calibri" w:eastAsia="Cambria" w:hAnsi="Calibri"/>
          <w:sz w:val="20"/>
          <w:szCs w:val="20"/>
        </w:rPr>
        <w:t>,</w:t>
      </w:r>
      <w:r w:rsidRPr="00C41D3A">
        <w:rPr>
          <w:rFonts w:ascii="Calibri" w:eastAsia="Cambria" w:hAnsi="Calibri"/>
          <w:sz w:val="20"/>
          <w:szCs w:val="20"/>
        </w:rPr>
        <w:t xml:space="preserve"> and community needs.  UNICEF may wish to undertake a global review to assess find priorities and gaps in service provision.</w:t>
      </w:r>
    </w:p>
    <w:p w:rsidR="00B454FB" w:rsidRPr="007603D4" w:rsidRDefault="00B454FB" w:rsidP="00B454FB">
      <w:pPr>
        <w:pStyle w:val="ColorfulList-Accent11"/>
        <w:numPr>
          <w:ilvl w:val="0"/>
          <w:numId w:val="65"/>
        </w:numPr>
        <w:spacing w:line="276" w:lineRule="auto"/>
        <w:rPr>
          <w:rFonts w:ascii="Calibri" w:eastAsia="Cambria" w:hAnsi="Calibri"/>
          <w:sz w:val="20"/>
          <w:szCs w:val="20"/>
        </w:rPr>
      </w:pPr>
      <w:r>
        <w:rPr>
          <w:rFonts w:ascii="Calibri" w:eastAsia="Cambria" w:hAnsi="Calibri"/>
          <w:sz w:val="20"/>
          <w:szCs w:val="20"/>
        </w:rPr>
        <w:t>Continue to monitor whether economic necessity is a risk factor for ED injury.  If it becomes more of a problem, p</w:t>
      </w:r>
      <w:r w:rsidRPr="00D61C8A">
        <w:rPr>
          <w:rFonts w:ascii="Calibri" w:eastAsia="Cambria" w:hAnsi="Calibri"/>
          <w:sz w:val="20"/>
          <w:szCs w:val="20"/>
        </w:rPr>
        <w:t>rovide viable alternatives</w:t>
      </w:r>
      <w:r>
        <w:rPr>
          <w:rFonts w:ascii="Calibri" w:eastAsia="Cambria" w:hAnsi="Calibri"/>
          <w:sz w:val="20"/>
          <w:szCs w:val="20"/>
        </w:rPr>
        <w:t xml:space="preserve"> </w:t>
      </w:r>
      <w:r w:rsidRPr="00D61C8A">
        <w:rPr>
          <w:rFonts w:ascii="Calibri" w:eastAsia="Cambria" w:hAnsi="Calibri"/>
          <w:sz w:val="20"/>
          <w:szCs w:val="20"/>
        </w:rPr>
        <w:t>to high-risk behaviors.  If this does not seem possible given limited resources</w:t>
      </w:r>
      <w:r>
        <w:rPr>
          <w:rFonts w:ascii="Calibri" w:eastAsia="Cambria" w:hAnsi="Calibri"/>
          <w:sz w:val="20"/>
          <w:szCs w:val="20"/>
        </w:rPr>
        <w:t xml:space="preserve"> and the sensitivity of this topic</w:t>
      </w:r>
      <w:r w:rsidRPr="00D61C8A">
        <w:rPr>
          <w:rFonts w:ascii="Calibri" w:eastAsia="Cambria" w:hAnsi="Calibri"/>
          <w:sz w:val="20"/>
          <w:szCs w:val="20"/>
        </w:rPr>
        <w:t xml:space="preserve">, train MRE focal points to encourage affected communities to suggest alternatives to high-risk behaviors.  </w:t>
      </w:r>
      <w:r>
        <w:rPr>
          <w:rFonts w:ascii="Calibri" w:eastAsia="Cambria" w:hAnsi="Calibri"/>
          <w:sz w:val="20"/>
          <w:szCs w:val="20"/>
        </w:rPr>
        <w:t>A q</w:t>
      </w:r>
      <w:r w:rsidRPr="00D61C8A">
        <w:rPr>
          <w:rFonts w:ascii="Calibri" w:eastAsia="Cambria" w:hAnsi="Calibri"/>
          <w:sz w:val="20"/>
          <w:szCs w:val="20"/>
        </w:rPr>
        <w:t xml:space="preserve">ualitative study could </w:t>
      </w:r>
      <w:r>
        <w:rPr>
          <w:rFonts w:ascii="Calibri" w:eastAsia="Cambria" w:hAnsi="Calibri"/>
          <w:sz w:val="20"/>
          <w:szCs w:val="20"/>
        </w:rPr>
        <w:t xml:space="preserve">be used to </w:t>
      </w:r>
      <w:r w:rsidRPr="00D61C8A">
        <w:rPr>
          <w:rFonts w:ascii="Calibri" w:eastAsia="Cambria" w:hAnsi="Calibri"/>
          <w:sz w:val="20"/>
          <w:szCs w:val="20"/>
        </w:rPr>
        <w:t xml:space="preserve">clarify reasons for and solutions to </w:t>
      </w:r>
      <w:r>
        <w:rPr>
          <w:rFonts w:ascii="Calibri" w:eastAsia="Cambria" w:hAnsi="Calibri"/>
          <w:sz w:val="20"/>
          <w:szCs w:val="20"/>
        </w:rPr>
        <w:t>high-risk</w:t>
      </w:r>
      <w:r w:rsidRPr="00D61C8A">
        <w:rPr>
          <w:rFonts w:ascii="Calibri" w:eastAsia="Cambria" w:hAnsi="Calibri"/>
          <w:sz w:val="20"/>
          <w:szCs w:val="20"/>
        </w:rPr>
        <w:t xml:space="preserve"> behaviors.</w:t>
      </w:r>
    </w:p>
    <w:p w:rsidR="00B454FB" w:rsidRDefault="00B454FB" w:rsidP="00B454FB">
      <w:pPr>
        <w:pStyle w:val="ColorfulList-Accent11"/>
        <w:numPr>
          <w:ilvl w:val="0"/>
          <w:numId w:val="65"/>
        </w:numPr>
        <w:spacing w:line="276" w:lineRule="auto"/>
        <w:rPr>
          <w:rFonts w:ascii="Calibri" w:eastAsia="Cambria" w:hAnsi="Calibri"/>
          <w:sz w:val="20"/>
          <w:szCs w:val="20"/>
        </w:rPr>
      </w:pPr>
      <w:r w:rsidRPr="00D61C8A">
        <w:rPr>
          <w:rFonts w:ascii="Calibri" w:eastAsia="Cambria" w:hAnsi="Calibri"/>
          <w:sz w:val="20"/>
          <w:szCs w:val="20"/>
        </w:rPr>
        <w:t xml:space="preserve">Work with the </w:t>
      </w:r>
      <w:r>
        <w:rPr>
          <w:rFonts w:ascii="Calibri" w:eastAsia="Cambria" w:hAnsi="Calibri"/>
          <w:sz w:val="20"/>
          <w:szCs w:val="20"/>
        </w:rPr>
        <w:t>government</w:t>
      </w:r>
      <w:r w:rsidRPr="00D61C8A">
        <w:rPr>
          <w:rFonts w:ascii="Calibri" w:eastAsia="Cambria" w:hAnsi="Calibri"/>
          <w:sz w:val="20"/>
          <w:szCs w:val="20"/>
        </w:rPr>
        <w:t xml:space="preserve"> security forces, if possible, to establish some kind of assurance that individuals will not be punished for reporting the presence of ED, and educate the public about this assurance.</w:t>
      </w:r>
    </w:p>
    <w:p w:rsidR="00B454FB" w:rsidRDefault="00B454FB" w:rsidP="00B454FB">
      <w:pPr>
        <w:pStyle w:val="ColorfulList-Accent11"/>
        <w:numPr>
          <w:ilvl w:val="0"/>
          <w:numId w:val="65"/>
        </w:numPr>
        <w:spacing w:line="276" w:lineRule="auto"/>
        <w:rPr>
          <w:rFonts w:ascii="Calibri" w:eastAsia="Cambria" w:hAnsi="Calibri"/>
          <w:sz w:val="20"/>
          <w:szCs w:val="20"/>
        </w:rPr>
      </w:pPr>
      <w:r w:rsidRPr="007603D4">
        <w:rPr>
          <w:rFonts w:ascii="Calibri" w:eastAsia="Cambria" w:hAnsi="Calibri"/>
          <w:sz w:val="20"/>
          <w:szCs w:val="20"/>
        </w:rPr>
        <w:lastRenderedPageBreak/>
        <w:t xml:space="preserve">Continue to evaluate whether systematic MRE coverage is adequate and consider scaling up activities to reach more students.  </w:t>
      </w:r>
      <w:r w:rsidRPr="00964B4C">
        <w:rPr>
          <w:rFonts w:ascii="Calibri" w:eastAsia="Cambria" w:hAnsi="Calibri"/>
          <w:sz w:val="20"/>
          <w:szCs w:val="20"/>
        </w:rPr>
        <w:t>This may be feasible through incorporation of MRE messages into all school curricula</w:t>
      </w:r>
      <w:r>
        <w:rPr>
          <w:rFonts w:ascii="Calibri" w:eastAsia="Cambria" w:hAnsi="Calibri"/>
          <w:sz w:val="20"/>
          <w:szCs w:val="20"/>
        </w:rPr>
        <w:t xml:space="preserve"> </w:t>
      </w:r>
      <w:r w:rsidRPr="00964B4C">
        <w:rPr>
          <w:rFonts w:ascii="Calibri" w:eastAsia="Cambria" w:hAnsi="Calibri"/>
          <w:sz w:val="20"/>
          <w:szCs w:val="20"/>
        </w:rPr>
        <w:t>and/or integration</w:t>
      </w:r>
      <w:r>
        <w:rPr>
          <w:rFonts w:ascii="Calibri" w:eastAsia="Cambria" w:hAnsi="Calibri"/>
          <w:sz w:val="20"/>
          <w:szCs w:val="20"/>
        </w:rPr>
        <w:t xml:space="preserve"> with</w:t>
      </w:r>
      <w:r w:rsidRPr="000E27F4">
        <w:rPr>
          <w:rFonts w:ascii="Calibri" w:eastAsia="Cambria" w:hAnsi="Calibri"/>
          <w:sz w:val="20"/>
          <w:szCs w:val="20"/>
        </w:rPr>
        <w:t xml:space="preserve"> </w:t>
      </w:r>
      <w:r>
        <w:rPr>
          <w:rFonts w:ascii="Calibri" w:eastAsia="Cambria" w:hAnsi="Calibri"/>
          <w:sz w:val="20"/>
          <w:szCs w:val="20"/>
        </w:rPr>
        <w:t xml:space="preserve">a </w:t>
      </w:r>
      <w:r w:rsidRPr="000E27F4">
        <w:rPr>
          <w:rFonts w:ascii="Calibri" w:eastAsia="Cambria" w:hAnsi="Calibri"/>
          <w:sz w:val="20"/>
          <w:szCs w:val="20"/>
        </w:rPr>
        <w:t>broader injury prevention program</w:t>
      </w:r>
      <w:r>
        <w:rPr>
          <w:rFonts w:ascii="Calibri" w:eastAsia="Cambria" w:hAnsi="Calibri"/>
          <w:sz w:val="20"/>
          <w:szCs w:val="20"/>
        </w:rPr>
        <w:t xml:space="preserve"> (see the following two recommendations below).</w:t>
      </w:r>
    </w:p>
    <w:p w:rsidR="00B454FB" w:rsidRDefault="00B454FB" w:rsidP="00B454FB">
      <w:pPr>
        <w:pStyle w:val="ColorfulList-Accent11"/>
        <w:numPr>
          <w:ilvl w:val="0"/>
          <w:numId w:val="65"/>
        </w:numPr>
        <w:spacing w:line="276" w:lineRule="auto"/>
        <w:rPr>
          <w:rFonts w:ascii="Calibri" w:eastAsia="Cambria" w:hAnsi="Calibri"/>
          <w:sz w:val="20"/>
          <w:szCs w:val="20"/>
        </w:rPr>
      </w:pPr>
      <w:r>
        <w:rPr>
          <w:rFonts w:ascii="Calibri" w:eastAsia="Cambria" w:hAnsi="Calibri"/>
          <w:sz w:val="20"/>
          <w:szCs w:val="20"/>
        </w:rPr>
        <w:t xml:space="preserve">Consider incorporation of </w:t>
      </w:r>
      <w:r w:rsidRPr="00964B4C">
        <w:rPr>
          <w:rFonts w:ascii="Calibri" w:eastAsia="Cambria" w:hAnsi="Calibri"/>
          <w:sz w:val="20"/>
          <w:szCs w:val="20"/>
        </w:rPr>
        <w:t xml:space="preserve">MRE and broader injury prevention messages into the curricula of all </w:t>
      </w:r>
      <w:r>
        <w:rPr>
          <w:rFonts w:ascii="Calibri" w:eastAsia="Cambria" w:hAnsi="Calibri"/>
          <w:sz w:val="20"/>
          <w:szCs w:val="20"/>
        </w:rPr>
        <w:t>government education</w:t>
      </w:r>
      <w:r w:rsidRPr="00964B4C">
        <w:rPr>
          <w:rFonts w:ascii="Calibri" w:eastAsia="Cambria" w:hAnsi="Calibri"/>
          <w:sz w:val="20"/>
          <w:szCs w:val="20"/>
        </w:rPr>
        <w:t xml:space="preserve"> programs.  Provision of MRE to all recipients of government education activities could reduce the need for other more expensive forms of MRE dissemination.</w:t>
      </w:r>
    </w:p>
    <w:p w:rsidR="00B454FB" w:rsidRDefault="00B454FB" w:rsidP="00B454FB">
      <w:pPr>
        <w:pStyle w:val="ColorfulList-Accent11"/>
        <w:numPr>
          <w:ilvl w:val="0"/>
          <w:numId w:val="65"/>
        </w:numPr>
        <w:spacing w:line="276" w:lineRule="auto"/>
        <w:rPr>
          <w:rFonts w:ascii="Calibri" w:eastAsia="Cambria" w:hAnsi="Calibri"/>
          <w:sz w:val="20"/>
          <w:szCs w:val="20"/>
        </w:rPr>
      </w:pPr>
      <w:r>
        <w:rPr>
          <w:rFonts w:ascii="Calibri" w:eastAsia="Cambria" w:hAnsi="Calibri"/>
          <w:sz w:val="20"/>
          <w:szCs w:val="20"/>
        </w:rPr>
        <w:t>C</w:t>
      </w:r>
      <w:r w:rsidRPr="00D61C8A">
        <w:rPr>
          <w:rFonts w:ascii="Calibri" w:eastAsia="Cambria" w:hAnsi="Calibri"/>
          <w:sz w:val="20"/>
          <w:szCs w:val="20"/>
        </w:rPr>
        <w:t xml:space="preserve">onsider incorporating MRE into a broader injury prevention program. </w:t>
      </w:r>
      <w:r w:rsidRPr="00D61C8A">
        <w:rPr>
          <w:rFonts w:ascii="Calibri" w:eastAsia="Cambria" w:hAnsi="Calibri"/>
          <w:b/>
          <w:sz w:val="20"/>
          <w:szCs w:val="20"/>
        </w:rPr>
        <w:t xml:space="preserve"> </w:t>
      </w:r>
      <w:r w:rsidRPr="00D61C8A">
        <w:rPr>
          <w:rFonts w:ascii="Calibri" w:eastAsia="Cambria" w:hAnsi="Calibri"/>
          <w:sz w:val="20"/>
          <w:szCs w:val="20"/>
        </w:rPr>
        <w:t xml:space="preserve">Integration of MRE into a health education program could serve to alleviate the burden of injury on the population; better justify program expenditures to donors; and remove some of the political tension associated with ED use and contamination.  UNICEF could continue to work with many of the same partner organizations and seek additional collaboration with the World Health Organization, Ministry of Health, </w:t>
      </w:r>
      <w:r>
        <w:rPr>
          <w:rFonts w:ascii="Calibri" w:eastAsia="Cambria" w:hAnsi="Calibri"/>
          <w:sz w:val="20"/>
          <w:szCs w:val="20"/>
        </w:rPr>
        <w:t>MOE</w:t>
      </w:r>
      <w:r w:rsidRPr="00D61C8A">
        <w:rPr>
          <w:rFonts w:ascii="Calibri" w:eastAsia="Cambria" w:hAnsi="Calibri"/>
          <w:sz w:val="20"/>
          <w:szCs w:val="20"/>
        </w:rPr>
        <w:t>, and other relevant partners.</w:t>
      </w:r>
      <w:r>
        <w:rPr>
          <w:rFonts w:ascii="Calibri" w:eastAsia="Cambria" w:hAnsi="Calibri"/>
          <w:sz w:val="20"/>
          <w:szCs w:val="20"/>
        </w:rPr>
        <w:t xml:space="preserve">  If partners did not consider ED injury a risk in all areas, ED injury prevention education </w:t>
      </w:r>
      <w:r w:rsidRPr="00964B4C">
        <w:rPr>
          <w:rFonts w:ascii="Calibri" w:eastAsia="Cambria" w:hAnsi="Calibri"/>
          <w:sz w:val="20"/>
          <w:szCs w:val="20"/>
        </w:rPr>
        <w:t>could be included as an optional module for use only in schools in at-risk areas.</w:t>
      </w:r>
    </w:p>
    <w:p w:rsidR="00B454FB" w:rsidRPr="00336457" w:rsidRDefault="00B454FB" w:rsidP="00B454FB">
      <w:pPr>
        <w:pStyle w:val="ColorfulList-Accent11"/>
        <w:numPr>
          <w:ilvl w:val="0"/>
          <w:numId w:val="65"/>
        </w:numPr>
        <w:spacing w:line="276" w:lineRule="auto"/>
        <w:rPr>
          <w:rFonts w:ascii="Calibri" w:eastAsia="Cambria" w:hAnsi="Calibri"/>
          <w:sz w:val="20"/>
          <w:szCs w:val="20"/>
        </w:rPr>
      </w:pPr>
      <w:r w:rsidRPr="00D61C8A">
        <w:rPr>
          <w:rFonts w:ascii="Calibri" w:eastAsia="Cambria" w:hAnsi="Calibri"/>
          <w:sz w:val="20"/>
          <w:szCs w:val="20"/>
        </w:rPr>
        <w:t>Conduct an impact survey in sc</w:t>
      </w:r>
      <w:r>
        <w:rPr>
          <w:rFonts w:ascii="Calibri" w:eastAsia="Cambria" w:hAnsi="Calibri"/>
          <w:sz w:val="20"/>
          <w:szCs w:val="20"/>
        </w:rPr>
        <w:t>hools receiving systematic MRE</w:t>
      </w:r>
      <w:r w:rsidRPr="00D61C8A">
        <w:rPr>
          <w:rFonts w:ascii="Calibri" w:eastAsia="Cambria" w:hAnsi="Calibri"/>
          <w:sz w:val="20"/>
          <w:szCs w:val="20"/>
        </w:rPr>
        <w:t xml:space="preserve"> using a tool similar to the “Risk Education Individual Test” (see Appendix B.2.</w:t>
      </w:r>
      <w:r>
        <w:rPr>
          <w:rFonts w:ascii="Calibri" w:eastAsia="Cambria" w:hAnsi="Calibri"/>
          <w:sz w:val="20"/>
          <w:szCs w:val="20"/>
        </w:rPr>
        <w:t>e</w:t>
      </w:r>
      <w:r w:rsidRPr="00D61C8A">
        <w:rPr>
          <w:rFonts w:ascii="Calibri" w:eastAsia="Cambria" w:hAnsi="Calibri"/>
          <w:sz w:val="20"/>
          <w:szCs w:val="20"/>
        </w:rPr>
        <w:t>).</w:t>
      </w:r>
    </w:p>
    <w:p w:rsidR="00B454FB" w:rsidRDefault="00B454FB" w:rsidP="00B454FB">
      <w:pPr>
        <w:pStyle w:val="Heading3"/>
        <w:numPr>
          <w:ilvl w:val="0"/>
          <w:numId w:val="0"/>
        </w:numPr>
        <w:spacing w:before="0"/>
        <w:rPr>
          <w:rFonts w:ascii="Calibri" w:hAnsi="Calibri"/>
          <w:sz w:val="20"/>
          <w:szCs w:val="20"/>
        </w:rPr>
      </w:pPr>
    </w:p>
    <w:p w:rsidR="00B454FB" w:rsidRPr="00D61C8A" w:rsidRDefault="00B454FB" w:rsidP="00B454FB">
      <w:pPr>
        <w:pStyle w:val="Heading3"/>
        <w:numPr>
          <w:ilvl w:val="0"/>
          <w:numId w:val="0"/>
        </w:numPr>
        <w:spacing w:before="0"/>
        <w:rPr>
          <w:rFonts w:ascii="Calibri" w:hAnsi="Calibri"/>
          <w:sz w:val="20"/>
          <w:szCs w:val="20"/>
        </w:rPr>
      </w:pPr>
      <w:r>
        <w:rPr>
          <w:rFonts w:ascii="Calibri" w:hAnsi="Calibri"/>
          <w:sz w:val="20"/>
          <w:szCs w:val="20"/>
        </w:rPr>
        <w:t>VI.C.5</w:t>
      </w:r>
      <w:r>
        <w:rPr>
          <w:rFonts w:ascii="Calibri" w:hAnsi="Calibri"/>
          <w:sz w:val="20"/>
          <w:szCs w:val="20"/>
        </w:rPr>
        <w:tab/>
      </w:r>
      <w:r>
        <w:rPr>
          <w:rFonts w:ascii="Calibri" w:hAnsi="Calibri"/>
          <w:sz w:val="20"/>
          <w:szCs w:val="20"/>
        </w:rPr>
        <w:tab/>
      </w:r>
      <w:r w:rsidRPr="00D61C8A">
        <w:rPr>
          <w:rFonts w:ascii="Calibri" w:hAnsi="Calibri"/>
          <w:sz w:val="20"/>
          <w:szCs w:val="20"/>
        </w:rPr>
        <w:t>Sustainability</w:t>
      </w:r>
    </w:p>
    <w:p w:rsidR="00B454FB" w:rsidRPr="00D61C8A" w:rsidRDefault="00B454FB" w:rsidP="00B454FB">
      <w:pPr>
        <w:rPr>
          <w:rFonts w:ascii="Calibri" w:hAnsi="Calibri"/>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b/>
          <w:sz w:val="20"/>
          <w:szCs w:val="20"/>
        </w:rPr>
      </w:pPr>
      <w:r w:rsidRPr="00D61C8A">
        <w:rPr>
          <w:rFonts w:ascii="Calibri" w:eastAsia="Cambria" w:hAnsi="Calibri"/>
          <w:b/>
          <w:sz w:val="20"/>
          <w:szCs w:val="20"/>
        </w:rPr>
        <w:t>“Sustainability looks at the probability that the benefits achieved by the MRE project will continue after donor funding and/or specialist assistance (such as international technical advisers) has been withdrawn.  Projects should normally be financially and technically sustainable.”</w:t>
      </w:r>
      <w:r w:rsidRPr="00E27C01">
        <w:rPr>
          <w:rStyle w:val="EndnoteReference"/>
          <w:rFonts w:ascii="Calibri" w:eastAsia="Cambria" w:hAnsi="Calibri"/>
          <w:sz w:val="20"/>
          <w:szCs w:val="20"/>
        </w:rPr>
        <w:endnoteReference w:id="363"/>
      </w: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p>
    <w:p w:rsidR="00B454FB" w:rsidRPr="00D61C8A" w:rsidRDefault="00B454FB" w:rsidP="00B454FB">
      <w:pPr>
        <w:pBdr>
          <w:top w:val="single" w:sz="4" w:space="1" w:color="76923C"/>
          <w:left w:val="single" w:sz="4" w:space="4" w:color="76923C"/>
          <w:bottom w:val="single" w:sz="4" w:space="1" w:color="76923C"/>
          <w:right w:val="single" w:sz="4" w:space="4" w:color="76923C"/>
        </w:pBdr>
        <w:spacing w:line="276" w:lineRule="auto"/>
        <w:rPr>
          <w:rFonts w:ascii="Calibri" w:eastAsia="Cambria" w:hAnsi="Calibri"/>
          <w:sz w:val="20"/>
          <w:szCs w:val="20"/>
        </w:rPr>
      </w:pPr>
      <w:r w:rsidRPr="00D61C8A">
        <w:rPr>
          <w:rFonts w:ascii="Calibri" w:eastAsia="Cambria" w:hAnsi="Calibri"/>
          <w:sz w:val="20"/>
          <w:szCs w:val="20"/>
        </w:rPr>
        <w:t>Sustainability is assessed by considering the locally-based capacity, financial sustainability, institutional capacity and need of sustainability of the activities; whether activities are locally owned and based and empowering for recipients; whether activities encourage participation from mine-affected populations; and whether alternative institutions should be considered for program implementation.</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Successes</w:t>
      </w:r>
    </w:p>
    <w:p w:rsidR="00B454FB" w:rsidRPr="00D61C8A" w:rsidRDefault="00B454FB" w:rsidP="00B454FB">
      <w:pPr>
        <w:numPr>
          <w:ilvl w:val="0"/>
          <w:numId w:val="32"/>
        </w:numPr>
        <w:spacing w:line="276" w:lineRule="auto"/>
        <w:contextualSpacing/>
        <w:rPr>
          <w:rFonts w:ascii="Calibri" w:eastAsia="Cambria" w:hAnsi="Calibri"/>
          <w:sz w:val="20"/>
          <w:szCs w:val="20"/>
        </w:rPr>
      </w:pPr>
      <w:r w:rsidRPr="00D61C8A">
        <w:rPr>
          <w:rFonts w:ascii="Calibri" w:eastAsia="Cambria" w:hAnsi="Calibri"/>
          <w:sz w:val="20"/>
          <w:szCs w:val="20"/>
        </w:rPr>
        <w:t xml:space="preserve">MRE activities utilize existing local resources through networks of a wide variety of partner organizations.  </w:t>
      </w:r>
    </w:p>
    <w:p w:rsidR="00B454FB" w:rsidRPr="00D61C8A" w:rsidRDefault="00B454FB" w:rsidP="00B454FB">
      <w:pPr>
        <w:numPr>
          <w:ilvl w:val="0"/>
          <w:numId w:val="32"/>
        </w:numPr>
        <w:spacing w:line="276" w:lineRule="auto"/>
        <w:contextualSpacing/>
        <w:rPr>
          <w:rFonts w:ascii="Calibri" w:eastAsia="Cambria" w:hAnsi="Calibri"/>
          <w:sz w:val="20"/>
          <w:szCs w:val="20"/>
        </w:rPr>
      </w:pPr>
      <w:r w:rsidRPr="00D61C8A">
        <w:rPr>
          <w:rFonts w:ascii="Calibri" w:eastAsia="Cambria" w:hAnsi="Calibri"/>
          <w:sz w:val="20"/>
          <w:szCs w:val="20"/>
        </w:rPr>
        <w:t xml:space="preserve">Planned regional meetings of the MAJWG will promote better incorporation of local knowledge and experience into UNICEF MRE activities, as it will encourage contributions by partners based outside of Kathmandu. </w:t>
      </w:r>
    </w:p>
    <w:p w:rsidR="00B454FB" w:rsidRPr="00D61C8A" w:rsidRDefault="00B454FB" w:rsidP="00B454FB">
      <w:pPr>
        <w:numPr>
          <w:ilvl w:val="0"/>
          <w:numId w:val="32"/>
        </w:numPr>
        <w:spacing w:line="276" w:lineRule="auto"/>
        <w:contextualSpacing/>
        <w:rPr>
          <w:rFonts w:ascii="Calibri" w:eastAsia="Cambria" w:hAnsi="Calibri"/>
          <w:sz w:val="20"/>
          <w:szCs w:val="20"/>
        </w:rPr>
      </w:pPr>
      <w:r w:rsidRPr="00D61C8A">
        <w:rPr>
          <w:rFonts w:ascii="Calibri" w:eastAsia="Cambria" w:hAnsi="Calibri"/>
          <w:sz w:val="20"/>
          <w:szCs w:val="20"/>
        </w:rPr>
        <w:t xml:space="preserve">UNICEF MRE activities are run almost exclusively by national staff, with input from many nationally and locally based organizations participating in the MAJWG.  UNICEF activities also receive significant government support through the MoPR, DOE and </w:t>
      </w:r>
      <w:r>
        <w:rPr>
          <w:rFonts w:ascii="Calibri" w:eastAsia="Cambria" w:hAnsi="Calibri"/>
          <w:sz w:val="20"/>
          <w:szCs w:val="20"/>
        </w:rPr>
        <w:t>government</w:t>
      </w:r>
      <w:r w:rsidRPr="00D61C8A">
        <w:rPr>
          <w:rFonts w:ascii="Calibri" w:eastAsia="Cambria" w:hAnsi="Calibri"/>
          <w:sz w:val="20"/>
          <w:szCs w:val="20"/>
        </w:rPr>
        <w:t xml:space="preserve"> security forces.</w:t>
      </w:r>
    </w:p>
    <w:p w:rsidR="00B454FB" w:rsidRPr="00D61C8A" w:rsidRDefault="00B454FB" w:rsidP="00B454FB">
      <w:pPr>
        <w:numPr>
          <w:ilvl w:val="0"/>
          <w:numId w:val="32"/>
        </w:numPr>
        <w:spacing w:line="276" w:lineRule="auto"/>
        <w:contextualSpacing/>
        <w:rPr>
          <w:rFonts w:ascii="Calibri" w:eastAsia="Cambria" w:hAnsi="Calibri"/>
          <w:sz w:val="20"/>
          <w:szCs w:val="20"/>
        </w:rPr>
      </w:pPr>
      <w:r w:rsidRPr="00D61C8A">
        <w:rPr>
          <w:rFonts w:ascii="Calibri" w:eastAsia="Cambria" w:hAnsi="Calibri"/>
          <w:sz w:val="20"/>
          <w:szCs w:val="20"/>
        </w:rPr>
        <w:t>Special attention is given to assuring that females as well as males receive MRE messages.  Although females are less likely than males to be injured, they are still at risk; in 2009, for example, 31.4 % of injuries occurred among females.  Furthermore, health messaging often benefits from targeting females because they are likely to pass messages to children.  MRE partners employ female as well as male trainers (NRCS, for example, employs equal numbers of both) and images of women and girls are common in MRE materials.</w:t>
      </w:r>
    </w:p>
    <w:p w:rsidR="00B454FB" w:rsidRPr="00D61C8A" w:rsidRDefault="00B454FB" w:rsidP="00B454FB">
      <w:pPr>
        <w:numPr>
          <w:ilvl w:val="0"/>
          <w:numId w:val="32"/>
        </w:numPr>
        <w:spacing w:line="276" w:lineRule="auto"/>
        <w:contextualSpacing/>
        <w:rPr>
          <w:rFonts w:ascii="Calibri" w:eastAsia="Cambria" w:hAnsi="Calibri"/>
          <w:sz w:val="20"/>
          <w:szCs w:val="20"/>
        </w:rPr>
      </w:pPr>
      <w:r w:rsidRPr="00D61C8A">
        <w:rPr>
          <w:rFonts w:ascii="Calibri" w:eastAsia="Cambria" w:hAnsi="Calibri"/>
          <w:sz w:val="20"/>
          <w:szCs w:val="20"/>
        </w:rPr>
        <w:t>Introduction of systematic MRE in schools has benefitted from strong existing networks and the experience of teachers.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Challenges</w:t>
      </w:r>
    </w:p>
    <w:p w:rsidR="00B454FB" w:rsidRPr="00D61C8A" w:rsidRDefault="00B454FB" w:rsidP="00B454FB">
      <w:pPr>
        <w:numPr>
          <w:ilvl w:val="0"/>
          <w:numId w:val="33"/>
        </w:numPr>
        <w:spacing w:line="276" w:lineRule="auto"/>
        <w:contextualSpacing/>
        <w:rPr>
          <w:rFonts w:ascii="Calibri" w:eastAsia="Cambria" w:hAnsi="Calibri"/>
          <w:sz w:val="20"/>
          <w:szCs w:val="20"/>
        </w:rPr>
      </w:pPr>
      <w:r w:rsidRPr="00D61C8A">
        <w:rPr>
          <w:rFonts w:ascii="Calibri" w:eastAsia="Cambria" w:hAnsi="Calibri"/>
          <w:sz w:val="20"/>
          <w:szCs w:val="20"/>
        </w:rPr>
        <w:t>Financial sustainability of the system is questionable.  In light of the program’s most recent funding request of $976,375 for a 2-year period, it is unlikely that the program would be able to continue the current magnitude and scope of MRE activities without external financial support.  This will become increasingly important to address as the NMAA prepares to take ownership of more MA activities.</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Unknowns</w:t>
      </w:r>
    </w:p>
    <w:p w:rsidR="00B454FB" w:rsidRPr="00D61C8A" w:rsidRDefault="00B454FB" w:rsidP="00B454FB">
      <w:pPr>
        <w:numPr>
          <w:ilvl w:val="0"/>
          <w:numId w:val="34"/>
        </w:numPr>
        <w:spacing w:line="276" w:lineRule="auto"/>
        <w:contextualSpacing/>
        <w:rPr>
          <w:rFonts w:ascii="Calibri" w:eastAsia="Cambria" w:hAnsi="Calibri"/>
          <w:sz w:val="20"/>
          <w:szCs w:val="20"/>
        </w:rPr>
      </w:pPr>
      <w:r w:rsidRPr="00D61C8A">
        <w:rPr>
          <w:rFonts w:ascii="Calibri" w:eastAsia="Cambria" w:hAnsi="Calibri"/>
          <w:sz w:val="20"/>
          <w:szCs w:val="20"/>
        </w:rPr>
        <w:t xml:space="preserve">Given the changing nature of the political situation and the resulting ED use and contamination in Nepal, the necessary length and messaging of future MRE programs remain unknown.  Landmine and IED fields remaining following the civil conflict are </w:t>
      </w:r>
      <w:r w:rsidRPr="00D61C8A">
        <w:rPr>
          <w:rFonts w:ascii="Calibri" w:eastAsia="Cambria" w:hAnsi="Calibri"/>
          <w:sz w:val="20"/>
          <w:szCs w:val="20"/>
        </w:rPr>
        <w:lastRenderedPageBreak/>
        <w:t xml:space="preserve">scheduled to be cleared by 2011, but current contamination and continued use of ED in Terai districts necessitate continued MRE programming </w:t>
      </w:r>
      <w:r>
        <w:rPr>
          <w:rFonts w:ascii="Calibri" w:eastAsia="Cambria" w:hAnsi="Calibri"/>
          <w:sz w:val="20"/>
          <w:szCs w:val="20"/>
        </w:rPr>
        <w:t>during</w:t>
      </w:r>
      <w:r w:rsidRPr="00D61C8A">
        <w:rPr>
          <w:rFonts w:ascii="Calibri" w:eastAsia="Cambria" w:hAnsi="Calibri"/>
          <w:sz w:val="20"/>
          <w:szCs w:val="20"/>
        </w:rPr>
        <w:t xml:space="preserve"> the near future.</w:t>
      </w:r>
    </w:p>
    <w:p w:rsidR="00B454FB" w:rsidRPr="00D61C8A" w:rsidRDefault="00B454FB" w:rsidP="00B454FB">
      <w:pPr>
        <w:numPr>
          <w:ilvl w:val="0"/>
          <w:numId w:val="34"/>
        </w:numPr>
        <w:spacing w:line="276" w:lineRule="auto"/>
        <w:contextualSpacing/>
        <w:rPr>
          <w:rFonts w:ascii="Calibri" w:eastAsia="Cambria" w:hAnsi="Calibri"/>
          <w:sz w:val="20"/>
          <w:szCs w:val="20"/>
        </w:rPr>
      </w:pPr>
      <w:r w:rsidRPr="00D61C8A">
        <w:rPr>
          <w:rFonts w:ascii="Calibri" w:eastAsia="Cambria" w:hAnsi="Calibri"/>
          <w:sz w:val="20"/>
          <w:szCs w:val="20"/>
        </w:rPr>
        <w:t>It is unclear whether UNICEF programs actively encourage participation from ED-affected communities.  MRE participants are encouraged to tell other people what they have learned and to tell the proper authorities if they find ED, but it is unc</w:t>
      </w:r>
      <w:r>
        <w:rPr>
          <w:rFonts w:ascii="Calibri" w:eastAsia="Cambria" w:hAnsi="Calibri"/>
          <w:sz w:val="20"/>
          <w:szCs w:val="20"/>
        </w:rPr>
        <w:t>ertain</w:t>
      </w:r>
      <w:r w:rsidRPr="00D61C8A">
        <w:rPr>
          <w:rFonts w:ascii="Calibri" w:eastAsia="Cambria" w:hAnsi="Calibri"/>
          <w:sz w:val="20"/>
          <w:szCs w:val="20"/>
        </w:rPr>
        <w:t xml:space="preserve"> whether they have been encouraged to contribute ideas that would locally address ED contamination.</w:t>
      </w:r>
    </w:p>
    <w:p w:rsidR="00B454FB" w:rsidRPr="00D61C8A" w:rsidRDefault="00B454FB" w:rsidP="00B454FB">
      <w:pPr>
        <w:numPr>
          <w:ilvl w:val="0"/>
          <w:numId w:val="34"/>
        </w:numPr>
        <w:spacing w:line="276" w:lineRule="auto"/>
        <w:contextualSpacing/>
        <w:rPr>
          <w:rFonts w:ascii="Calibri" w:eastAsia="Cambria" w:hAnsi="Calibri"/>
          <w:sz w:val="20"/>
          <w:szCs w:val="20"/>
        </w:rPr>
      </w:pPr>
      <w:r w:rsidRPr="00D61C8A">
        <w:rPr>
          <w:rFonts w:ascii="Calibri" w:eastAsia="Cambria" w:hAnsi="Calibri"/>
          <w:sz w:val="20"/>
          <w:szCs w:val="20"/>
        </w:rPr>
        <w:t>Salaries for central UNICEF MA staff constitute a large expenditure, but these positions are indispensable given the current state of UNICEF activities and the wide range of managerial, financial and technical capacities among partner organizations.  Without the strong central personnel to coordinate production and distribution of MRE materials, manage regular MRE to avoid overlap and lead EMRE efforts, it would be difficult for current MRE activities in Nepal to continue at the current rate of coverage.</w:t>
      </w:r>
    </w:p>
    <w:p w:rsidR="00B454FB" w:rsidRPr="00D61C8A" w:rsidRDefault="00B454FB" w:rsidP="00B454FB">
      <w:pPr>
        <w:spacing w:line="276" w:lineRule="auto"/>
        <w:contextualSpacing/>
        <w:rPr>
          <w:rFonts w:ascii="Calibri" w:eastAsia="Cambria" w:hAnsi="Calibri"/>
          <w:sz w:val="20"/>
          <w:szCs w:val="20"/>
        </w:rPr>
      </w:pPr>
    </w:p>
    <w:p w:rsidR="00B454FB" w:rsidRPr="007603D4" w:rsidRDefault="00B454FB" w:rsidP="00B454FB">
      <w:pPr>
        <w:spacing w:line="276" w:lineRule="auto"/>
        <w:contextualSpacing/>
        <w:rPr>
          <w:rFonts w:ascii="Calibri" w:eastAsia="Cambria" w:hAnsi="Calibri"/>
          <w:b/>
          <w:sz w:val="20"/>
          <w:szCs w:val="20"/>
        </w:rPr>
      </w:pPr>
      <w:r w:rsidRPr="00D61C8A">
        <w:rPr>
          <w:rFonts w:ascii="Calibri" w:eastAsia="Cambria" w:hAnsi="Calibri"/>
          <w:b/>
          <w:sz w:val="20"/>
          <w:szCs w:val="20"/>
        </w:rPr>
        <w:t>Reco</w:t>
      </w:r>
      <w:r w:rsidRPr="007603D4">
        <w:rPr>
          <w:rFonts w:ascii="Calibri" w:eastAsia="Cambria" w:hAnsi="Calibri"/>
          <w:b/>
          <w:sz w:val="20"/>
          <w:szCs w:val="20"/>
        </w:rPr>
        <w:t>mmendations</w:t>
      </w:r>
    </w:p>
    <w:p w:rsidR="00B454FB" w:rsidRPr="007603D4" w:rsidRDefault="00B454FB" w:rsidP="00B454FB">
      <w:pPr>
        <w:pStyle w:val="ColorfulList-Accent11"/>
        <w:numPr>
          <w:ilvl w:val="0"/>
          <w:numId w:val="66"/>
        </w:numPr>
        <w:spacing w:line="276" w:lineRule="auto"/>
        <w:rPr>
          <w:rFonts w:ascii="Calibri" w:eastAsia="Cambria" w:hAnsi="Calibri"/>
          <w:sz w:val="20"/>
          <w:szCs w:val="20"/>
        </w:rPr>
      </w:pPr>
      <w:r w:rsidRPr="007603D4">
        <w:rPr>
          <w:rFonts w:ascii="Calibri" w:eastAsia="Cambria" w:hAnsi="Calibri"/>
          <w:sz w:val="20"/>
          <w:szCs w:val="20"/>
        </w:rPr>
        <w:t>Examine costs of MRE activities and consider ways to address financial sustainability of MRE programs</w:t>
      </w:r>
      <w:r>
        <w:rPr>
          <w:rFonts w:ascii="Calibri" w:eastAsia="Cambria" w:hAnsi="Calibri"/>
          <w:sz w:val="20"/>
          <w:szCs w:val="20"/>
        </w:rPr>
        <w:t>.</w:t>
      </w:r>
    </w:p>
    <w:p w:rsidR="00B454FB" w:rsidRPr="007603D4" w:rsidRDefault="00B454FB" w:rsidP="00B454FB">
      <w:pPr>
        <w:pStyle w:val="ColorfulList-Accent11"/>
        <w:numPr>
          <w:ilvl w:val="0"/>
          <w:numId w:val="66"/>
        </w:numPr>
        <w:spacing w:line="276" w:lineRule="auto"/>
        <w:rPr>
          <w:rFonts w:ascii="Calibri" w:eastAsia="Cambria" w:hAnsi="Calibri"/>
          <w:sz w:val="20"/>
          <w:szCs w:val="20"/>
        </w:rPr>
      </w:pPr>
      <w:r w:rsidRPr="00D61C8A">
        <w:rPr>
          <w:rFonts w:ascii="Calibri" w:eastAsia="Cambria" w:hAnsi="Calibri"/>
          <w:sz w:val="20"/>
          <w:szCs w:val="20"/>
        </w:rPr>
        <w:t>Pay close attention to the changing ED situation in the country</w:t>
      </w:r>
      <w:r>
        <w:rPr>
          <w:rFonts w:ascii="Calibri" w:eastAsia="Cambria" w:hAnsi="Calibri"/>
          <w:sz w:val="20"/>
          <w:szCs w:val="20"/>
        </w:rPr>
        <w:t xml:space="preserve">; the shift from </w:t>
      </w:r>
      <w:r w:rsidRPr="00D61C8A">
        <w:rPr>
          <w:rFonts w:ascii="Calibri" w:eastAsia="Cambria" w:hAnsi="Calibri"/>
          <w:sz w:val="20"/>
          <w:szCs w:val="20"/>
        </w:rPr>
        <w:t>civil conflict between government and Maoist forces to violent acts committed by emerging NSAGs</w:t>
      </w:r>
      <w:r>
        <w:rPr>
          <w:rFonts w:ascii="Calibri" w:eastAsia="Cambria" w:hAnsi="Calibri"/>
          <w:sz w:val="20"/>
          <w:szCs w:val="20"/>
        </w:rPr>
        <w:t xml:space="preserve"> has implications for ED contamination and, as a result, MRE messaging</w:t>
      </w:r>
      <w:r w:rsidRPr="00D61C8A">
        <w:rPr>
          <w:rFonts w:ascii="Calibri" w:eastAsia="Cambria" w:hAnsi="Calibri"/>
          <w:sz w:val="20"/>
          <w:szCs w:val="20"/>
        </w:rPr>
        <w:t>.</w:t>
      </w:r>
    </w:p>
    <w:p w:rsidR="00B454FB" w:rsidRPr="007603D4" w:rsidRDefault="00B454FB" w:rsidP="00B454FB">
      <w:pPr>
        <w:pStyle w:val="ColorfulList-Accent11"/>
        <w:numPr>
          <w:ilvl w:val="0"/>
          <w:numId w:val="66"/>
        </w:numPr>
        <w:spacing w:line="276" w:lineRule="auto"/>
        <w:rPr>
          <w:rFonts w:ascii="Calibri" w:eastAsia="Cambria" w:hAnsi="Calibri"/>
          <w:sz w:val="20"/>
          <w:szCs w:val="20"/>
        </w:rPr>
      </w:pPr>
      <w:r w:rsidRPr="00D61C8A">
        <w:rPr>
          <w:rFonts w:ascii="Calibri" w:eastAsia="Cambria" w:hAnsi="Calibri"/>
          <w:sz w:val="20"/>
          <w:szCs w:val="20"/>
        </w:rPr>
        <w:t>Encourage individuals in ED-affected communities to design some interventions that are executable at the local level.  This may include suggesting local alternatives to high-risk behaviors as mentioned under “Impact” above, or promoting community-based methods of spreading MRE messages.</w:t>
      </w:r>
    </w:p>
    <w:p w:rsidR="00B454FB" w:rsidRPr="00D61C8A" w:rsidRDefault="00B454FB" w:rsidP="00B454FB">
      <w:pPr>
        <w:pStyle w:val="ColorfulList-Accent11"/>
        <w:spacing w:line="276" w:lineRule="auto"/>
        <w:ind w:left="360"/>
        <w:rPr>
          <w:rFonts w:ascii="Calibri" w:eastAsia="Cambria" w:hAnsi="Calibri"/>
          <w:sz w:val="20"/>
          <w:szCs w:val="20"/>
        </w:rPr>
      </w:pPr>
    </w:p>
    <w:p w:rsidR="00B454FB" w:rsidRPr="00D61C8A" w:rsidRDefault="00B454FB" w:rsidP="00B454FB">
      <w:pPr>
        <w:pStyle w:val="Heading2"/>
        <w:numPr>
          <w:ilvl w:val="0"/>
          <w:numId w:val="0"/>
        </w:numPr>
        <w:spacing w:before="0"/>
        <w:rPr>
          <w:rFonts w:ascii="Calibri" w:hAnsi="Calibri"/>
        </w:rPr>
      </w:pPr>
      <w:r>
        <w:rPr>
          <w:rFonts w:ascii="Calibri" w:hAnsi="Calibri"/>
        </w:rPr>
        <w:t>VI.D</w:t>
      </w:r>
      <w:r>
        <w:rPr>
          <w:rFonts w:ascii="Calibri" w:hAnsi="Calibri"/>
        </w:rPr>
        <w:tab/>
      </w:r>
      <w:r>
        <w:rPr>
          <w:rFonts w:ascii="Calibri" w:hAnsi="Calibri"/>
        </w:rPr>
        <w:tab/>
      </w:r>
      <w:r w:rsidRPr="00D61C8A">
        <w:rPr>
          <w:rFonts w:ascii="Calibri" w:hAnsi="Calibri"/>
        </w:rPr>
        <w:t>Recommendations</w:t>
      </w:r>
    </w:p>
    <w:p w:rsidR="00B454FB" w:rsidRPr="00D61C8A" w:rsidRDefault="00B454FB" w:rsidP="00B454FB">
      <w:pPr>
        <w:spacing w:line="276" w:lineRule="auto"/>
        <w:rPr>
          <w:rFonts w:ascii="Calibri" w:eastAsia="Cambria" w:hAnsi="Calibri"/>
          <w:sz w:val="20"/>
          <w:szCs w:val="20"/>
        </w:rPr>
      </w:pPr>
    </w:p>
    <w:p w:rsidR="00B454FB" w:rsidRPr="001E3657" w:rsidRDefault="00B454FB" w:rsidP="00B454FB">
      <w:pPr>
        <w:spacing w:line="276" w:lineRule="auto"/>
        <w:rPr>
          <w:rFonts w:ascii="Calibri" w:eastAsia="Cambria" w:hAnsi="Calibri"/>
          <w:sz w:val="20"/>
          <w:szCs w:val="20"/>
        </w:rPr>
      </w:pPr>
      <w:r>
        <w:rPr>
          <w:rFonts w:ascii="Calibri" w:eastAsia="Cambria" w:hAnsi="Calibri"/>
          <w:sz w:val="20"/>
          <w:szCs w:val="20"/>
        </w:rPr>
        <w:t>A summary of recommendations made above in Section VI.C is available below:</w:t>
      </w:r>
      <w:r w:rsidRPr="001E3657">
        <w:rPr>
          <w:rFonts w:ascii="Calibri" w:eastAsia="Cambria" w:hAnsi="Calibri"/>
          <w:sz w:val="20"/>
          <w:szCs w:val="20"/>
        </w:rPr>
        <w:t xml:space="preserve"> </w:t>
      </w:r>
    </w:p>
    <w:p w:rsidR="00B454FB" w:rsidRDefault="00B454FB" w:rsidP="00B454FB">
      <w:pPr>
        <w:spacing w:line="276" w:lineRule="auto"/>
        <w:rPr>
          <w:rFonts w:ascii="Calibri" w:eastAsia="Cambria" w:hAnsi="Calibri"/>
          <w:b/>
          <w:sz w:val="20"/>
          <w:szCs w:val="20"/>
          <w:highlight w:val="yellow"/>
        </w:rPr>
      </w:pPr>
    </w:p>
    <w:p w:rsidR="00B454FB" w:rsidRDefault="00B454FB" w:rsidP="00B454FB">
      <w:pPr>
        <w:spacing w:line="276" w:lineRule="auto"/>
        <w:rPr>
          <w:rFonts w:ascii="Calibri" w:eastAsia="Cambria" w:hAnsi="Calibri"/>
          <w:b/>
          <w:sz w:val="20"/>
          <w:szCs w:val="20"/>
        </w:rPr>
      </w:pPr>
      <w:r w:rsidRPr="00964B4C">
        <w:rPr>
          <w:rFonts w:ascii="Calibri" w:eastAsia="Cambria" w:hAnsi="Calibri"/>
          <w:b/>
          <w:sz w:val="20"/>
          <w:szCs w:val="20"/>
        </w:rPr>
        <w:t>1) Consider integration of MRE activities into broader health and education initiatives.</w:t>
      </w:r>
    </w:p>
    <w:p w:rsidR="00B454FB" w:rsidRPr="00964B4C" w:rsidRDefault="00B454FB" w:rsidP="00B454FB">
      <w:pPr>
        <w:numPr>
          <w:ilvl w:val="0"/>
          <w:numId w:val="76"/>
        </w:numPr>
        <w:spacing w:line="276" w:lineRule="auto"/>
        <w:rPr>
          <w:rFonts w:ascii="Calibri" w:eastAsia="Cambria" w:hAnsi="Calibri"/>
          <w:b/>
          <w:sz w:val="20"/>
          <w:szCs w:val="20"/>
        </w:rPr>
      </w:pPr>
      <w:r w:rsidRPr="00964B4C">
        <w:rPr>
          <w:rFonts w:ascii="Calibri" w:eastAsia="Cambria" w:hAnsi="Calibri"/>
          <w:sz w:val="20"/>
          <w:szCs w:val="20"/>
        </w:rPr>
        <w:t>Continue to evaluate whether systematic MRE coverage is adequate and consider scaling up activities to reach more students.  This may be feasible through incorporation of MRE messages into all school curricula</w:t>
      </w:r>
      <w:r>
        <w:rPr>
          <w:rFonts w:ascii="Calibri" w:eastAsia="Cambria" w:hAnsi="Calibri"/>
          <w:sz w:val="20"/>
          <w:szCs w:val="20"/>
        </w:rPr>
        <w:t xml:space="preserve"> </w:t>
      </w:r>
      <w:r w:rsidRPr="00964B4C">
        <w:rPr>
          <w:rFonts w:ascii="Calibri" w:eastAsia="Cambria" w:hAnsi="Calibri"/>
          <w:sz w:val="20"/>
          <w:szCs w:val="20"/>
        </w:rPr>
        <w:t>and/or integration</w:t>
      </w:r>
      <w:r>
        <w:rPr>
          <w:rFonts w:ascii="Calibri" w:eastAsia="Cambria" w:hAnsi="Calibri"/>
          <w:sz w:val="20"/>
          <w:szCs w:val="20"/>
        </w:rPr>
        <w:t xml:space="preserve"> with</w:t>
      </w:r>
      <w:r w:rsidRPr="000E27F4">
        <w:rPr>
          <w:rFonts w:ascii="Calibri" w:eastAsia="Cambria" w:hAnsi="Calibri"/>
          <w:sz w:val="20"/>
          <w:szCs w:val="20"/>
        </w:rPr>
        <w:t xml:space="preserve"> </w:t>
      </w:r>
      <w:r>
        <w:rPr>
          <w:rFonts w:ascii="Calibri" w:eastAsia="Cambria" w:hAnsi="Calibri"/>
          <w:sz w:val="20"/>
          <w:szCs w:val="20"/>
        </w:rPr>
        <w:t xml:space="preserve">a </w:t>
      </w:r>
      <w:r w:rsidRPr="000E27F4">
        <w:rPr>
          <w:rFonts w:ascii="Calibri" w:eastAsia="Cambria" w:hAnsi="Calibri"/>
          <w:sz w:val="20"/>
          <w:szCs w:val="20"/>
        </w:rPr>
        <w:t>broader injury prevention program</w:t>
      </w:r>
      <w:r>
        <w:rPr>
          <w:rFonts w:ascii="Calibri" w:eastAsia="Cambria" w:hAnsi="Calibri"/>
          <w:sz w:val="20"/>
          <w:szCs w:val="20"/>
        </w:rPr>
        <w:t xml:space="preserve"> (see the following two recommendations below).</w:t>
      </w:r>
    </w:p>
    <w:p w:rsidR="00B454FB" w:rsidRDefault="00B454FB" w:rsidP="00B454FB">
      <w:pPr>
        <w:pStyle w:val="ColorfulList-Accent11"/>
        <w:numPr>
          <w:ilvl w:val="0"/>
          <w:numId w:val="67"/>
        </w:numPr>
        <w:spacing w:line="276" w:lineRule="auto"/>
        <w:rPr>
          <w:rFonts w:ascii="Calibri" w:eastAsia="Cambria" w:hAnsi="Calibri"/>
          <w:sz w:val="20"/>
          <w:szCs w:val="20"/>
        </w:rPr>
      </w:pPr>
      <w:r>
        <w:rPr>
          <w:rFonts w:ascii="Calibri" w:eastAsia="Cambria" w:hAnsi="Calibri"/>
          <w:sz w:val="20"/>
          <w:szCs w:val="20"/>
        </w:rPr>
        <w:t xml:space="preserve">Consider incorporation of </w:t>
      </w:r>
      <w:r w:rsidRPr="00964B4C">
        <w:rPr>
          <w:rFonts w:ascii="Calibri" w:eastAsia="Cambria" w:hAnsi="Calibri"/>
          <w:sz w:val="20"/>
          <w:szCs w:val="20"/>
        </w:rPr>
        <w:t xml:space="preserve">MRE and broader injury prevention messages into the curricula of all </w:t>
      </w:r>
      <w:r>
        <w:rPr>
          <w:rFonts w:ascii="Calibri" w:eastAsia="Cambria" w:hAnsi="Calibri"/>
          <w:sz w:val="20"/>
          <w:szCs w:val="20"/>
        </w:rPr>
        <w:t>government education</w:t>
      </w:r>
      <w:r w:rsidRPr="00964B4C">
        <w:rPr>
          <w:rFonts w:ascii="Calibri" w:eastAsia="Cambria" w:hAnsi="Calibri"/>
          <w:sz w:val="20"/>
          <w:szCs w:val="20"/>
        </w:rPr>
        <w:t xml:space="preserve"> programs.  Provision of MRE to all recipients of government education activities could reduce the need for other more expensive forms of MRE dissemination.</w:t>
      </w:r>
      <w:r w:rsidRPr="00964B4C">
        <w:rPr>
          <w:rFonts w:ascii="Calibri" w:eastAsia="Cambria" w:hAnsi="Calibri"/>
          <w:b/>
          <w:sz w:val="20"/>
          <w:szCs w:val="20"/>
        </w:rPr>
        <w:t xml:space="preserve"> </w:t>
      </w:r>
    </w:p>
    <w:p w:rsidR="00B454FB" w:rsidRPr="00964B4C" w:rsidRDefault="00B454FB" w:rsidP="00B454FB">
      <w:pPr>
        <w:pStyle w:val="ColorfulList-Accent11"/>
        <w:numPr>
          <w:ilvl w:val="0"/>
          <w:numId w:val="67"/>
        </w:numPr>
        <w:spacing w:line="276" w:lineRule="auto"/>
        <w:rPr>
          <w:rFonts w:ascii="Calibri" w:eastAsia="Cambria" w:hAnsi="Calibri"/>
          <w:sz w:val="20"/>
          <w:szCs w:val="20"/>
        </w:rPr>
      </w:pPr>
      <w:r>
        <w:rPr>
          <w:rFonts w:ascii="Calibri" w:eastAsia="Cambria" w:hAnsi="Calibri"/>
          <w:sz w:val="20"/>
          <w:szCs w:val="20"/>
        </w:rPr>
        <w:t>C</w:t>
      </w:r>
      <w:r w:rsidRPr="00D61C8A">
        <w:rPr>
          <w:rFonts w:ascii="Calibri" w:eastAsia="Cambria" w:hAnsi="Calibri"/>
          <w:sz w:val="20"/>
          <w:szCs w:val="20"/>
        </w:rPr>
        <w:t xml:space="preserve">onsider incorporating MRE into a broader injury prevention program. </w:t>
      </w:r>
      <w:r w:rsidRPr="00D61C8A">
        <w:rPr>
          <w:rFonts w:ascii="Calibri" w:eastAsia="Cambria" w:hAnsi="Calibri"/>
          <w:b/>
          <w:sz w:val="20"/>
          <w:szCs w:val="20"/>
        </w:rPr>
        <w:t xml:space="preserve"> </w:t>
      </w:r>
      <w:r w:rsidRPr="00D61C8A">
        <w:rPr>
          <w:rFonts w:ascii="Calibri" w:eastAsia="Cambria" w:hAnsi="Calibri"/>
          <w:sz w:val="20"/>
          <w:szCs w:val="20"/>
        </w:rPr>
        <w:t xml:space="preserve">Integration of MRE into a health education program could serve to alleviate the burden of injury on the population; better justify program expenditures to donors; and remove some of the political tension associated with ED use and contamination.  UNICEF could continue to work with many of the same partner organizations and seek additional collaboration with the World Health Organization, Ministry of Health, </w:t>
      </w:r>
      <w:r>
        <w:rPr>
          <w:rFonts w:ascii="Calibri" w:eastAsia="Cambria" w:hAnsi="Calibri"/>
          <w:sz w:val="20"/>
          <w:szCs w:val="20"/>
        </w:rPr>
        <w:t>MOE</w:t>
      </w:r>
      <w:r w:rsidRPr="00D61C8A">
        <w:rPr>
          <w:rFonts w:ascii="Calibri" w:eastAsia="Cambria" w:hAnsi="Calibri"/>
          <w:sz w:val="20"/>
          <w:szCs w:val="20"/>
        </w:rPr>
        <w:t>, and other relevant partners.</w:t>
      </w:r>
      <w:r>
        <w:rPr>
          <w:rFonts w:ascii="Calibri" w:eastAsia="Cambria" w:hAnsi="Calibri"/>
          <w:sz w:val="20"/>
          <w:szCs w:val="20"/>
        </w:rPr>
        <w:t xml:space="preserve">  If partners did not consider ED injury a risk in all areas, ED injury prevention education </w:t>
      </w:r>
      <w:r w:rsidRPr="00964B4C">
        <w:rPr>
          <w:rFonts w:ascii="Calibri" w:eastAsia="Cambria" w:hAnsi="Calibri"/>
          <w:sz w:val="20"/>
          <w:szCs w:val="20"/>
        </w:rPr>
        <w:t>could be included as an optional module for use only in schools in at-risk areas.</w:t>
      </w:r>
    </w:p>
    <w:p w:rsidR="00B454FB" w:rsidRPr="00953679" w:rsidRDefault="00B454FB" w:rsidP="00B454FB">
      <w:pPr>
        <w:pStyle w:val="ColorfulList-Accent11"/>
        <w:numPr>
          <w:ilvl w:val="0"/>
          <w:numId w:val="67"/>
        </w:numPr>
        <w:spacing w:line="276" w:lineRule="auto"/>
        <w:rPr>
          <w:rFonts w:ascii="Calibri" w:eastAsia="Cambria" w:hAnsi="Calibri"/>
          <w:sz w:val="20"/>
          <w:szCs w:val="20"/>
        </w:rPr>
      </w:pPr>
      <w:r w:rsidRPr="00953679">
        <w:rPr>
          <w:rFonts w:ascii="Calibri" w:eastAsia="Cambria" w:hAnsi="Calibri"/>
          <w:sz w:val="20"/>
          <w:szCs w:val="20"/>
        </w:rPr>
        <w:t xml:space="preserve">Promote MRE among marginalized populations by integrating MRE messages into non-formal education activities </w:t>
      </w:r>
      <w:r>
        <w:rPr>
          <w:rFonts w:ascii="Calibri" w:eastAsia="Cambria" w:hAnsi="Calibri"/>
          <w:sz w:val="20"/>
          <w:szCs w:val="20"/>
        </w:rPr>
        <w:t xml:space="preserve">such as </w:t>
      </w:r>
      <w:r w:rsidRPr="00953679">
        <w:rPr>
          <w:rFonts w:ascii="Calibri" w:eastAsia="Cambria" w:hAnsi="Calibri"/>
          <w:sz w:val="20"/>
          <w:szCs w:val="20"/>
        </w:rPr>
        <w:t>those for adult literacy and for children not attending school</w:t>
      </w:r>
      <w:r>
        <w:rPr>
          <w:rFonts w:ascii="Calibri" w:eastAsia="Cambria" w:hAnsi="Calibri"/>
          <w:sz w:val="20"/>
          <w:szCs w:val="20"/>
        </w:rPr>
        <w:t xml:space="preserve">.  </w:t>
      </w:r>
      <w:r w:rsidRPr="00953679">
        <w:rPr>
          <w:rFonts w:ascii="Calibri" w:eastAsia="Cambria" w:hAnsi="Calibri"/>
          <w:sz w:val="20"/>
          <w:szCs w:val="20"/>
        </w:rPr>
        <w:t xml:space="preserve">Inclusion of </w:t>
      </w:r>
      <w:r>
        <w:rPr>
          <w:rFonts w:ascii="Calibri" w:eastAsia="Cambria" w:hAnsi="Calibri"/>
          <w:sz w:val="20"/>
          <w:szCs w:val="20"/>
        </w:rPr>
        <w:t xml:space="preserve">MRE in </w:t>
      </w:r>
      <w:r w:rsidRPr="00953679">
        <w:rPr>
          <w:rFonts w:ascii="Calibri" w:eastAsia="Cambria" w:hAnsi="Calibri"/>
          <w:sz w:val="20"/>
          <w:szCs w:val="20"/>
        </w:rPr>
        <w:t>non-traditional programs such as the UNICEF Education Section’s Life Skills Project could ensure better cover</w:t>
      </w:r>
      <w:r>
        <w:rPr>
          <w:rFonts w:ascii="Calibri" w:eastAsia="Cambria" w:hAnsi="Calibri"/>
          <w:sz w:val="20"/>
          <w:szCs w:val="20"/>
        </w:rPr>
        <w:t>age of vulnerable populations.</w:t>
      </w:r>
    </w:p>
    <w:p w:rsidR="00B454FB" w:rsidRPr="00D61C8A" w:rsidRDefault="00B454FB" w:rsidP="00B454FB">
      <w:pPr>
        <w:spacing w:line="276" w:lineRule="auto"/>
        <w:contextualSpacing/>
        <w:rPr>
          <w:rFonts w:ascii="Calibri" w:eastAsia="Cambria" w:hAnsi="Calibri"/>
          <w:b/>
          <w:sz w:val="20"/>
          <w:szCs w:val="20"/>
        </w:rPr>
      </w:pPr>
    </w:p>
    <w:p w:rsidR="00B454FB" w:rsidRPr="00D61C8A" w:rsidRDefault="00B454FB" w:rsidP="00B454FB">
      <w:pPr>
        <w:spacing w:line="276" w:lineRule="auto"/>
        <w:contextualSpacing/>
        <w:rPr>
          <w:rFonts w:ascii="Calibri" w:eastAsia="Cambria" w:hAnsi="Calibri"/>
          <w:b/>
          <w:sz w:val="20"/>
          <w:szCs w:val="20"/>
        </w:rPr>
      </w:pPr>
      <w:r w:rsidRPr="00D61C8A">
        <w:rPr>
          <w:rFonts w:ascii="Calibri" w:eastAsia="Cambria" w:hAnsi="Calibri"/>
          <w:b/>
          <w:sz w:val="20"/>
          <w:szCs w:val="20"/>
        </w:rPr>
        <w:t>2) Adopt new measures to improve financial sustainability</w:t>
      </w:r>
      <w:r>
        <w:rPr>
          <w:rFonts w:ascii="Calibri" w:eastAsia="Cambria" w:hAnsi="Calibri"/>
          <w:b/>
          <w:sz w:val="20"/>
          <w:szCs w:val="20"/>
        </w:rPr>
        <w:t xml:space="preserve"> and management</w:t>
      </w:r>
      <w:r w:rsidRPr="00D61C8A">
        <w:rPr>
          <w:rFonts w:ascii="Calibri" w:eastAsia="Cambria" w:hAnsi="Calibri"/>
          <w:b/>
          <w:sz w:val="20"/>
          <w:szCs w:val="20"/>
        </w:rPr>
        <w:t>, particularly in preparation for handover of MRE activities to the NMAA</w:t>
      </w:r>
    </w:p>
    <w:p w:rsidR="00B454FB" w:rsidRPr="00D61C8A" w:rsidRDefault="00B454FB" w:rsidP="00B454FB">
      <w:pPr>
        <w:pStyle w:val="ColorfulList-Accent11"/>
        <w:numPr>
          <w:ilvl w:val="0"/>
          <w:numId w:val="68"/>
        </w:numPr>
        <w:spacing w:line="276" w:lineRule="auto"/>
        <w:rPr>
          <w:rFonts w:ascii="Calibri" w:eastAsia="Cambria" w:hAnsi="Calibri"/>
          <w:sz w:val="20"/>
          <w:szCs w:val="20"/>
        </w:rPr>
      </w:pPr>
      <w:r w:rsidRPr="00D61C8A">
        <w:rPr>
          <w:rFonts w:ascii="Calibri" w:eastAsia="Cambria" w:hAnsi="Calibri"/>
          <w:sz w:val="20"/>
          <w:szCs w:val="20"/>
        </w:rPr>
        <w:t>Examine costs of MRE activities and consider ways to address financial sustainability of MRE programs</w:t>
      </w:r>
      <w:r>
        <w:rPr>
          <w:rFonts w:ascii="Calibri" w:eastAsia="Cambria" w:hAnsi="Calibri"/>
          <w:sz w:val="20"/>
          <w:szCs w:val="20"/>
        </w:rPr>
        <w:t>.</w:t>
      </w:r>
    </w:p>
    <w:p w:rsidR="00B454FB" w:rsidRDefault="00B454FB" w:rsidP="00B454FB">
      <w:pPr>
        <w:numPr>
          <w:ilvl w:val="0"/>
          <w:numId w:val="68"/>
        </w:numPr>
        <w:spacing w:line="276" w:lineRule="auto"/>
        <w:contextualSpacing/>
        <w:rPr>
          <w:rFonts w:ascii="Calibri" w:eastAsia="Cambria" w:hAnsi="Calibri"/>
          <w:sz w:val="20"/>
          <w:szCs w:val="20"/>
        </w:rPr>
      </w:pPr>
      <w:r w:rsidRPr="00D61C8A">
        <w:rPr>
          <w:rFonts w:ascii="Calibri" w:eastAsia="Cambria" w:hAnsi="Calibri"/>
          <w:sz w:val="20"/>
          <w:szCs w:val="20"/>
        </w:rPr>
        <w:t>Maintain more thorough records on the production and dissemination of all MRE materials (leaflets, user guides, flipcharts, posters, and MRE emergency kits).  These should include the following data elements for each type of material: cost per unit; number made each year; number distributed each year; recipients; cost of distribution; and number remaining.</w:t>
      </w:r>
    </w:p>
    <w:p w:rsidR="00B454FB" w:rsidRPr="00D66654" w:rsidRDefault="00B454FB" w:rsidP="00B454FB">
      <w:pPr>
        <w:pStyle w:val="ColorfulList-Accent11"/>
        <w:numPr>
          <w:ilvl w:val="0"/>
          <w:numId w:val="68"/>
        </w:numPr>
        <w:spacing w:line="276" w:lineRule="auto"/>
        <w:rPr>
          <w:rFonts w:ascii="Calibri" w:eastAsia="Cambria" w:hAnsi="Calibri"/>
          <w:sz w:val="20"/>
          <w:szCs w:val="20"/>
        </w:rPr>
      </w:pPr>
      <w:r w:rsidRPr="00195B22">
        <w:rPr>
          <w:rFonts w:ascii="Calibri" w:eastAsia="Cambria" w:hAnsi="Calibri"/>
          <w:sz w:val="20"/>
          <w:szCs w:val="20"/>
        </w:rPr>
        <w:t>Consider coordinating with MRE partners to ensure that MRE focal points are receiving equal pay and/or reimbursement for equal work.</w:t>
      </w:r>
      <w:r w:rsidRPr="00D66654">
        <w:rPr>
          <w:rFonts w:ascii="Calibri" w:eastAsia="Cambria" w:hAnsi="Calibri"/>
          <w:sz w:val="20"/>
          <w:szCs w:val="20"/>
        </w:rPr>
        <w:t xml:space="preserve">  </w:t>
      </w:r>
    </w:p>
    <w:p w:rsidR="00B454FB" w:rsidRDefault="00B454FB" w:rsidP="00B454FB">
      <w:pPr>
        <w:pStyle w:val="ColorfulList-Accent11"/>
        <w:numPr>
          <w:ilvl w:val="0"/>
          <w:numId w:val="68"/>
        </w:numPr>
        <w:spacing w:line="276" w:lineRule="auto"/>
        <w:rPr>
          <w:rFonts w:ascii="Calibri" w:eastAsia="Cambria" w:hAnsi="Calibri"/>
          <w:sz w:val="20"/>
          <w:szCs w:val="20"/>
        </w:rPr>
      </w:pPr>
      <w:r w:rsidRPr="00D61C8A">
        <w:rPr>
          <w:rFonts w:ascii="Calibri" w:eastAsia="Cambria" w:hAnsi="Calibri"/>
          <w:sz w:val="20"/>
          <w:szCs w:val="20"/>
        </w:rPr>
        <w:t>Consider conducting a formal cost-effectiveness study of MRE materials and/or activities.</w:t>
      </w:r>
    </w:p>
    <w:p w:rsidR="00B454FB" w:rsidRPr="00282D3D" w:rsidRDefault="00B454FB" w:rsidP="00B454FB">
      <w:pPr>
        <w:pStyle w:val="ColorfulList-Accent11"/>
        <w:numPr>
          <w:ilvl w:val="0"/>
          <w:numId w:val="68"/>
        </w:numPr>
        <w:spacing w:line="276" w:lineRule="auto"/>
        <w:rPr>
          <w:rFonts w:ascii="Calibri" w:eastAsia="Cambria" w:hAnsi="Calibri"/>
          <w:sz w:val="20"/>
          <w:szCs w:val="20"/>
        </w:rPr>
      </w:pPr>
      <w:r w:rsidRPr="00282D3D">
        <w:rPr>
          <w:rFonts w:ascii="Calibri" w:eastAsia="Cambria" w:hAnsi="Calibri"/>
          <w:sz w:val="20"/>
          <w:szCs w:val="20"/>
        </w:rPr>
        <w:lastRenderedPageBreak/>
        <w:t>Find faster delivery methods for MRE materials, sharing transportation with partner organizations when possible.</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 xml:space="preserve">3) Plan for a UNICEF </w:t>
      </w:r>
      <w:r>
        <w:rPr>
          <w:rFonts w:ascii="Calibri" w:eastAsia="Cambria" w:hAnsi="Calibri"/>
          <w:b/>
          <w:sz w:val="20"/>
          <w:szCs w:val="20"/>
        </w:rPr>
        <w:t>“</w:t>
      </w:r>
      <w:r w:rsidRPr="00D61C8A">
        <w:rPr>
          <w:rFonts w:ascii="Calibri" w:eastAsia="Cambria" w:hAnsi="Calibri"/>
          <w:b/>
          <w:sz w:val="20"/>
          <w:szCs w:val="20"/>
        </w:rPr>
        <w:t>exit strategy</w:t>
      </w:r>
      <w:r>
        <w:rPr>
          <w:rFonts w:ascii="Calibri" w:eastAsia="Cambria" w:hAnsi="Calibri"/>
          <w:b/>
          <w:sz w:val="20"/>
          <w:szCs w:val="20"/>
        </w:rPr>
        <w:t>”</w:t>
      </w:r>
      <w:r w:rsidRPr="00D61C8A">
        <w:rPr>
          <w:rFonts w:ascii="Calibri" w:eastAsia="Cambria" w:hAnsi="Calibri"/>
          <w:b/>
          <w:sz w:val="20"/>
          <w:szCs w:val="20"/>
        </w:rPr>
        <w:t xml:space="preserve"> and the eventual handover of MRE activities to the NMAA</w:t>
      </w:r>
    </w:p>
    <w:p w:rsidR="00B454FB" w:rsidRPr="00D61C8A" w:rsidRDefault="00B454FB" w:rsidP="00B454FB">
      <w:pPr>
        <w:pStyle w:val="ColorfulList-Accent11"/>
        <w:numPr>
          <w:ilvl w:val="0"/>
          <w:numId w:val="69"/>
        </w:numPr>
        <w:rPr>
          <w:rFonts w:ascii="Calibri" w:hAnsi="Calibri"/>
          <w:sz w:val="20"/>
          <w:szCs w:val="20"/>
        </w:rPr>
      </w:pPr>
      <w:r w:rsidRPr="00D61C8A">
        <w:rPr>
          <w:rFonts w:ascii="Calibri" w:hAnsi="Calibri"/>
          <w:sz w:val="20"/>
          <w:szCs w:val="20"/>
        </w:rPr>
        <w:t xml:space="preserve">Build capacity for all MRE activities, including development, production and distribution of MRE materials; training; coordination of media campaigns; and monitoring. </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4) Improve the strength and focus of MRE messaging</w:t>
      </w:r>
    </w:p>
    <w:p w:rsidR="00B454FB" w:rsidRPr="00D61C8A" w:rsidRDefault="00B454FB" w:rsidP="00B454FB">
      <w:pPr>
        <w:pStyle w:val="ColorfulList-Accent11"/>
        <w:numPr>
          <w:ilvl w:val="0"/>
          <w:numId w:val="69"/>
        </w:numPr>
        <w:spacing w:line="276" w:lineRule="auto"/>
        <w:rPr>
          <w:rFonts w:ascii="Calibri" w:eastAsia="Cambria" w:hAnsi="Calibri"/>
          <w:b/>
          <w:sz w:val="20"/>
          <w:szCs w:val="20"/>
        </w:rPr>
      </w:pPr>
      <w:r w:rsidRPr="00D61C8A">
        <w:rPr>
          <w:rFonts w:ascii="Calibri" w:hAnsi="Calibri"/>
          <w:sz w:val="20"/>
          <w:szCs w:val="20"/>
        </w:rPr>
        <w:t>Include more photographs and life stories of children, adults and families who have been affected by VAE injury.  Current MRE materials contain drawings of risk behaviors and explosions, but real photographs and life stories may encourage session participants to think more deeply about the consequences of injury.  This inclusion was recommended by the 2007 KAP survey and several stakeholders during the evaluation field visit; NCBL has already included pictures of injured individuals in some outreach materials (see Appendix B.1.g).</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sidRPr="00D61C8A">
        <w:rPr>
          <w:rFonts w:ascii="Calibri" w:eastAsia="Cambria" w:hAnsi="Calibri"/>
          <w:sz w:val="20"/>
          <w:szCs w:val="20"/>
        </w:rPr>
        <w:t xml:space="preserve">Work with the </w:t>
      </w:r>
      <w:r>
        <w:rPr>
          <w:rFonts w:ascii="Calibri" w:eastAsia="Cambria" w:hAnsi="Calibri"/>
          <w:sz w:val="20"/>
          <w:szCs w:val="20"/>
        </w:rPr>
        <w:t>government</w:t>
      </w:r>
      <w:r w:rsidRPr="00D61C8A">
        <w:rPr>
          <w:rFonts w:ascii="Calibri" w:eastAsia="Cambria" w:hAnsi="Calibri"/>
          <w:sz w:val="20"/>
          <w:szCs w:val="20"/>
        </w:rPr>
        <w:t xml:space="preserve"> security forces, if possible, to establish some kind of assurance that individuals will not be punished for reporting the presence of ED, and educate the public about this assurance.</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Pr>
          <w:rFonts w:ascii="Calibri" w:eastAsia="Cambria" w:hAnsi="Calibri"/>
          <w:sz w:val="20"/>
          <w:szCs w:val="20"/>
        </w:rPr>
        <w:t>Continue to monitor whether economic necessity is a risk factor for ED injury.  If it becomes more of a problem, p</w:t>
      </w:r>
      <w:r w:rsidRPr="00D61C8A">
        <w:rPr>
          <w:rFonts w:ascii="Calibri" w:eastAsia="Cambria" w:hAnsi="Calibri"/>
          <w:sz w:val="20"/>
          <w:szCs w:val="20"/>
        </w:rPr>
        <w:t>rovide viable alternatives to high-risk behaviors.  If this does not seem possible given limited resources</w:t>
      </w:r>
      <w:r>
        <w:rPr>
          <w:rFonts w:ascii="Calibri" w:eastAsia="Cambria" w:hAnsi="Calibri"/>
          <w:sz w:val="20"/>
          <w:szCs w:val="20"/>
        </w:rPr>
        <w:t xml:space="preserve"> and the sensitivity of this topic</w:t>
      </w:r>
      <w:r w:rsidRPr="00D61C8A">
        <w:rPr>
          <w:rFonts w:ascii="Calibri" w:eastAsia="Cambria" w:hAnsi="Calibri"/>
          <w:sz w:val="20"/>
          <w:szCs w:val="20"/>
        </w:rPr>
        <w:t xml:space="preserve">, train MRE focal points to encourage affected communities to suggest alternatives to high-risk behaviors.  Qualitative study could </w:t>
      </w:r>
      <w:r>
        <w:rPr>
          <w:rFonts w:ascii="Calibri" w:eastAsia="Cambria" w:hAnsi="Calibri"/>
          <w:sz w:val="20"/>
          <w:szCs w:val="20"/>
        </w:rPr>
        <w:t xml:space="preserve">be used to </w:t>
      </w:r>
      <w:r w:rsidRPr="00D61C8A">
        <w:rPr>
          <w:rFonts w:ascii="Calibri" w:eastAsia="Cambria" w:hAnsi="Calibri"/>
          <w:sz w:val="20"/>
          <w:szCs w:val="20"/>
        </w:rPr>
        <w:t xml:space="preserve">clarify reasons for and solutions to </w:t>
      </w:r>
      <w:r>
        <w:rPr>
          <w:rFonts w:ascii="Calibri" w:eastAsia="Cambria" w:hAnsi="Calibri"/>
          <w:sz w:val="20"/>
          <w:szCs w:val="20"/>
        </w:rPr>
        <w:t>high-risk</w:t>
      </w:r>
      <w:r w:rsidRPr="00D61C8A">
        <w:rPr>
          <w:rFonts w:ascii="Calibri" w:eastAsia="Cambria" w:hAnsi="Calibri"/>
          <w:sz w:val="20"/>
          <w:szCs w:val="20"/>
        </w:rPr>
        <w:t xml:space="preserve"> behaviors.</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sidRPr="00D61C8A">
        <w:rPr>
          <w:rFonts w:ascii="Calibri" w:eastAsia="Cambria" w:hAnsi="Calibri"/>
          <w:sz w:val="20"/>
          <w:szCs w:val="20"/>
        </w:rPr>
        <w:t>Pay close attention to the changing ED situation in the country</w:t>
      </w:r>
      <w:r>
        <w:rPr>
          <w:rFonts w:ascii="Calibri" w:eastAsia="Cambria" w:hAnsi="Calibri"/>
          <w:sz w:val="20"/>
          <w:szCs w:val="20"/>
        </w:rPr>
        <w:t xml:space="preserve">; the shift from </w:t>
      </w:r>
      <w:r w:rsidRPr="00D61C8A">
        <w:rPr>
          <w:rFonts w:ascii="Calibri" w:eastAsia="Cambria" w:hAnsi="Calibri"/>
          <w:sz w:val="20"/>
          <w:szCs w:val="20"/>
        </w:rPr>
        <w:t>civil conflict between government and Maoist forces to violent acts committed by emerging NSAGs</w:t>
      </w:r>
      <w:r>
        <w:rPr>
          <w:rFonts w:ascii="Calibri" w:eastAsia="Cambria" w:hAnsi="Calibri"/>
          <w:sz w:val="20"/>
          <w:szCs w:val="20"/>
        </w:rPr>
        <w:t xml:space="preserve"> has implications for ED contamination and, as a result, MRE messaging</w:t>
      </w:r>
      <w:r w:rsidRPr="00D61C8A">
        <w:rPr>
          <w:rFonts w:ascii="Calibri" w:eastAsia="Cambria" w:hAnsi="Calibri"/>
          <w:sz w:val="20"/>
          <w:szCs w:val="20"/>
        </w:rPr>
        <w:t>.</w:t>
      </w:r>
    </w:p>
    <w:p w:rsidR="00B454FB" w:rsidRPr="00D61C8A" w:rsidRDefault="00B454FB" w:rsidP="00B454FB">
      <w:pPr>
        <w:pStyle w:val="ColorfulList-Accent11"/>
        <w:numPr>
          <w:ilvl w:val="0"/>
          <w:numId w:val="69"/>
        </w:numPr>
        <w:spacing w:line="276" w:lineRule="auto"/>
        <w:rPr>
          <w:rFonts w:ascii="Calibri" w:eastAsia="Cambria" w:hAnsi="Calibri"/>
          <w:sz w:val="20"/>
          <w:szCs w:val="20"/>
        </w:rPr>
      </w:pPr>
      <w:r>
        <w:rPr>
          <w:rFonts w:ascii="Calibri" w:eastAsia="Cambria" w:hAnsi="Calibri"/>
          <w:sz w:val="20"/>
          <w:szCs w:val="20"/>
        </w:rPr>
        <w:t>En</w:t>
      </w:r>
      <w:r w:rsidRPr="00D61C8A">
        <w:rPr>
          <w:rFonts w:ascii="Calibri" w:eastAsia="Cambria" w:hAnsi="Calibri"/>
          <w:sz w:val="20"/>
          <w:szCs w:val="20"/>
        </w:rPr>
        <w:t>sure that all MRE symbols and messages selected or designed for use in the future are easily understood by the target audience.</w:t>
      </w: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5) Reevaluate and adjust assessment activities</w:t>
      </w:r>
    </w:p>
    <w:p w:rsidR="00B454FB" w:rsidRPr="00D61C8A" w:rsidRDefault="00B454FB" w:rsidP="00B454FB">
      <w:pPr>
        <w:pStyle w:val="ColorfulList-Accent11"/>
        <w:numPr>
          <w:ilvl w:val="0"/>
          <w:numId w:val="70"/>
        </w:numPr>
        <w:spacing w:line="276" w:lineRule="auto"/>
        <w:rPr>
          <w:rFonts w:ascii="Calibri" w:eastAsia="Cambria" w:hAnsi="Calibri"/>
          <w:b/>
          <w:sz w:val="20"/>
          <w:szCs w:val="20"/>
        </w:rPr>
      </w:pPr>
      <w:r w:rsidRPr="00D61C8A">
        <w:rPr>
          <w:rFonts w:ascii="Calibri" w:eastAsia="Cambria" w:hAnsi="Calibri"/>
          <w:sz w:val="20"/>
          <w:szCs w:val="20"/>
        </w:rPr>
        <w:t>Conduct an impact survey in s</w:t>
      </w:r>
      <w:r>
        <w:rPr>
          <w:rFonts w:ascii="Calibri" w:eastAsia="Cambria" w:hAnsi="Calibri"/>
          <w:sz w:val="20"/>
          <w:szCs w:val="20"/>
        </w:rPr>
        <w:t>chools receiving systematic MRE</w:t>
      </w:r>
      <w:r w:rsidRPr="00D61C8A">
        <w:rPr>
          <w:rFonts w:ascii="Calibri" w:eastAsia="Cambria" w:hAnsi="Calibri"/>
          <w:sz w:val="20"/>
          <w:szCs w:val="20"/>
        </w:rPr>
        <w:t xml:space="preserve"> using a tool similar to the “Risk Education Individual Test” (see Appendix B.2.</w:t>
      </w:r>
      <w:r>
        <w:rPr>
          <w:rFonts w:ascii="Calibri" w:eastAsia="Cambria" w:hAnsi="Calibri"/>
          <w:sz w:val="20"/>
          <w:szCs w:val="20"/>
        </w:rPr>
        <w:t>e</w:t>
      </w:r>
      <w:r w:rsidRPr="00D61C8A">
        <w:rPr>
          <w:rFonts w:ascii="Calibri" w:eastAsia="Cambria" w:hAnsi="Calibri"/>
          <w:sz w:val="20"/>
          <w:szCs w:val="20"/>
        </w:rPr>
        <w:t xml:space="preserve">).  </w:t>
      </w:r>
    </w:p>
    <w:p w:rsidR="00B454FB" w:rsidRPr="00C86EC9" w:rsidRDefault="00B454FB" w:rsidP="00B454FB">
      <w:pPr>
        <w:pStyle w:val="ColorfulList-Accent11"/>
        <w:numPr>
          <w:ilvl w:val="0"/>
          <w:numId w:val="70"/>
        </w:numPr>
        <w:rPr>
          <w:rFonts w:ascii="Calibri" w:eastAsia="Cambria" w:hAnsi="Calibri"/>
          <w:sz w:val="20"/>
          <w:szCs w:val="20"/>
        </w:rPr>
      </w:pPr>
      <w:r w:rsidRPr="00A547E3">
        <w:rPr>
          <w:rFonts w:ascii="Calibri" w:hAnsi="Calibri"/>
          <w:sz w:val="20"/>
          <w:szCs w:val="20"/>
        </w:rPr>
        <w:t xml:space="preserve">Reconsider the utility of certain MRE monitoring activities such as district-level mapping.  If an activity does not provide benefit commensurate with the human and other resources used, decrease or stop the activity.  Time may be better spent on other necessary </w:t>
      </w:r>
      <w:r>
        <w:rPr>
          <w:rFonts w:ascii="Calibri" w:hAnsi="Calibri"/>
          <w:sz w:val="20"/>
          <w:szCs w:val="20"/>
        </w:rPr>
        <w:t xml:space="preserve">MRE </w:t>
      </w:r>
      <w:r w:rsidRPr="00A547E3">
        <w:rPr>
          <w:rFonts w:ascii="Calibri" w:hAnsi="Calibri"/>
          <w:sz w:val="20"/>
          <w:szCs w:val="20"/>
        </w:rPr>
        <w:t>activities</w:t>
      </w:r>
      <w:r>
        <w:rPr>
          <w:rFonts w:ascii="Calibri" w:hAnsi="Calibri"/>
          <w:sz w:val="20"/>
          <w:szCs w:val="20"/>
        </w:rPr>
        <w:t>.</w:t>
      </w:r>
    </w:p>
    <w:p w:rsidR="00B454FB" w:rsidRPr="00D61C8A" w:rsidRDefault="00B454FB" w:rsidP="00B454FB">
      <w:pPr>
        <w:pStyle w:val="ColorfulList-Accent11"/>
        <w:ind w:left="360"/>
        <w:rPr>
          <w:rFonts w:ascii="Calibri" w:eastAsia="Cambria" w:hAnsi="Calibri"/>
          <w:sz w:val="20"/>
          <w:szCs w:val="20"/>
        </w:rPr>
      </w:pPr>
    </w:p>
    <w:p w:rsidR="00B454FB" w:rsidRPr="00D61C8A" w:rsidRDefault="00B454FB" w:rsidP="00B454FB">
      <w:pPr>
        <w:spacing w:line="276" w:lineRule="auto"/>
        <w:rPr>
          <w:rFonts w:ascii="Calibri" w:eastAsia="Cambria" w:hAnsi="Calibri"/>
          <w:b/>
          <w:sz w:val="20"/>
          <w:szCs w:val="20"/>
        </w:rPr>
      </w:pPr>
      <w:r w:rsidRPr="00D61C8A">
        <w:rPr>
          <w:rFonts w:ascii="Calibri" w:eastAsia="Cambria" w:hAnsi="Calibri"/>
          <w:b/>
          <w:sz w:val="20"/>
          <w:szCs w:val="20"/>
        </w:rPr>
        <w:t xml:space="preserve">6) </w:t>
      </w:r>
      <w:r>
        <w:rPr>
          <w:rFonts w:ascii="Calibri" w:eastAsia="Cambria" w:hAnsi="Calibri"/>
          <w:b/>
          <w:sz w:val="20"/>
          <w:szCs w:val="20"/>
        </w:rPr>
        <w:t>En</w:t>
      </w:r>
      <w:r w:rsidRPr="00D61C8A">
        <w:rPr>
          <w:rFonts w:ascii="Calibri" w:eastAsia="Cambria" w:hAnsi="Calibri"/>
          <w:b/>
          <w:sz w:val="20"/>
          <w:szCs w:val="20"/>
        </w:rPr>
        <w:t>sure that targeting is carried out appropriately</w:t>
      </w:r>
    </w:p>
    <w:p w:rsidR="00B454FB" w:rsidRPr="00D61C8A" w:rsidRDefault="00B454FB" w:rsidP="00B454FB">
      <w:pPr>
        <w:pStyle w:val="ColorfulList-Accent11"/>
        <w:numPr>
          <w:ilvl w:val="0"/>
          <w:numId w:val="71"/>
        </w:numPr>
        <w:spacing w:line="276" w:lineRule="auto"/>
        <w:rPr>
          <w:rFonts w:ascii="Calibri" w:eastAsia="Cambria" w:hAnsi="Calibri"/>
          <w:sz w:val="20"/>
          <w:szCs w:val="20"/>
        </w:rPr>
      </w:pPr>
      <w:r>
        <w:rPr>
          <w:rFonts w:ascii="Calibri" w:eastAsia="Cambria" w:hAnsi="Calibri"/>
          <w:sz w:val="20"/>
          <w:szCs w:val="20"/>
        </w:rPr>
        <w:t>En</w:t>
      </w:r>
      <w:r w:rsidRPr="00D61C8A">
        <w:rPr>
          <w:rFonts w:ascii="Calibri" w:eastAsia="Cambria" w:hAnsi="Calibri"/>
          <w:sz w:val="20"/>
          <w:szCs w:val="20"/>
        </w:rPr>
        <w:t>sure that all emergency, regular and systematic MRE activities are targeted according to a specific and rigorous set of criteria, including VAE injury surveillance system data</w:t>
      </w:r>
      <w:r w:rsidR="000F38EC">
        <w:rPr>
          <w:rFonts w:ascii="Calibri" w:eastAsia="Cambria" w:hAnsi="Calibri"/>
          <w:sz w:val="20"/>
          <w:szCs w:val="20"/>
        </w:rPr>
        <w:t>,</w:t>
      </w:r>
      <w:r w:rsidRPr="00D61C8A">
        <w:rPr>
          <w:rFonts w:ascii="Calibri" w:eastAsia="Cambria" w:hAnsi="Calibri"/>
          <w:sz w:val="20"/>
          <w:szCs w:val="20"/>
        </w:rPr>
        <w:t xml:space="preserve"> recent VAE incidents</w:t>
      </w:r>
      <w:r w:rsidR="0069131C">
        <w:rPr>
          <w:rFonts w:ascii="Calibri" w:eastAsia="Cambria" w:hAnsi="Calibri"/>
          <w:sz w:val="20"/>
          <w:szCs w:val="20"/>
        </w:rPr>
        <w:t>,</w:t>
      </w:r>
      <w:r w:rsidRPr="00D61C8A">
        <w:rPr>
          <w:rFonts w:ascii="Calibri" w:eastAsia="Cambria" w:hAnsi="Calibri"/>
          <w:sz w:val="20"/>
          <w:szCs w:val="20"/>
        </w:rPr>
        <w:t xml:space="preserve"> situations of obvious risk</w:t>
      </w:r>
      <w:r w:rsidR="0069131C">
        <w:rPr>
          <w:rFonts w:ascii="Calibri" w:eastAsia="Cambria" w:hAnsi="Calibri"/>
          <w:sz w:val="20"/>
          <w:szCs w:val="20"/>
        </w:rPr>
        <w:t>,</w:t>
      </w:r>
      <w:r w:rsidRPr="00D61C8A">
        <w:rPr>
          <w:rFonts w:ascii="Calibri" w:eastAsia="Cambria" w:hAnsi="Calibri"/>
          <w:sz w:val="20"/>
          <w:szCs w:val="20"/>
        </w:rPr>
        <w:t xml:space="preserve"> and community needs.  UNICEF may wish to undertake a global review to assess priorities and gaps in service provision.</w:t>
      </w:r>
    </w:p>
    <w:p w:rsidR="00B454FB" w:rsidRPr="00D61C8A" w:rsidRDefault="00B454FB" w:rsidP="00B454FB">
      <w:pPr>
        <w:pStyle w:val="ColorfulList-Accent11"/>
        <w:numPr>
          <w:ilvl w:val="0"/>
          <w:numId w:val="71"/>
        </w:numPr>
        <w:rPr>
          <w:rFonts w:ascii="Calibri" w:hAnsi="Calibri"/>
          <w:sz w:val="20"/>
          <w:szCs w:val="20"/>
        </w:rPr>
      </w:pPr>
      <w:r w:rsidRPr="00D61C8A">
        <w:rPr>
          <w:rFonts w:ascii="Calibri" w:eastAsia="Cambria" w:hAnsi="Calibri"/>
          <w:sz w:val="20"/>
          <w:szCs w:val="20"/>
        </w:rPr>
        <w:t>Provide police</w:t>
      </w:r>
      <w:r>
        <w:rPr>
          <w:rFonts w:ascii="Calibri" w:eastAsia="Cambria" w:hAnsi="Calibri"/>
          <w:sz w:val="20"/>
          <w:szCs w:val="20"/>
        </w:rPr>
        <w:t xml:space="preserve"> constables (as well as representatives of the NA, APF and Maoists)</w:t>
      </w:r>
      <w:r w:rsidRPr="00D61C8A">
        <w:rPr>
          <w:rFonts w:ascii="Calibri" w:eastAsia="Cambria" w:hAnsi="Calibri"/>
          <w:sz w:val="20"/>
          <w:szCs w:val="20"/>
        </w:rPr>
        <w:t xml:space="preserve"> with MRE materials and focal point training sessions, enabling them to conduct their own MRE activities.</w:t>
      </w:r>
    </w:p>
    <w:p w:rsidR="00B454FB" w:rsidRPr="00D61C8A" w:rsidRDefault="00B454FB" w:rsidP="00B454FB">
      <w:pPr>
        <w:pStyle w:val="ColorfulList-Accent11"/>
        <w:numPr>
          <w:ilvl w:val="0"/>
          <w:numId w:val="71"/>
        </w:numPr>
        <w:spacing w:line="276" w:lineRule="auto"/>
        <w:rPr>
          <w:rFonts w:ascii="Calibri" w:eastAsia="Cambria" w:hAnsi="Calibri"/>
          <w:sz w:val="20"/>
          <w:szCs w:val="20"/>
        </w:rPr>
      </w:pPr>
      <w:r w:rsidRPr="00D61C8A">
        <w:rPr>
          <w:rFonts w:ascii="Calibri" w:eastAsia="Cambria" w:hAnsi="Calibri"/>
          <w:sz w:val="20"/>
          <w:szCs w:val="20"/>
        </w:rPr>
        <w:t xml:space="preserve">Reach out to the CPN/M and other Maoist groups at the central, regional, district and local levels.  Framing the issue of ED injury as a child health issue – rather than a political issue - may encourage </w:t>
      </w:r>
      <w:r>
        <w:rPr>
          <w:rFonts w:ascii="Calibri" w:eastAsia="Cambria" w:hAnsi="Calibri"/>
          <w:sz w:val="20"/>
          <w:szCs w:val="20"/>
        </w:rPr>
        <w:t xml:space="preserve">their </w:t>
      </w:r>
      <w:r w:rsidRPr="00D61C8A">
        <w:rPr>
          <w:rFonts w:ascii="Calibri" w:eastAsia="Cambria" w:hAnsi="Calibri"/>
          <w:sz w:val="20"/>
          <w:szCs w:val="20"/>
        </w:rPr>
        <w:t>participation.</w:t>
      </w:r>
    </w:p>
    <w:p w:rsidR="00B454FB" w:rsidRPr="00E55822" w:rsidRDefault="00B454FB" w:rsidP="00B454FB">
      <w:pPr>
        <w:pStyle w:val="ColorfulList-Accent11"/>
        <w:numPr>
          <w:ilvl w:val="0"/>
          <w:numId w:val="71"/>
        </w:numPr>
        <w:rPr>
          <w:rFonts w:ascii="Calibri" w:hAnsi="Calibri"/>
          <w:sz w:val="20"/>
          <w:szCs w:val="20"/>
        </w:rPr>
      </w:pPr>
      <w:r w:rsidRPr="00D61C8A">
        <w:rPr>
          <w:rFonts w:ascii="Calibri" w:eastAsia="Cambria" w:hAnsi="Calibri"/>
          <w:sz w:val="20"/>
          <w:szCs w:val="20"/>
        </w:rPr>
        <w:t>Encourage individuals in ED-affected communities to design some interventions that are executable at the local level.  This may include suggesting local alternatives to high-risk behaviors as mentioned under “Impact” above, or promoting community-based methods of spreading MRE messages.</w:t>
      </w:r>
    </w:p>
    <w:p w:rsidR="00B454FB" w:rsidRPr="00E55822" w:rsidRDefault="00B454FB" w:rsidP="00B454FB">
      <w:pPr>
        <w:pStyle w:val="ColorfulList-Accent11"/>
        <w:numPr>
          <w:ilvl w:val="0"/>
          <w:numId w:val="71"/>
        </w:numPr>
        <w:rPr>
          <w:rFonts w:ascii="Calibri" w:hAnsi="Calibri"/>
          <w:sz w:val="20"/>
          <w:szCs w:val="20"/>
        </w:rPr>
      </w:pPr>
      <w:r w:rsidRPr="00E55822">
        <w:rPr>
          <w:rFonts w:ascii="Calibri" w:hAnsi="Calibri"/>
          <w:sz w:val="20"/>
          <w:szCs w:val="20"/>
        </w:rPr>
        <w:t>Consider disseminating information through saving and credit and/or forest users’ groups, as per the recommendations of the 2007 KAP survey.</w:t>
      </w:r>
    </w:p>
    <w:p w:rsidR="00B454FB" w:rsidRPr="00CC7DBA" w:rsidRDefault="00B454FB" w:rsidP="00B454FB">
      <w:pPr>
        <w:spacing w:line="276" w:lineRule="auto"/>
        <w:rPr>
          <w:rFonts w:ascii="Calibri" w:eastAsia="Cambria" w:hAnsi="Calibri"/>
          <w:b/>
          <w:sz w:val="20"/>
          <w:szCs w:val="20"/>
          <w:highlight w:val="yellow"/>
        </w:rPr>
      </w:pP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spacing w:line="276" w:lineRule="auto"/>
        <w:rPr>
          <w:rFonts w:ascii="Calibri" w:eastAsia="Cambria"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rPr>
          <w:rFonts w:ascii="Calibri" w:hAnsi="Calibri"/>
          <w:sz w:val="20"/>
          <w:szCs w:val="20"/>
        </w:rPr>
      </w:pPr>
    </w:p>
    <w:p w:rsidR="00B454FB" w:rsidRPr="00D61C8A" w:rsidRDefault="00B454FB" w:rsidP="00B454FB">
      <w:pPr>
        <w:spacing w:line="276" w:lineRule="auto"/>
        <w:rPr>
          <w:rFonts w:ascii="Calibri" w:eastAsia="Cambria" w:hAnsi="Calibri"/>
          <w:b/>
          <w:sz w:val="20"/>
          <w:szCs w:val="20"/>
        </w:rPr>
      </w:pPr>
    </w:p>
    <w:p w:rsidR="00B454FB" w:rsidRPr="00D61C8A" w:rsidRDefault="00B454FB" w:rsidP="00B454FB">
      <w:pPr>
        <w:pStyle w:val="Heading1"/>
        <w:numPr>
          <w:ilvl w:val="0"/>
          <w:numId w:val="0"/>
        </w:numPr>
        <w:spacing w:before="0"/>
        <w:rPr>
          <w:rFonts w:ascii="Calibri" w:hAnsi="Calibri"/>
        </w:rPr>
      </w:pPr>
      <w:r>
        <w:rPr>
          <w:rFonts w:ascii="Calibri" w:hAnsi="Calibri"/>
          <w:highlight w:val="lightGray"/>
        </w:rPr>
        <w:br w:type="page"/>
      </w:r>
      <w:r>
        <w:rPr>
          <w:rFonts w:ascii="Calibri" w:hAnsi="Calibri"/>
        </w:rPr>
        <w:lastRenderedPageBreak/>
        <w:t>VII</w:t>
      </w:r>
      <w:r>
        <w:rPr>
          <w:rFonts w:ascii="Calibri" w:hAnsi="Calibri"/>
        </w:rPr>
        <w:tab/>
      </w:r>
      <w:r>
        <w:rPr>
          <w:rFonts w:ascii="Calibri" w:hAnsi="Calibri"/>
        </w:rPr>
        <w:tab/>
      </w:r>
      <w:r w:rsidRPr="00D61C8A">
        <w:rPr>
          <w:rFonts w:ascii="Calibri" w:hAnsi="Calibri"/>
        </w:rPr>
        <w:t>ACKNOWLEDGMENTS</w:t>
      </w:r>
    </w:p>
    <w:p w:rsidR="00B454FB" w:rsidRPr="00D61C8A" w:rsidRDefault="00B454FB" w:rsidP="00B454FB">
      <w:pPr>
        <w:spacing w:line="276" w:lineRule="auto"/>
        <w:rPr>
          <w:rFonts w:ascii="Calibri" w:hAnsi="Calibri"/>
        </w:rPr>
      </w:pPr>
    </w:p>
    <w:p w:rsidR="00B454FB" w:rsidRPr="00D61C8A" w:rsidRDefault="00B454FB" w:rsidP="00B454FB">
      <w:pPr>
        <w:spacing w:line="276" w:lineRule="auto"/>
        <w:rPr>
          <w:rFonts w:ascii="Calibri" w:eastAsia="Cambria" w:hAnsi="Calibri"/>
          <w:sz w:val="22"/>
          <w:szCs w:val="22"/>
        </w:rPr>
      </w:pPr>
      <w:r w:rsidRPr="00D61C8A">
        <w:rPr>
          <w:rFonts w:ascii="Calibri" w:eastAsia="Cambria" w:hAnsi="Calibri"/>
          <w:sz w:val="22"/>
          <w:szCs w:val="22"/>
        </w:rPr>
        <w:t>The evaluation team would like to thank everyone who assisted with the evaluation.  This includes individuals from the following agencies and organizations:</w:t>
      </w: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Armed Police Force</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Ban Landmines Campaign Nepal</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Bureau of Crisis Prevention and Recovery, United Nations Development Programme</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Center for Research on Environment Health and Population Activities</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Child Protection Section, United Nations Children’s Fund Nepal</w:t>
      </w:r>
    </w:p>
    <w:p w:rsidR="00B454FB" w:rsidRPr="00D61C8A" w:rsidRDefault="00B454FB" w:rsidP="00B454FB">
      <w:pPr>
        <w:numPr>
          <w:ilvl w:val="0"/>
          <w:numId w:val="3"/>
        </w:numPr>
        <w:spacing w:line="276" w:lineRule="auto"/>
        <w:contextualSpacing/>
        <w:rPr>
          <w:rFonts w:ascii="Calibri" w:eastAsia="Cambria" w:hAnsi="Calibri"/>
          <w:sz w:val="22"/>
          <w:szCs w:val="22"/>
        </w:rPr>
      </w:pPr>
      <w:r>
        <w:rPr>
          <w:rFonts w:ascii="Calibri" w:eastAsia="Cambria" w:hAnsi="Calibri"/>
          <w:sz w:val="22"/>
          <w:szCs w:val="22"/>
        </w:rPr>
        <w:t>Handicap International Nepal</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Informal Sector Service Centre</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International Committee of the Red Cross Nepal</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International Emergency and Refugee Health Branch, Centers for Disease Control and Prevention</w:t>
      </w:r>
    </w:p>
    <w:p w:rsidR="00B454FB" w:rsidRPr="00192D21"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Kailali District Education Office</w:t>
      </w:r>
    </w:p>
    <w:p w:rsidR="00B454FB" w:rsidRPr="00192D21" w:rsidRDefault="00B454FB" w:rsidP="00B454FB">
      <w:pPr>
        <w:numPr>
          <w:ilvl w:val="0"/>
          <w:numId w:val="3"/>
        </w:numPr>
        <w:spacing w:line="276" w:lineRule="auto"/>
        <w:contextualSpacing/>
        <w:rPr>
          <w:rFonts w:ascii="Calibri" w:eastAsia="Cambria" w:hAnsi="Calibri"/>
          <w:sz w:val="22"/>
          <w:szCs w:val="22"/>
        </w:rPr>
      </w:pPr>
      <w:r w:rsidRPr="00192D21">
        <w:rPr>
          <w:rFonts w:ascii="Calibri" w:eastAsia="Cambria" w:hAnsi="Calibri"/>
          <w:sz w:val="22"/>
          <w:szCs w:val="22"/>
        </w:rPr>
        <w:t>Kalika Secondary School, Kailali District</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 xml:space="preserve">Landmine and Small Arms Team, United </w:t>
      </w:r>
      <w:r>
        <w:rPr>
          <w:rFonts w:ascii="Calibri" w:eastAsia="Cambria" w:hAnsi="Calibri"/>
          <w:sz w:val="22"/>
          <w:szCs w:val="22"/>
        </w:rPr>
        <w:t>Nations Children’s Fund</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Ministry of Peace and Reconstruction</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Monitoring Section, Department of Education</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Nepal National Dalit Society Welfare Organization</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Nepal Police</w:t>
      </w:r>
    </w:p>
    <w:p w:rsidR="00B454FB" w:rsidRPr="00D61C8A" w:rsidRDefault="00B454FB" w:rsidP="00B454FB">
      <w:pPr>
        <w:numPr>
          <w:ilvl w:val="0"/>
          <w:numId w:val="3"/>
        </w:numPr>
        <w:spacing w:line="276" w:lineRule="auto"/>
        <w:contextualSpacing/>
        <w:rPr>
          <w:rFonts w:ascii="Calibri" w:eastAsia="Cambria" w:hAnsi="Calibri"/>
          <w:sz w:val="22"/>
          <w:szCs w:val="22"/>
        </w:rPr>
      </w:pPr>
      <w:r>
        <w:rPr>
          <w:rFonts w:ascii="Calibri" w:eastAsia="Cambria" w:hAnsi="Calibri"/>
          <w:sz w:val="22"/>
          <w:szCs w:val="22"/>
        </w:rPr>
        <w:t>Nepal</w:t>
      </w:r>
      <w:r w:rsidRPr="00D61C8A">
        <w:rPr>
          <w:rFonts w:ascii="Calibri" w:eastAsia="Cambria" w:hAnsi="Calibri"/>
          <w:sz w:val="22"/>
          <w:szCs w:val="22"/>
        </w:rPr>
        <w:t xml:space="preserve"> Red Cross Society</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Nepalese Army</w:t>
      </w:r>
    </w:p>
    <w:p w:rsidR="00B454FB" w:rsidRPr="00D61C8A" w:rsidRDefault="00B454FB" w:rsidP="00B454FB">
      <w:pPr>
        <w:numPr>
          <w:ilvl w:val="0"/>
          <w:numId w:val="3"/>
        </w:numPr>
        <w:spacing w:line="276" w:lineRule="auto"/>
        <w:contextualSpacing/>
        <w:rPr>
          <w:rFonts w:ascii="Calibri" w:eastAsia="Cambria" w:hAnsi="Calibri"/>
          <w:sz w:val="22"/>
          <w:szCs w:val="22"/>
        </w:rPr>
      </w:pPr>
      <w:r w:rsidRPr="00D61C8A">
        <w:rPr>
          <w:rFonts w:ascii="Calibri" w:eastAsia="Cambria" w:hAnsi="Calibri"/>
          <w:sz w:val="22"/>
          <w:szCs w:val="22"/>
        </w:rPr>
        <w:t>United Nations Mine Action Team</w:t>
      </w:r>
      <w:r>
        <w:rPr>
          <w:rFonts w:ascii="Calibri" w:eastAsia="Cambria" w:hAnsi="Calibri"/>
          <w:sz w:val="22"/>
          <w:szCs w:val="22"/>
        </w:rPr>
        <w:t xml:space="preserve"> Nepal</w:t>
      </w: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r w:rsidRPr="00D61C8A">
        <w:rPr>
          <w:rFonts w:ascii="Calibri" w:eastAsia="Cambria" w:hAnsi="Calibri"/>
          <w:sz w:val="22"/>
          <w:szCs w:val="22"/>
        </w:rPr>
        <w:t>…as well as additional members of the Mine Action Joint Working Group and National Mine Action Authority.</w:t>
      </w: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rPr>
          <w:rFonts w:ascii="Calibri" w:eastAsia="Cambria" w:hAnsi="Calibri"/>
          <w:sz w:val="22"/>
          <w:szCs w:val="22"/>
        </w:rPr>
      </w:pPr>
    </w:p>
    <w:p w:rsidR="00B454FB" w:rsidRPr="00D61C8A" w:rsidRDefault="00B454FB" w:rsidP="00B454FB">
      <w:pPr>
        <w:spacing w:line="276" w:lineRule="auto"/>
        <w:jc w:val="center"/>
        <w:rPr>
          <w:rFonts w:ascii="Calibri" w:eastAsia="Cambria" w:hAnsi="Calibri"/>
          <w:sz w:val="22"/>
          <w:szCs w:val="22"/>
        </w:rPr>
      </w:pPr>
      <w:r w:rsidRPr="00D61C8A">
        <w:rPr>
          <w:rFonts w:ascii="Calibri" w:eastAsia="Cambria" w:hAnsi="Calibri"/>
          <w:sz w:val="22"/>
          <w:szCs w:val="22"/>
        </w:rPr>
        <w:t xml:space="preserve">Special thanks to </w:t>
      </w:r>
      <w:r w:rsidRPr="005C3C20">
        <w:rPr>
          <w:rFonts w:ascii="Calibri" w:eastAsia="Cambria" w:hAnsi="Calibri"/>
          <w:sz w:val="22"/>
          <w:szCs w:val="22"/>
        </w:rPr>
        <w:t>Hugues Laurenge</w:t>
      </w:r>
      <w:r>
        <w:rPr>
          <w:rFonts w:ascii="Calibri" w:eastAsia="Cambria" w:hAnsi="Calibri"/>
          <w:sz w:val="22"/>
          <w:szCs w:val="22"/>
        </w:rPr>
        <w:t xml:space="preserve">, </w:t>
      </w:r>
      <w:r w:rsidRPr="00D61C8A">
        <w:rPr>
          <w:rFonts w:ascii="Calibri" w:eastAsia="Cambria" w:hAnsi="Calibri"/>
          <w:sz w:val="22"/>
          <w:szCs w:val="22"/>
        </w:rPr>
        <w:t>Danee Luhar, Bhushan Shrestha and Krishna Prasad Subedi.</w:t>
      </w:r>
    </w:p>
    <w:p w:rsidR="00B454FB" w:rsidRPr="00D61C8A" w:rsidRDefault="00B454FB" w:rsidP="00B454FB">
      <w:pPr>
        <w:spacing w:line="276" w:lineRule="auto"/>
        <w:rPr>
          <w:rFonts w:ascii="Calibri" w:hAnsi="Calibri"/>
        </w:rPr>
      </w:pPr>
      <w:r w:rsidRPr="00D61C8A">
        <w:rPr>
          <w:rFonts w:ascii="Calibri" w:hAnsi="Calibri"/>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VIII</w:t>
      </w:r>
      <w:r>
        <w:rPr>
          <w:rFonts w:ascii="Calibri" w:hAnsi="Calibri"/>
        </w:rPr>
        <w:tab/>
      </w:r>
      <w:r>
        <w:rPr>
          <w:rFonts w:ascii="Calibri" w:hAnsi="Calibri"/>
        </w:rPr>
        <w:tab/>
      </w:r>
      <w:r w:rsidRPr="00D61C8A">
        <w:rPr>
          <w:rFonts w:ascii="Calibri" w:hAnsi="Calibri"/>
        </w:rPr>
        <w:t>REFERENCES</w:t>
      </w:r>
    </w:p>
    <w:p w:rsidR="00B454FB" w:rsidRDefault="00B454FB" w:rsidP="00B454FB">
      <w:pPr>
        <w:spacing w:line="276" w:lineRule="auto"/>
        <w:rPr>
          <w:rFonts w:ascii="Calibri" w:hAnsi="Calibri"/>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Ban Landmines Campaign Nepal (10 November 2009).  </w:t>
      </w:r>
      <w:r w:rsidRPr="00891EE6">
        <w:rPr>
          <w:rFonts w:ascii="Calibri" w:hAnsi="Calibri"/>
          <w:i/>
          <w:sz w:val="20"/>
          <w:szCs w:val="20"/>
        </w:rPr>
        <w:t>Meeting with Coordinator and Administrative and Technical Officer</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British Broadcasting Corporation (4 August 2010).  </w:t>
      </w:r>
      <w:r w:rsidRPr="00891EE6">
        <w:rPr>
          <w:rFonts w:ascii="Calibri" w:hAnsi="Calibri"/>
          <w:i/>
          <w:sz w:val="20"/>
          <w:szCs w:val="20"/>
        </w:rPr>
        <w:t>Nepal country profile</w:t>
      </w:r>
      <w:r w:rsidRPr="00745DE7">
        <w:rPr>
          <w:rFonts w:ascii="Calibri" w:hAnsi="Calibri"/>
          <w:sz w:val="20"/>
          <w:szCs w:val="20"/>
        </w:rPr>
        <w:t xml:space="preserve">.  Retrieved 8 August 2010 from </w:t>
      </w:r>
      <w:hyperlink r:id="rId25" w:history="1">
        <w:r w:rsidRPr="00745DE7">
          <w:rPr>
            <w:rStyle w:val="Hyperlink"/>
            <w:rFonts w:ascii="Calibri" w:hAnsi="Calibri"/>
            <w:sz w:val="20"/>
            <w:szCs w:val="20"/>
          </w:rPr>
          <w:t>http://news.bbc.co.uk/2/hi/south_asia/country_profiles/1166502.stm</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E22DE7" w:rsidRDefault="00B454FB" w:rsidP="00B454FB">
      <w:pPr>
        <w:rPr>
          <w:rFonts w:ascii="Calibri" w:hAnsi="Calibri"/>
          <w:sz w:val="20"/>
          <w:szCs w:val="20"/>
        </w:rPr>
      </w:pPr>
      <w:r w:rsidRPr="00745DE7">
        <w:rPr>
          <w:rFonts w:ascii="Calibri" w:hAnsi="Calibri"/>
          <w:sz w:val="20"/>
          <w:szCs w:val="20"/>
        </w:rPr>
        <w:t xml:space="preserve">British Broadcasting Corporation (4 August 2010).  </w:t>
      </w:r>
      <w:r w:rsidRPr="00891EE6">
        <w:rPr>
          <w:rFonts w:ascii="Calibri" w:hAnsi="Calibri"/>
          <w:i/>
          <w:sz w:val="20"/>
          <w:szCs w:val="20"/>
        </w:rPr>
        <w:t>Timeline: Nepal.  A chronology of key events</w:t>
      </w:r>
      <w:r w:rsidRPr="00745DE7">
        <w:rPr>
          <w:rFonts w:ascii="Calibri" w:hAnsi="Calibri"/>
          <w:sz w:val="20"/>
          <w:szCs w:val="20"/>
        </w:rPr>
        <w:t xml:space="preserve">.  Retrieved 8 August 2010 from </w:t>
      </w:r>
      <w:hyperlink r:id="rId26" w:history="1">
        <w:r w:rsidRPr="00E22DE7">
          <w:rPr>
            <w:rStyle w:val="Hyperlink"/>
            <w:rFonts w:ascii="Calibri" w:hAnsi="Calibri"/>
            <w:sz w:val="20"/>
            <w:szCs w:val="20"/>
          </w:rPr>
          <w:t>http://news.bbc.co.uk/2/hi/south_asia/country_profiles/1166516.stm</w:t>
        </w:r>
      </w:hyperlink>
      <w:r w:rsidRPr="00E22DE7">
        <w:rPr>
          <w:rFonts w:ascii="Calibri" w:hAnsi="Calibri"/>
          <w:sz w:val="20"/>
          <w:szCs w:val="20"/>
        </w:rPr>
        <w:t>.</w:t>
      </w:r>
    </w:p>
    <w:p w:rsidR="00B454FB" w:rsidRPr="00E22DE7" w:rsidRDefault="00B454FB" w:rsidP="00B454FB">
      <w:pPr>
        <w:rPr>
          <w:rFonts w:ascii="Calibri" w:hAnsi="Calibri"/>
          <w:sz w:val="20"/>
          <w:szCs w:val="20"/>
        </w:rPr>
      </w:pPr>
    </w:p>
    <w:p w:rsidR="00B454FB" w:rsidRPr="00E22DE7" w:rsidRDefault="00B454FB" w:rsidP="00B454FB">
      <w:pPr>
        <w:rPr>
          <w:rFonts w:ascii="Calibri" w:hAnsi="Calibri"/>
          <w:sz w:val="20"/>
          <w:szCs w:val="20"/>
        </w:rPr>
      </w:pPr>
      <w:r w:rsidRPr="00E22DE7">
        <w:rPr>
          <w:rFonts w:ascii="Calibri" w:hAnsi="Calibri"/>
          <w:sz w:val="20"/>
          <w:szCs w:val="20"/>
        </w:rPr>
        <w:t xml:space="preserve">Center for Research on Environment Health and Population Activities (February 2008).  </w:t>
      </w:r>
      <w:r w:rsidRPr="00891EE6">
        <w:rPr>
          <w:rFonts w:ascii="Calibri" w:hAnsi="Calibri"/>
          <w:i/>
          <w:sz w:val="20"/>
          <w:szCs w:val="20"/>
        </w:rPr>
        <w:t>Knowledge attitude and practice (KAP) survey on improvised explosive devices (IED), landmines and explosive remnants of war (ERW)</w:t>
      </w:r>
      <w:r w:rsidRPr="00E22DE7">
        <w:rPr>
          <w:rFonts w:ascii="Calibri" w:hAnsi="Calibri"/>
          <w:sz w:val="20"/>
          <w:szCs w:val="20"/>
        </w:rPr>
        <w:t>.</w:t>
      </w:r>
    </w:p>
    <w:p w:rsidR="00B454FB" w:rsidRPr="00E22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E22DE7">
        <w:rPr>
          <w:rFonts w:ascii="Calibri" w:hAnsi="Calibri"/>
          <w:sz w:val="20"/>
          <w:szCs w:val="20"/>
        </w:rPr>
        <w:t xml:space="preserve">Centers for Disease Control and Prevention (27 July 2001).  </w:t>
      </w:r>
      <w:r w:rsidRPr="00E22DE7">
        <w:rPr>
          <w:rFonts w:ascii="Calibri" w:hAnsi="Calibri" w:cs="Arial"/>
          <w:color w:val="000000"/>
          <w:sz w:val="20"/>
          <w:szCs w:val="20"/>
        </w:rPr>
        <w:t xml:space="preserve">Morbidity and Mortality Weekly Report, 50(RR13): 1-35.  </w:t>
      </w:r>
      <w:r w:rsidRPr="00891EE6">
        <w:rPr>
          <w:rFonts w:ascii="Calibri" w:hAnsi="Calibri"/>
          <w:i/>
          <w:sz w:val="20"/>
          <w:szCs w:val="20"/>
        </w:rPr>
        <w:t>Updated guidelines for evaluating public health surveillance systems: recommendations from the Guidelines Working Group</w:t>
      </w:r>
      <w:r w:rsidRPr="00745DE7">
        <w:rPr>
          <w:rFonts w:ascii="Calibri" w:hAnsi="Calibri"/>
          <w:sz w:val="20"/>
          <w:szCs w:val="20"/>
        </w:rPr>
        <w:t xml:space="preserve">. Retrieved 8 August 2010 from </w:t>
      </w:r>
      <w:hyperlink r:id="rId27" w:history="1">
        <w:r w:rsidRPr="00745DE7">
          <w:rPr>
            <w:rStyle w:val="Hyperlink"/>
            <w:rFonts w:ascii="Calibri" w:hAnsi="Calibri"/>
            <w:sz w:val="20"/>
            <w:szCs w:val="20"/>
          </w:rPr>
          <w:t>http://www.cdc.gov/mmwr/preview/mmwrhtml/rr5013a1.htm</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Central Bureau of Statistics (2001).  </w:t>
      </w:r>
      <w:r w:rsidRPr="00891EE6">
        <w:rPr>
          <w:rFonts w:ascii="Calibri" w:hAnsi="Calibri"/>
          <w:i/>
          <w:sz w:val="20"/>
          <w:szCs w:val="20"/>
        </w:rPr>
        <w:t>National census of Nepal 2001</w:t>
      </w:r>
      <w:r w:rsidRPr="00745DE7">
        <w:rPr>
          <w:rFonts w:ascii="Calibri" w:hAnsi="Calibri"/>
          <w:sz w:val="20"/>
          <w:szCs w:val="20"/>
        </w:rPr>
        <w:t xml:space="preserve">.  Retrieved 8 August 2010 from </w:t>
      </w:r>
      <w:hyperlink r:id="rId28" w:history="1">
        <w:r w:rsidRPr="00745DE7">
          <w:rPr>
            <w:rStyle w:val="Hyperlink"/>
            <w:rFonts w:ascii="Calibri" w:hAnsi="Calibri"/>
            <w:sz w:val="20"/>
            <w:szCs w:val="20"/>
          </w:rPr>
          <w:t>http://www.cbs.gov.np/available_publications.php</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Central Intelligence Agency (3 August 2010).  </w:t>
      </w:r>
      <w:r w:rsidRPr="00891EE6">
        <w:rPr>
          <w:rFonts w:ascii="Calibri" w:hAnsi="Calibri"/>
          <w:i/>
          <w:sz w:val="20"/>
          <w:szCs w:val="20"/>
        </w:rPr>
        <w:t>The world factbook: Nepal</w:t>
      </w:r>
      <w:r w:rsidRPr="00745DE7">
        <w:rPr>
          <w:rFonts w:ascii="Calibri" w:hAnsi="Calibri"/>
          <w:sz w:val="20"/>
          <w:szCs w:val="20"/>
        </w:rPr>
        <w:t xml:space="preserve">.  Retrieved 8 August 2010 from </w:t>
      </w:r>
      <w:hyperlink r:id="rId29" w:history="1">
        <w:r w:rsidRPr="00745DE7">
          <w:rPr>
            <w:rStyle w:val="Hyperlink"/>
            <w:rFonts w:ascii="Calibri" w:hAnsi="Calibri"/>
            <w:sz w:val="20"/>
            <w:szCs w:val="20"/>
          </w:rPr>
          <w:t>https://www.cia.gov/library/publications/the-world-factbook/geos/np.html</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Department of Education (12 November 2009).  </w:t>
      </w:r>
      <w:r w:rsidRPr="00891EE6">
        <w:rPr>
          <w:rFonts w:ascii="Calibri" w:hAnsi="Calibri"/>
          <w:i/>
          <w:sz w:val="20"/>
          <w:szCs w:val="20"/>
        </w:rPr>
        <w:t>Meeting with Planning Officer for Budget Section and Focal Point for Mine Risk Education, Head of Monitoring Section and Section Officer for Planning and Focal Point for UNICEF Education Activities</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Electronic Mine Information Network (2009).  </w:t>
      </w:r>
      <w:r w:rsidRPr="00891EE6">
        <w:rPr>
          <w:rFonts w:ascii="Calibri" w:hAnsi="Calibri"/>
          <w:i/>
          <w:sz w:val="20"/>
          <w:szCs w:val="20"/>
        </w:rPr>
        <w:t>Nepal</w:t>
      </w:r>
      <w:r w:rsidRPr="00745DE7">
        <w:rPr>
          <w:rFonts w:ascii="Calibri" w:hAnsi="Calibri"/>
          <w:sz w:val="20"/>
          <w:szCs w:val="20"/>
        </w:rPr>
        <w:t xml:space="preserve">.  Retrieved 8 August 2010 from </w:t>
      </w:r>
      <w:hyperlink r:id="rId30" w:history="1">
        <w:r w:rsidRPr="00745DE7">
          <w:rPr>
            <w:rStyle w:val="Hyperlink"/>
            <w:rFonts w:ascii="Calibri" w:hAnsi="Calibri"/>
            <w:sz w:val="20"/>
            <w:szCs w:val="20"/>
          </w:rPr>
          <w:t>http://www.mineaction.org/country.asp?c=129</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Electronic Mine Information Network (June 2010).  </w:t>
      </w:r>
      <w:r w:rsidRPr="00891EE6">
        <w:rPr>
          <w:rFonts w:ascii="Calibri" w:hAnsi="Calibri"/>
          <w:i/>
          <w:sz w:val="20"/>
          <w:szCs w:val="20"/>
        </w:rPr>
        <w:t>Mine risk education</w:t>
      </w:r>
      <w:r w:rsidRPr="00745DE7">
        <w:rPr>
          <w:rFonts w:ascii="Calibri" w:hAnsi="Calibri"/>
          <w:sz w:val="20"/>
          <w:szCs w:val="20"/>
        </w:rPr>
        <w:t xml:space="preserve">.  Retrieved 8 August 2010 from </w:t>
      </w:r>
      <w:hyperlink r:id="rId31" w:history="1">
        <w:r w:rsidRPr="00745DE7">
          <w:rPr>
            <w:rStyle w:val="Hyperlink"/>
            <w:rFonts w:ascii="Calibri" w:hAnsi="Calibri"/>
            <w:sz w:val="20"/>
            <w:szCs w:val="20"/>
          </w:rPr>
          <w:t>http://www.mineaction.org/overview.asp?o=17</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Handicap International (n.d.).  </w:t>
      </w:r>
      <w:r w:rsidRPr="00891EE6">
        <w:rPr>
          <w:rFonts w:ascii="Calibri" w:hAnsi="Calibri"/>
          <w:i/>
          <w:sz w:val="20"/>
          <w:szCs w:val="20"/>
        </w:rPr>
        <w:t>In the US</w:t>
      </w:r>
      <w:r w:rsidRPr="00745DE7">
        <w:rPr>
          <w:rFonts w:ascii="Calibri" w:hAnsi="Calibri"/>
          <w:sz w:val="20"/>
          <w:szCs w:val="20"/>
        </w:rPr>
        <w:t xml:space="preserve">.  Retrieved 8 August 2010 from </w:t>
      </w:r>
      <w:hyperlink r:id="rId32" w:history="1">
        <w:r w:rsidRPr="00745DE7">
          <w:rPr>
            <w:rStyle w:val="Hyperlink"/>
            <w:rFonts w:ascii="Calibri" w:hAnsi="Calibri"/>
            <w:sz w:val="20"/>
            <w:szCs w:val="20"/>
          </w:rPr>
          <w:t>http://www.handicap-international.us/in-the-us/</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Handicap International (10 November 2009).  </w:t>
      </w:r>
      <w:r w:rsidRPr="00891EE6">
        <w:rPr>
          <w:rFonts w:ascii="Calibri" w:hAnsi="Calibri"/>
          <w:i/>
          <w:sz w:val="20"/>
          <w:szCs w:val="20"/>
        </w:rPr>
        <w:t>Meeting with Deputy Country Director, Surgery Project Manager and Disability Coordinator</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Handicap International (2010).  </w:t>
      </w:r>
      <w:r w:rsidRPr="00891EE6">
        <w:rPr>
          <w:rFonts w:ascii="Calibri" w:hAnsi="Calibri"/>
          <w:i/>
          <w:sz w:val="20"/>
          <w:szCs w:val="20"/>
        </w:rPr>
        <w:t>About us</w:t>
      </w:r>
      <w:r w:rsidRPr="00745DE7">
        <w:rPr>
          <w:rFonts w:ascii="Calibri" w:hAnsi="Calibri"/>
          <w:sz w:val="20"/>
          <w:szCs w:val="20"/>
        </w:rPr>
        <w:t xml:space="preserve">.  Retrieved 8 August 2010 from </w:t>
      </w:r>
      <w:hyperlink r:id="rId33" w:history="1">
        <w:r w:rsidRPr="00745DE7">
          <w:rPr>
            <w:rStyle w:val="Hyperlink"/>
            <w:rFonts w:ascii="Calibri" w:hAnsi="Calibri"/>
            <w:sz w:val="20"/>
            <w:szCs w:val="20"/>
          </w:rPr>
          <w:t>http://www.handicap-international.org.uk/about_us/index</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Handicap International (4 June 2010).  </w:t>
      </w:r>
      <w:r w:rsidRPr="00891EE6">
        <w:rPr>
          <w:rFonts w:ascii="Calibri" w:hAnsi="Calibri"/>
          <w:i/>
          <w:sz w:val="20"/>
          <w:szCs w:val="20"/>
        </w:rPr>
        <w:t>Personal communication with Disability Coordinator</w:t>
      </w:r>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(2006).  </w:t>
      </w:r>
      <w:r w:rsidRPr="00891EE6">
        <w:rPr>
          <w:rFonts w:ascii="Calibri" w:hAnsi="Calibri"/>
          <w:i/>
        </w:rPr>
        <w:t>INSEC media surveillance on IED/UXO/mine incidents: report on civilian casualties of unintentional explosions, Nepal – January to May 2006</w:t>
      </w:r>
      <w:r w:rsidRPr="00745DE7">
        <w:rPr>
          <w:rFonts w:ascii="Calibri" w:hAnsi="Calibri"/>
        </w:rPr>
        <w:t xml:space="preserve">.  Retrieved 5 November 2009 from </w:t>
      </w:r>
      <w:hyperlink r:id="rId34" w:history="1">
        <w:r w:rsidRPr="00745DE7">
          <w:rPr>
            <w:rStyle w:val="Hyperlink"/>
            <w:rFonts w:ascii="Calibri" w:hAnsi="Calibri"/>
          </w:rPr>
          <w:t>http://www.inseconline.org/pics/1244450644.pdf</w:t>
        </w:r>
      </w:hyperlink>
      <w:r w:rsidRPr="00745DE7">
        <w:rPr>
          <w:rFonts w:ascii="Calibri" w:hAnsi="Calibri"/>
        </w:rPr>
        <w:t xml:space="preserve">. </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(2006).  </w:t>
      </w:r>
      <w:r w:rsidRPr="00891EE6">
        <w:rPr>
          <w:rFonts w:ascii="Calibri" w:hAnsi="Calibri"/>
          <w:i/>
        </w:rPr>
        <w:t>INSEC surveillance system on IED/UXO/mine incidents: monthly report on civilian casualties of unintentional explosions, Nepal – June 2006</w:t>
      </w:r>
      <w:r w:rsidRPr="00745DE7">
        <w:rPr>
          <w:rFonts w:ascii="Calibri" w:hAnsi="Calibri"/>
        </w:rPr>
        <w:t xml:space="preserve">.  Retrieved 5 November 2009 from </w:t>
      </w:r>
      <w:hyperlink r:id="rId35" w:history="1">
        <w:r w:rsidRPr="00745DE7">
          <w:rPr>
            <w:rStyle w:val="Hyperlink"/>
            <w:rFonts w:ascii="Calibri" w:hAnsi="Calibri"/>
          </w:rPr>
          <w:t>http://www.inseconline.org/pics/1244450908.pdf</w:t>
        </w:r>
      </w:hyperlink>
      <w:r w:rsidRPr="00745DE7">
        <w:rPr>
          <w:rFonts w:ascii="Calibri" w:hAnsi="Calibri"/>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(2006).  </w:t>
      </w:r>
      <w:r w:rsidRPr="00891EE6">
        <w:rPr>
          <w:rFonts w:ascii="Calibri" w:hAnsi="Calibri"/>
          <w:i/>
        </w:rPr>
        <w:t>INSEC surveillance system on explosive device incidents: bimonthly report on civilian casualties of unintentional explosions, July/August 2006</w:t>
      </w:r>
      <w:r w:rsidRPr="00745DE7">
        <w:rPr>
          <w:rFonts w:ascii="Calibri" w:hAnsi="Calibri"/>
        </w:rPr>
        <w:t xml:space="preserve">.  Retrieved 5 November 2009 from </w:t>
      </w:r>
      <w:hyperlink r:id="rId36" w:history="1">
        <w:r w:rsidRPr="00745DE7">
          <w:rPr>
            <w:rStyle w:val="Hyperlink"/>
            <w:rFonts w:ascii="Calibri" w:hAnsi="Calibri"/>
          </w:rPr>
          <w:t>http://www.inseconline.org/pics/1244451007.pdf</w:t>
        </w:r>
      </w:hyperlink>
      <w:r w:rsidRPr="00745DE7">
        <w:rPr>
          <w:rFonts w:ascii="Calibri" w:hAnsi="Calibri"/>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(2006).  </w:t>
      </w:r>
      <w:r w:rsidRPr="00891EE6">
        <w:rPr>
          <w:rFonts w:ascii="Calibri" w:hAnsi="Calibri"/>
          <w:i/>
        </w:rPr>
        <w:t>INSEC surveillance system on explosive device incidents: bimonthly report on civilian casualties of unintentional explosions, September/October 2006</w:t>
      </w:r>
      <w:r w:rsidRPr="00745DE7">
        <w:rPr>
          <w:rFonts w:ascii="Calibri" w:hAnsi="Calibri"/>
        </w:rPr>
        <w:t xml:space="preserve">.  Retrieved 5 November 2009 from </w:t>
      </w:r>
      <w:hyperlink r:id="rId37" w:history="1">
        <w:r w:rsidRPr="00745DE7">
          <w:rPr>
            <w:rStyle w:val="Hyperlink"/>
            <w:rFonts w:ascii="Calibri" w:hAnsi="Calibri"/>
          </w:rPr>
          <w:t>http://www.inseconline.org/pics/1244451007.pdf</w:t>
        </w:r>
      </w:hyperlink>
      <w:r w:rsidRPr="00745DE7">
        <w:rPr>
          <w:rFonts w:ascii="Calibri" w:hAnsi="Calibri"/>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Informal Sector Service Center (December 2006).  </w:t>
      </w:r>
      <w:r w:rsidRPr="00891EE6">
        <w:rPr>
          <w:rFonts w:ascii="Calibri" w:hAnsi="Calibri"/>
          <w:i/>
          <w:sz w:val="20"/>
          <w:szCs w:val="20"/>
        </w:rPr>
        <w:t>Explosive remnants of war and landmines in Nepal: understanding the threat.  Situation analysis and recommendations for future action</w:t>
      </w:r>
      <w:r w:rsidRPr="00745DE7">
        <w:rPr>
          <w:rFonts w:ascii="Calibri" w:hAnsi="Calibri"/>
          <w:sz w:val="20"/>
          <w:szCs w:val="20"/>
        </w:rPr>
        <w:t xml:space="preserve">.  Retrieved 8 August 2010 from </w:t>
      </w:r>
      <w:hyperlink r:id="rId38" w:history="1">
        <w:r w:rsidRPr="00745DE7">
          <w:rPr>
            <w:rStyle w:val="Hyperlink"/>
            <w:rFonts w:ascii="Calibri" w:hAnsi="Calibri"/>
            <w:sz w:val="20"/>
            <w:szCs w:val="20"/>
          </w:rPr>
          <w:t>http://www.un.org.np/reports//INSEC/2006/Handicap%20Final%20Report.pdf</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(2007).  </w:t>
      </w:r>
      <w:r w:rsidRPr="00891EE6">
        <w:rPr>
          <w:rFonts w:ascii="Calibri" w:hAnsi="Calibri"/>
          <w:i/>
        </w:rPr>
        <w:t>INSEC surveillance system on explosive device incidents: bimonthly report on civilian casualties of unintentional explosions, January/February 2007</w:t>
      </w:r>
      <w:r w:rsidRPr="00745DE7">
        <w:rPr>
          <w:rFonts w:ascii="Calibri" w:hAnsi="Calibri"/>
        </w:rPr>
        <w:t xml:space="preserve">.  Retrieved 5 November 2009 from </w:t>
      </w:r>
      <w:hyperlink r:id="rId39" w:history="1">
        <w:r w:rsidRPr="00745DE7">
          <w:rPr>
            <w:rStyle w:val="Hyperlink"/>
            <w:rFonts w:ascii="Calibri" w:hAnsi="Calibri"/>
          </w:rPr>
          <w:t>http://www.inseconline.org/pics/1244451287.pdf</w:t>
        </w:r>
      </w:hyperlink>
      <w:r w:rsidRPr="00745DE7">
        <w:rPr>
          <w:rFonts w:ascii="Calibri" w:hAnsi="Calibri"/>
        </w:rPr>
        <w:t>.</w:t>
      </w:r>
    </w:p>
    <w:p w:rsidR="00B454FB" w:rsidRPr="00745DE7" w:rsidRDefault="00B454FB" w:rsidP="00B454FB">
      <w:pPr>
        <w:pStyle w:val="EndnoteText"/>
        <w:rPr>
          <w:rFonts w:ascii="Calibri" w:hAnsi="Calibri"/>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(2007).  </w:t>
      </w:r>
      <w:r w:rsidRPr="00891EE6">
        <w:rPr>
          <w:rFonts w:ascii="Calibri" w:hAnsi="Calibri"/>
          <w:i/>
        </w:rPr>
        <w:t>INSEC surveillance system on explosive device incidents: bimonthly report on civilian casualties of unintentional explosions, March/April 2007</w:t>
      </w:r>
      <w:r w:rsidRPr="00745DE7">
        <w:rPr>
          <w:rFonts w:ascii="Calibri" w:hAnsi="Calibri"/>
        </w:rPr>
        <w:t xml:space="preserve">.  Retrieved 5 November 2009 from </w:t>
      </w:r>
      <w:hyperlink r:id="rId40" w:history="1">
        <w:r w:rsidRPr="00745DE7">
          <w:rPr>
            <w:rStyle w:val="Hyperlink"/>
            <w:rFonts w:ascii="Calibri" w:hAnsi="Calibri"/>
          </w:rPr>
          <w:t>http://www.inseconline.org/pics/1244451555.pdf</w:t>
        </w:r>
      </w:hyperlink>
      <w:r w:rsidRPr="00745DE7">
        <w:rPr>
          <w:rFonts w:ascii="Calibri" w:hAnsi="Calibri"/>
        </w:rPr>
        <w:t>.</w:t>
      </w:r>
    </w:p>
    <w:p w:rsidR="00B454FB" w:rsidRPr="00745DE7" w:rsidRDefault="00B454FB" w:rsidP="00B454FB">
      <w:pPr>
        <w:pStyle w:val="EndnoteText"/>
        <w:rPr>
          <w:rFonts w:ascii="Calibri" w:hAnsi="Calibri"/>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(2007).  </w:t>
      </w:r>
      <w:r w:rsidRPr="00891EE6">
        <w:rPr>
          <w:rFonts w:ascii="Calibri" w:hAnsi="Calibri"/>
          <w:i/>
        </w:rPr>
        <w:t>INSEC surveillance system on explosive device incidents: bimonthly report on civilian casualties of unintentional explosions, May/June 2007</w:t>
      </w:r>
      <w:r w:rsidRPr="00745DE7">
        <w:rPr>
          <w:rFonts w:ascii="Calibri" w:hAnsi="Calibri"/>
        </w:rPr>
        <w:t xml:space="preserve">.  Retrieved 5 November 2009 from </w:t>
      </w:r>
      <w:hyperlink r:id="rId41" w:history="1">
        <w:r w:rsidRPr="00745DE7">
          <w:rPr>
            <w:rStyle w:val="Hyperlink"/>
            <w:rFonts w:ascii="Calibri" w:hAnsi="Calibri"/>
          </w:rPr>
          <w:t>http://www.inseconline.org/pics/1244451628.pdf</w:t>
        </w:r>
      </w:hyperlink>
      <w:r w:rsidRPr="00745DE7">
        <w:rPr>
          <w:rFonts w:ascii="Calibri" w:hAnsi="Calibri"/>
        </w:rPr>
        <w:t>.</w:t>
      </w:r>
    </w:p>
    <w:p w:rsidR="00B454FB" w:rsidRPr="00745DE7" w:rsidRDefault="00B454FB" w:rsidP="00B454FB">
      <w:pPr>
        <w:pStyle w:val="EndnoteText"/>
        <w:rPr>
          <w:rFonts w:ascii="Calibri" w:hAnsi="Calibri"/>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(2007).  </w:t>
      </w:r>
      <w:r w:rsidRPr="00891EE6">
        <w:rPr>
          <w:rFonts w:ascii="Calibri" w:hAnsi="Calibri"/>
          <w:i/>
        </w:rPr>
        <w:t>INSEC surveillance system on explosive device incidents: bimonthly report on civilian casualties of unintentional explosions, July/August 2007</w:t>
      </w:r>
      <w:r w:rsidRPr="00745DE7">
        <w:rPr>
          <w:rFonts w:ascii="Calibri" w:hAnsi="Calibri"/>
        </w:rPr>
        <w:t xml:space="preserve">.  Retrieved 5 November 2009 from </w:t>
      </w:r>
      <w:hyperlink r:id="rId42" w:history="1">
        <w:r w:rsidRPr="00745DE7">
          <w:rPr>
            <w:rStyle w:val="Hyperlink"/>
            <w:rFonts w:ascii="Calibri" w:hAnsi="Calibri"/>
          </w:rPr>
          <w:t>http://www.inseconline.org/pics/1244451929.pdf</w:t>
        </w:r>
      </w:hyperlink>
      <w:r w:rsidRPr="00745DE7">
        <w:rPr>
          <w:rFonts w:ascii="Calibri" w:hAnsi="Calibri"/>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(2007).  </w:t>
      </w:r>
      <w:r w:rsidRPr="00891EE6">
        <w:rPr>
          <w:rFonts w:ascii="Calibri" w:hAnsi="Calibri"/>
          <w:i/>
        </w:rPr>
        <w:t>INSEC surveillance system on explosive device incidents: bi-monthly report on civilian casualties of unintentional explosions, November/December 2006</w:t>
      </w:r>
      <w:r w:rsidRPr="00745DE7">
        <w:rPr>
          <w:rFonts w:ascii="Calibri" w:hAnsi="Calibri"/>
        </w:rPr>
        <w:t xml:space="preserve">.  Retrieved 5 November 2009 from </w:t>
      </w:r>
      <w:hyperlink r:id="rId43" w:history="1">
        <w:r w:rsidRPr="00745DE7">
          <w:rPr>
            <w:rStyle w:val="Hyperlink"/>
            <w:rFonts w:ascii="Calibri" w:hAnsi="Calibri"/>
          </w:rPr>
          <w:t>http://www.inseconline.org/pics/1244451031.pdf</w:t>
        </w:r>
      </w:hyperlink>
      <w:r w:rsidRPr="00745DE7">
        <w:rPr>
          <w:rFonts w:ascii="Calibri" w:hAnsi="Calibri"/>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Informal Sector Service Center (2007).  </w:t>
      </w:r>
      <w:r w:rsidRPr="00891EE6">
        <w:rPr>
          <w:rFonts w:ascii="Calibri" w:hAnsi="Calibri"/>
          <w:i/>
          <w:sz w:val="20"/>
          <w:szCs w:val="20"/>
        </w:rPr>
        <w:t>INSEC surveillance on explosive device Incidents: reports on civilian casualties of unintentional explosions, Nepal – January to December 2006</w:t>
      </w:r>
      <w:r w:rsidRPr="00745DE7">
        <w:rPr>
          <w:rFonts w:ascii="Calibri" w:hAnsi="Calibri"/>
          <w:sz w:val="20"/>
          <w:szCs w:val="20"/>
        </w:rPr>
        <w:t xml:space="preserve">.  Retrieved 8 August 2010 from </w:t>
      </w:r>
      <w:hyperlink r:id="rId44" w:history="1">
        <w:r w:rsidRPr="00745DE7">
          <w:rPr>
            <w:rStyle w:val="Hyperlink"/>
            <w:rFonts w:ascii="Calibri" w:hAnsi="Calibri"/>
            <w:sz w:val="20"/>
            <w:szCs w:val="20"/>
          </w:rPr>
          <w:t>http://www.inseconline.org/pics/1244451067.pdf</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rPr>
      </w:pPr>
      <w:r w:rsidRPr="00745DE7">
        <w:rPr>
          <w:rFonts w:ascii="Calibri" w:hAnsi="Calibri"/>
        </w:rPr>
        <w:t xml:space="preserve">Informal Sector Service Center (2008).  </w:t>
      </w:r>
      <w:r w:rsidRPr="00891EE6">
        <w:rPr>
          <w:rFonts w:ascii="Calibri" w:hAnsi="Calibri"/>
          <w:i/>
        </w:rPr>
        <w:t>INSEC surveillance system on explosive device incidents: reports on civilian casualties of unintentional explosions, Nepal – January to December 2007</w:t>
      </w:r>
      <w:r w:rsidRPr="00745DE7">
        <w:rPr>
          <w:rFonts w:ascii="Calibri" w:hAnsi="Calibri"/>
        </w:rPr>
        <w:t xml:space="preserve">.  Retrieved 5 November 2009 from </w:t>
      </w:r>
      <w:hyperlink r:id="rId45" w:history="1">
        <w:r w:rsidRPr="00745DE7">
          <w:rPr>
            <w:rStyle w:val="Hyperlink"/>
            <w:rFonts w:ascii="Calibri" w:hAnsi="Calibri"/>
          </w:rPr>
          <w:t>http://www.inseconline.org/pics/1244452080.pdf</w:t>
        </w:r>
      </w:hyperlink>
      <w:r w:rsidRPr="00745DE7">
        <w:rPr>
          <w:rFonts w:ascii="Calibri" w:hAnsi="Calibri"/>
        </w:rPr>
        <w:t xml:space="preserve">. </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Informal Sector Service Center (2009).  </w:t>
      </w:r>
      <w:r w:rsidRPr="00891EE6">
        <w:rPr>
          <w:rFonts w:ascii="Calibri" w:hAnsi="Calibri"/>
          <w:i/>
          <w:sz w:val="20"/>
          <w:szCs w:val="20"/>
        </w:rPr>
        <w:t>About us</w:t>
      </w:r>
      <w:r w:rsidRPr="00745DE7">
        <w:rPr>
          <w:rFonts w:ascii="Calibri" w:hAnsi="Calibri"/>
          <w:sz w:val="20"/>
          <w:szCs w:val="20"/>
        </w:rPr>
        <w:t xml:space="preserve">.  Retrieved 8 August 2010 from </w:t>
      </w:r>
      <w:hyperlink r:id="rId46" w:history="1">
        <w:r w:rsidRPr="00745DE7">
          <w:rPr>
            <w:rStyle w:val="Hyperlink"/>
            <w:rFonts w:ascii="Calibri" w:hAnsi="Calibri"/>
            <w:sz w:val="20"/>
            <w:szCs w:val="20"/>
          </w:rPr>
          <w:t>http://www.insec.org.np/index.php?type=cms&amp;id=1&amp;lang=en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Informal Sector Service Center (2009).  </w:t>
      </w:r>
      <w:r w:rsidRPr="00891EE6">
        <w:rPr>
          <w:rFonts w:ascii="Calibri" w:hAnsi="Calibri"/>
          <w:i/>
          <w:sz w:val="20"/>
          <w:szCs w:val="20"/>
        </w:rPr>
        <w:t>INSEC core programmes</w:t>
      </w:r>
      <w:r w:rsidRPr="00745DE7">
        <w:rPr>
          <w:rFonts w:ascii="Calibri" w:hAnsi="Calibri"/>
          <w:sz w:val="20"/>
          <w:szCs w:val="20"/>
        </w:rPr>
        <w:t xml:space="preserve">.  Retrieved 8 August 2010 from </w:t>
      </w:r>
      <w:hyperlink r:id="rId47" w:history="1">
        <w:r w:rsidRPr="00745DE7">
          <w:rPr>
            <w:rStyle w:val="Hyperlink"/>
            <w:rFonts w:ascii="Calibri" w:hAnsi="Calibri"/>
            <w:sz w:val="20"/>
            <w:szCs w:val="20"/>
          </w:rPr>
          <w:t>http://www.insec.org.np/index.php?type=reports&amp;id=1&amp;lang=en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Informal Sector Service Center (2009).  </w:t>
      </w:r>
      <w:r w:rsidRPr="00891EE6">
        <w:rPr>
          <w:rFonts w:ascii="Calibri" w:hAnsi="Calibri"/>
          <w:i/>
          <w:sz w:val="20"/>
          <w:szCs w:val="20"/>
        </w:rPr>
        <w:t>INSEC surveillance system on explosive device incidents: report on civilian casualties of victim-activated explosions, Nepal – January to December 2008</w:t>
      </w:r>
      <w:r w:rsidRPr="00745DE7">
        <w:rPr>
          <w:rFonts w:ascii="Calibri" w:hAnsi="Calibri"/>
          <w:sz w:val="20"/>
          <w:szCs w:val="20"/>
        </w:rPr>
        <w:t xml:space="preserve">.  Retrieved 8 August 2010 from </w:t>
      </w:r>
      <w:hyperlink r:id="rId48" w:history="1">
        <w:r w:rsidRPr="00745DE7">
          <w:rPr>
            <w:rStyle w:val="Hyperlink"/>
            <w:rFonts w:ascii="Calibri" w:hAnsi="Calibri"/>
            <w:sz w:val="20"/>
            <w:szCs w:val="20"/>
          </w:rPr>
          <w:t>http://www.inseconline.org/pics/1244452441.pdf</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Informal Sector Service Center (11 November 2009).  </w:t>
      </w:r>
      <w:r w:rsidRPr="00891EE6">
        <w:rPr>
          <w:rFonts w:ascii="Calibri" w:hAnsi="Calibri"/>
          <w:i/>
          <w:sz w:val="20"/>
          <w:szCs w:val="20"/>
        </w:rPr>
        <w:t>Meeting with Executive Director, Head of Human Rights Education Department and Focal Point for Mine Action and Head of Documentation Office</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Informal Sector Service Center (16 November 2009).  </w:t>
      </w:r>
      <w:r w:rsidRPr="00891EE6">
        <w:rPr>
          <w:rFonts w:ascii="Calibri" w:hAnsi="Calibri"/>
          <w:i/>
          <w:sz w:val="20"/>
          <w:szCs w:val="20"/>
        </w:rPr>
        <w:t>Meeting with Far Western Regional Office Regional Coordinator and Documentation Officer</w:t>
      </w:r>
      <w:r w:rsidRPr="00745DE7">
        <w:rPr>
          <w:rFonts w:ascii="Calibri" w:hAnsi="Calibri"/>
          <w:sz w:val="20"/>
          <w:szCs w:val="20"/>
        </w:rPr>
        <w:t>.  Dhangadhi, Kailali District.</w:t>
      </w:r>
    </w:p>
    <w:p w:rsidR="00B454FB" w:rsidRPr="00745DE7" w:rsidRDefault="00B454FB" w:rsidP="00B454FB">
      <w:pPr>
        <w:rPr>
          <w:rFonts w:ascii="Calibri" w:hAnsi="Calibri"/>
          <w:sz w:val="20"/>
          <w:szCs w:val="20"/>
        </w:rPr>
      </w:pPr>
    </w:p>
    <w:p w:rsidR="00B454FB" w:rsidRPr="00745DE7" w:rsidRDefault="00B454FB" w:rsidP="00B454FB">
      <w:pPr>
        <w:pStyle w:val="EndnoteText"/>
        <w:rPr>
          <w:rFonts w:ascii="Calibri" w:hAnsi="Calibri"/>
          <w:i/>
        </w:rPr>
      </w:pPr>
      <w:r w:rsidRPr="00745DE7">
        <w:rPr>
          <w:rFonts w:ascii="Calibri" w:hAnsi="Calibri"/>
        </w:rPr>
        <w:t xml:space="preserve">Informal Sector Service Center (2010).  </w:t>
      </w:r>
      <w:r w:rsidRPr="00891EE6">
        <w:rPr>
          <w:rFonts w:ascii="Calibri" w:hAnsi="Calibri"/>
          <w:i/>
        </w:rPr>
        <w:t>INSEC surveillance system on explosive devices incidents: report on casualties of victim-activated explosions, Nepal, January-December 2009</w:t>
      </w:r>
      <w:r w:rsidRPr="00745DE7">
        <w:rPr>
          <w:rFonts w:ascii="Calibri" w:hAnsi="Calibri"/>
        </w:rPr>
        <w:t>.  Retrieved 29 April 2010 from</w:t>
      </w:r>
      <w:r w:rsidRPr="00745DE7">
        <w:rPr>
          <w:rFonts w:ascii="Calibri" w:hAnsi="Calibri"/>
          <w:i/>
        </w:rPr>
        <w:t xml:space="preserve"> </w:t>
      </w:r>
      <w:hyperlink r:id="rId49" w:history="1">
        <w:r w:rsidRPr="00745DE7">
          <w:rPr>
            <w:rStyle w:val="Hyperlink"/>
            <w:rFonts w:ascii="Calibri" w:hAnsi="Calibri"/>
          </w:rPr>
          <w:t>http://www.inseconline.org/pics/1271926138.pdf</w:t>
        </w:r>
      </w:hyperlink>
      <w:r w:rsidRPr="00745DE7">
        <w:rPr>
          <w:rFonts w:ascii="Calibri" w:hAnsi="Calibri"/>
        </w:rPr>
        <w:t>.</w:t>
      </w:r>
    </w:p>
    <w:p w:rsidR="00B454FB" w:rsidRPr="00467821" w:rsidRDefault="00B454FB" w:rsidP="00B454FB">
      <w:pPr>
        <w:rPr>
          <w:rFonts w:ascii="Calibri" w:hAnsi="Calibri"/>
          <w:sz w:val="20"/>
          <w:szCs w:val="20"/>
        </w:rPr>
      </w:pPr>
    </w:p>
    <w:p w:rsidR="00B454FB" w:rsidRPr="00467821" w:rsidRDefault="00B454FB" w:rsidP="00B454FB">
      <w:pPr>
        <w:spacing w:line="276" w:lineRule="auto"/>
        <w:rPr>
          <w:rFonts w:ascii="Calibri" w:hAnsi="Calibri"/>
          <w:sz w:val="20"/>
          <w:szCs w:val="20"/>
        </w:rPr>
      </w:pPr>
      <w:r w:rsidRPr="00467821">
        <w:rPr>
          <w:rFonts w:ascii="Calibri" w:hAnsi="Calibri"/>
          <w:sz w:val="20"/>
          <w:szCs w:val="20"/>
        </w:rPr>
        <w:t xml:space="preserve">Informal Sector Service Center (22 April 2010).  </w:t>
      </w:r>
      <w:r w:rsidRPr="00891EE6">
        <w:rPr>
          <w:rFonts w:ascii="Calibri" w:hAnsi="Calibri"/>
          <w:i/>
          <w:sz w:val="20"/>
          <w:szCs w:val="20"/>
        </w:rPr>
        <w:t>Personal communication with Head of Human Rights Education Department and Focal Point for Mine Action</w:t>
      </w:r>
      <w:r w:rsidRPr="00467821">
        <w:rPr>
          <w:rFonts w:ascii="Calibri" w:hAnsi="Calibri"/>
          <w:sz w:val="20"/>
          <w:szCs w:val="20"/>
        </w:rPr>
        <w:t>.</w:t>
      </w:r>
    </w:p>
    <w:p w:rsidR="00B454FB" w:rsidRPr="00467821" w:rsidRDefault="00B454FB" w:rsidP="00B454FB">
      <w:pPr>
        <w:spacing w:line="276" w:lineRule="auto"/>
        <w:rPr>
          <w:rFonts w:ascii="Calibri" w:hAnsi="Calibri"/>
          <w:sz w:val="20"/>
          <w:szCs w:val="20"/>
        </w:rPr>
      </w:pPr>
    </w:p>
    <w:p w:rsidR="00B454FB" w:rsidRPr="00467821" w:rsidRDefault="00B454FB" w:rsidP="00B454FB">
      <w:pPr>
        <w:spacing w:line="276" w:lineRule="auto"/>
        <w:rPr>
          <w:rFonts w:ascii="Calibri" w:hAnsi="Calibri"/>
          <w:sz w:val="20"/>
          <w:szCs w:val="20"/>
        </w:rPr>
      </w:pPr>
      <w:r w:rsidRPr="00467821">
        <w:rPr>
          <w:rFonts w:ascii="Calibri" w:hAnsi="Calibri"/>
          <w:sz w:val="20"/>
          <w:szCs w:val="20"/>
        </w:rPr>
        <w:lastRenderedPageBreak/>
        <w:t xml:space="preserve">Informal Sector Service Center (2 April 2010).  </w:t>
      </w:r>
      <w:r w:rsidRPr="00891EE6">
        <w:rPr>
          <w:rFonts w:ascii="Calibri" w:hAnsi="Calibri"/>
          <w:i/>
          <w:sz w:val="20"/>
          <w:szCs w:val="20"/>
        </w:rPr>
        <w:t>New casualties. Victim-activated explosions - 2010.  INSEC update March 31</w:t>
      </w:r>
      <w:r w:rsidRPr="00467821">
        <w:rPr>
          <w:rFonts w:ascii="Calibri" w:hAnsi="Calibri"/>
          <w:sz w:val="20"/>
          <w:szCs w:val="20"/>
        </w:rPr>
        <w:t xml:space="preserve">.  Retrieved April 2010 from </w:t>
      </w:r>
      <w:hyperlink r:id="rId50" w:history="1">
        <w:r w:rsidRPr="00467821">
          <w:rPr>
            <w:rStyle w:val="Hyperlink"/>
            <w:rFonts w:ascii="Calibri" w:hAnsi="Calibri"/>
            <w:sz w:val="20"/>
            <w:szCs w:val="20"/>
          </w:rPr>
          <w:t>http://www.inseconline.org</w:t>
        </w:r>
      </w:hyperlink>
      <w:r w:rsidRPr="00467821">
        <w:rPr>
          <w:rFonts w:ascii="Calibri" w:hAnsi="Calibri"/>
          <w:sz w:val="20"/>
          <w:szCs w:val="20"/>
        </w:rPr>
        <w:t>.</w:t>
      </w:r>
    </w:p>
    <w:p w:rsidR="00B454FB" w:rsidRPr="00467821"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467821">
        <w:rPr>
          <w:rFonts w:ascii="Calibri" w:hAnsi="Calibri"/>
          <w:sz w:val="20"/>
          <w:szCs w:val="20"/>
        </w:rPr>
        <w:t>Informal Sector</w:t>
      </w:r>
      <w:r w:rsidRPr="00745DE7">
        <w:rPr>
          <w:rFonts w:ascii="Calibri" w:hAnsi="Calibri"/>
          <w:sz w:val="20"/>
          <w:szCs w:val="20"/>
        </w:rPr>
        <w:t xml:space="preserve"> Service Center (19 July 2010).  </w:t>
      </w:r>
      <w:r w:rsidRPr="00891EE6">
        <w:rPr>
          <w:rFonts w:ascii="Calibri" w:hAnsi="Calibri"/>
          <w:i/>
          <w:sz w:val="20"/>
          <w:szCs w:val="20"/>
        </w:rPr>
        <w:t>New casualties. Victim-activated explosions - 2010.  INSEC update July 19, 2010</w:t>
      </w:r>
      <w:r w:rsidRPr="00745DE7">
        <w:rPr>
          <w:rFonts w:ascii="Calibri" w:hAnsi="Calibri"/>
          <w:sz w:val="20"/>
          <w:szCs w:val="20"/>
        </w:rPr>
        <w:t xml:space="preserve">.  Retrieved 8 August 2010 from </w:t>
      </w:r>
      <w:hyperlink r:id="rId51" w:history="1">
        <w:r w:rsidRPr="00745DE7">
          <w:rPr>
            <w:rStyle w:val="Hyperlink"/>
            <w:rFonts w:ascii="Calibri" w:hAnsi="Calibri"/>
            <w:sz w:val="20"/>
            <w:szCs w:val="20"/>
          </w:rPr>
          <w:t>http://www.inseconline.org/pics/1279523096.pdf</w:t>
        </w:r>
      </w:hyperlink>
      <w:r w:rsidRPr="00745DE7">
        <w:rPr>
          <w:rFonts w:ascii="Calibri" w:hAnsi="Calibri"/>
          <w:sz w:val="20"/>
          <w:szCs w:val="20"/>
        </w:rPr>
        <w:t xml:space="preserve">. </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(August 2000).  </w:t>
      </w:r>
      <w:r w:rsidRPr="00745DE7">
        <w:rPr>
          <w:rFonts w:ascii="Calibri" w:hAnsi="Calibri"/>
          <w:i/>
          <w:sz w:val="20"/>
          <w:szCs w:val="20"/>
        </w:rPr>
        <w:t>Landmine monitor report 2000: Nepal.</w:t>
      </w:r>
      <w:r w:rsidRPr="00745DE7">
        <w:rPr>
          <w:rFonts w:ascii="Calibri" w:hAnsi="Calibri"/>
          <w:sz w:val="20"/>
          <w:szCs w:val="20"/>
        </w:rPr>
        <w:t xml:space="preserve">  Retrieved 3 November 2009 from </w:t>
      </w:r>
      <w:hyperlink r:id="rId52" w:history="1">
        <w:r w:rsidRPr="00745DE7">
          <w:rPr>
            <w:rStyle w:val="Hyperlink"/>
            <w:rFonts w:ascii="Calibri" w:hAnsi="Calibri"/>
            <w:sz w:val="20"/>
            <w:szCs w:val="20"/>
          </w:rPr>
          <w:t>http://www.the-monitor.org/index.php/publications/display?act=submit&amp;pqs_year=2000&amp;pqs_type=lm&amp;pqs_report=nepal&amp;pqs_section</w:t>
        </w:r>
      </w:hyperlink>
      <w:r w:rsidRPr="00745DE7">
        <w:rPr>
          <w:rFonts w:ascii="Calibri" w:hAnsi="Calibri"/>
          <w:sz w:val="20"/>
          <w:szCs w:val="20"/>
        </w:rPr>
        <w:t xml:space="preserve">=. </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(2001).  </w:t>
      </w:r>
      <w:r w:rsidRPr="00745DE7">
        <w:rPr>
          <w:rFonts w:ascii="Calibri" w:hAnsi="Calibri"/>
          <w:i/>
          <w:sz w:val="20"/>
          <w:szCs w:val="20"/>
        </w:rPr>
        <w:t>Landmine monitor report 2001: Nepal.</w:t>
      </w:r>
      <w:r w:rsidRPr="00745DE7">
        <w:rPr>
          <w:rFonts w:ascii="Calibri" w:hAnsi="Calibri"/>
          <w:sz w:val="20"/>
          <w:szCs w:val="20"/>
        </w:rPr>
        <w:t xml:space="preserve">  Retrieved 3 November 2009 from </w:t>
      </w:r>
      <w:hyperlink r:id="rId53" w:history="1">
        <w:r w:rsidRPr="00745DE7">
          <w:rPr>
            <w:rStyle w:val="Hyperlink"/>
            <w:rFonts w:ascii="Calibri" w:hAnsi="Calibri"/>
            <w:sz w:val="20"/>
            <w:szCs w:val="20"/>
          </w:rPr>
          <w:t>http://www.the-monitor.org/index.php/publications/display?act=submit&amp;pqs_year=2001&amp;pqs_type=lm&amp;pqs_report=nepal&amp;pqs_section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(2002).  </w:t>
      </w:r>
      <w:r w:rsidRPr="00745DE7">
        <w:rPr>
          <w:rFonts w:ascii="Calibri" w:hAnsi="Calibri"/>
          <w:i/>
          <w:sz w:val="20"/>
          <w:szCs w:val="20"/>
        </w:rPr>
        <w:t>Landmine monitor report 2002: Nepal.</w:t>
      </w:r>
      <w:r w:rsidRPr="00745DE7">
        <w:rPr>
          <w:rFonts w:ascii="Calibri" w:hAnsi="Calibri"/>
          <w:sz w:val="20"/>
          <w:szCs w:val="20"/>
        </w:rPr>
        <w:t xml:space="preserve">  Retrieved 3 November 2009 from </w:t>
      </w:r>
      <w:hyperlink r:id="rId54" w:history="1">
        <w:r w:rsidRPr="00745DE7">
          <w:rPr>
            <w:rStyle w:val="Hyperlink"/>
            <w:rFonts w:ascii="Calibri" w:hAnsi="Calibri"/>
            <w:sz w:val="20"/>
            <w:szCs w:val="20"/>
          </w:rPr>
          <w:t>http://www.the-monitor.org/index.php/publications/display?act=submit&amp;pqs_year=2002&amp;pqs_type=lm&amp;pqs_report=nepal&amp;pqs_section</w:t>
        </w:r>
      </w:hyperlink>
      <w:r w:rsidRPr="00745DE7">
        <w:rPr>
          <w:rFonts w:ascii="Calibri" w:hAnsi="Calibri"/>
          <w:sz w:val="20"/>
          <w:szCs w:val="20"/>
        </w:rPr>
        <w:t xml:space="preserve">=. </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(2003).  </w:t>
      </w:r>
      <w:r w:rsidRPr="00745DE7">
        <w:rPr>
          <w:rFonts w:ascii="Calibri" w:hAnsi="Calibri"/>
          <w:i/>
          <w:sz w:val="20"/>
          <w:szCs w:val="20"/>
        </w:rPr>
        <w:t>Landmine monitor report 2003: Nepal.</w:t>
      </w:r>
      <w:r w:rsidRPr="00745DE7">
        <w:rPr>
          <w:rFonts w:ascii="Calibri" w:hAnsi="Calibri"/>
          <w:sz w:val="20"/>
          <w:szCs w:val="20"/>
        </w:rPr>
        <w:t xml:space="preserve">  Retrieved 3 November 2009 from </w:t>
      </w:r>
      <w:hyperlink r:id="rId55" w:history="1">
        <w:r w:rsidRPr="00745DE7">
          <w:rPr>
            <w:rStyle w:val="Hyperlink"/>
            <w:rFonts w:ascii="Calibri" w:hAnsi="Calibri"/>
            <w:sz w:val="20"/>
            <w:szCs w:val="20"/>
          </w:rPr>
          <w:t>http://www.the-monitor.org/index.php/publications/display?act=submit&amp;pqs_year=2003&amp;pqs_type=lm&amp;pqs_report=nepal&amp;pqs_section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(2004).  </w:t>
      </w:r>
      <w:r w:rsidRPr="00745DE7">
        <w:rPr>
          <w:rFonts w:ascii="Calibri" w:hAnsi="Calibri"/>
          <w:i/>
          <w:sz w:val="20"/>
          <w:szCs w:val="20"/>
        </w:rPr>
        <w:t>Landmine monitor report 2004: Nepal.</w:t>
      </w:r>
      <w:r w:rsidRPr="00745DE7">
        <w:rPr>
          <w:rFonts w:ascii="Calibri" w:hAnsi="Calibri"/>
          <w:sz w:val="20"/>
          <w:szCs w:val="20"/>
        </w:rPr>
        <w:t xml:space="preserve">  Retrieved 3 November 2009 from </w:t>
      </w:r>
      <w:hyperlink r:id="rId56" w:history="1">
        <w:r w:rsidRPr="00745DE7">
          <w:rPr>
            <w:rStyle w:val="Hyperlink"/>
            <w:rFonts w:ascii="Calibri" w:hAnsi="Calibri"/>
            <w:sz w:val="20"/>
            <w:szCs w:val="20"/>
          </w:rPr>
          <w:t>http://www.the-monitor.org/index.php/publications/display?act=submit&amp;pqs_year=2004&amp;pqs_type=lm&amp;pqs_report=nepal&amp;pqs_section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(2005).  </w:t>
      </w:r>
      <w:r w:rsidRPr="00745DE7">
        <w:rPr>
          <w:rFonts w:ascii="Calibri" w:hAnsi="Calibri"/>
          <w:i/>
          <w:sz w:val="20"/>
          <w:szCs w:val="20"/>
        </w:rPr>
        <w:t>Landmine monitor report 2005: Nepal.</w:t>
      </w:r>
      <w:r w:rsidRPr="00745DE7">
        <w:rPr>
          <w:rFonts w:ascii="Calibri" w:hAnsi="Calibri"/>
          <w:sz w:val="20"/>
          <w:szCs w:val="20"/>
        </w:rPr>
        <w:t xml:space="preserve">  Retrieved 3 November 2009 from </w:t>
      </w:r>
      <w:hyperlink r:id="rId57" w:history="1">
        <w:r w:rsidRPr="00745DE7">
          <w:rPr>
            <w:rStyle w:val="Hyperlink"/>
            <w:rFonts w:ascii="Calibri" w:hAnsi="Calibri"/>
            <w:sz w:val="20"/>
            <w:szCs w:val="20"/>
          </w:rPr>
          <w:t>http://www.the-monitor.org/index.php/publications/display?act=submit&amp;pqs_year=2005&amp;pqs_type=lm&amp;pqs_report=nepal&amp;pqs_section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(2006).  </w:t>
      </w:r>
      <w:r w:rsidRPr="00745DE7">
        <w:rPr>
          <w:rFonts w:ascii="Calibri" w:hAnsi="Calibri"/>
          <w:i/>
          <w:sz w:val="20"/>
          <w:szCs w:val="20"/>
        </w:rPr>
        <w:t>Landmine monitor report 2006: Nepal.</w:t>
      </w:r>
      <w:r w:rsidRPr="00745DE7">
        <w:rPr>
          <w:rFonts w:ascii="Calibri" w:hAnsi="Calibri"/>
          <w:sz w:val="20"/>
          <w:szCs w:val="20"/>
        </w:rPr>
        <w:t xml:space="preserve">  Retrieved 3 November 2009 from </w:t>
      </w:r>
      <w:hyperlink r:id="rId58" w:history="1">
        <w:r w:rsidRPr="00745DE7">
          <w:rPr>
            <w:rStyle w:val="Hyperlink"/>
            <w:rFonts w:ascii="Calibri" w:hAnsi="Calibri"/>
            <w:sz w:val="20"/>
            <w:szCs w:val="20"/>
          </w:rPr>
          <w:t>http://www.the-monitor.org/index.php/publications/display?act=submit&amp;pqs_year=2006&amp;pqs_type=lm&amp;pqs_report=nepal&amp;pqs_section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(2007).  </w:t>
      </w:r>
      <w:r w:rsidRPr="00745DE7">
        <w:rPr>
          <w:rFonts w:ascii="Calibri" w:hAnsi="Calibri"/>
          <w:i/>
          <w:sz w:val="20"/>
          <w:szCs w:val="20"/>
        </w:rPr>
        <w:t>Landmine monitor report 2007: Nepal.</w:t>
      </w:r>
      <w:r w:rsidRPr="00745DE7">
        <w:rPr>
          <w:rFonts w:ascii="Calibri" w:hAnsi="Calibri"/>
          <w:sz w:val="20"/>
          <w:szCs w:val="20"/>
        </w:rPr>
        <w:t xml:space="preserve">  Retrieved 3 November 2009 from </w:t>
      </w:r>
      <w:hyperlink r:id="rId59" w:history="1">
        <w:r w:rsidRPr="00745DE7">
          <w:rPr>
            <w:rStyle w:val="Hyperlink"/>
            <w:rFonts w:ascii="Calibri" w:hAnsi="Calibri"/>
            <w:sz w:val="20"/>
            <w:szCs w:val="20"/>
          </w:rPr>
          <w:t>http://www.the-monitor.org/index.php/publications/display?act=submit&amp;pqs_year=2007&amp;pqs_type=lm&amp;pqs_report=nepal&amp;pqs_section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Campaign to Ban Landmines (2008).  </w:t>
      </w:r>
      <w:r w:rsidRPr="00745DE7">
        <w:rPr>
          <w:rFonts w:ascii="Calibri" w:hAnsi="Calibri"/>
          <w:i/>
          <w:sz w:val="20"/>
          <w:szCs w:val="20"/>
        </w:rPr>
        <w:t>Landmine monitor report 2008: Nepal.</w:t>
      </w:r>
      <w:r w:rsidRPr="00745DE7">
        <w:rPr>
          <w:rFonts w:ascii="Calibri" w:hAnsi="Calibri"/>
          <w:sz w:val="20"/>
          <w:szCs w:val="20"/>
        </w:rPr>
        <w:t xml:space="preserve">  Retrieved 3 November 2009 from </w:t>
      </w:r>
      <w:hyperlink r:id="rId60" w:history="1">
        <w:r w:rsidRPr="00745DE7">
          <w:rPr>
            <w:rStyle w:val="Hyperlink"/>
            <w:rFonts w:ascii="Calibri" w:hAnsi="Calibri"/>
            <w:sz w:val="20"/>
            <w:szCs w:val="20"/>
          </w:rPr>
          <w:t>http://www.the-monitor.org/index.php/publications/display?act=submit&amp;pqs_year=2008&amp;pqs_type=lm&amp;pqs_report=nepal&amp;pqs_section</w:t>
        </w:r>
      </w:hyperlink>
      <w:r w:rsidRPr="00745DE7">
        <w:rPr>
          <w:rFonts w:ascii="Calibri" w:hAnsi="Calibri"/>
          <w:sz w:val="20"/>
          <w:szCs w:val="20"/>
        </w:rPr>
        <w:t xml:space="preserve">=. </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International Campaign to Ban Landmines (2009).  </w:t>
      </w:r>
      <w:r w:rsidRPr="00745DE7">
        <w:rPr>
          <w:rFonts w:ascii="Calibri" w:hAnsi="Calibri"/>
          <w:i/>
          <w:sz w:val="20"/>
          <w:szCs w:val="20"/>
        </w:rPr>
        <w:t>Landmine monitor report 2009: Nepal.</w:t>
      </w:r>
      <w:r w:rsidRPr="00745DE7">
        <w:rPr>
          <w:rFonts w:ascii="Calibri" w:hAnsi="Calibri"/>
          <w:sz w:val="20"/>
          <w:szCs w:val="20"/>
        </w:rPr>
        <w:t xml:space="preserve">  Retrieved 15 March 2010 from </w:t>
      </w:r>
      <w:hyperlink r:id="rId61" w:history="1">
        <w:r w:rsidRPr="00745DE7">
          <w:rPr>
            <w:rStyle w:val="Hyperlink"/>
            <w:rFonts w:ascii="Calibri" w:hAnsi="Calibri"/>
            <w:sz w:val="20"/>
            <w:szCs w:val="20"/>
          </w:rPr>
          <w:t>http://www.the-monitor.org/index.php/publications/display?act=submit&amp;pqs_year=2009&amp;pqs_type=lm&amp;pqs_report=nepal&amp;pqs_section</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International Committee of the Red Cross and Nepal Red Cross Society (20 November 2009).  </w:t>
      </w:r>
      <w:r w:rsidRPr="00891EE6">
        <w:rPr>
          <w:rFonts w:ascii="Calibri" w:hAnsi="Calibri"/>
          <w:i/>
          <w:sz w:val="20"/>
          <w:szCs w:val="20"/>
        </w:rPr>
        <w:t>Meeting with National Field Officer and Cooperation Delegate (ICRC) and Mine Action Focal Person and Chief of Youth Organization and Programs (NRCS)</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Joshi SK (2007).  Kathmandu University Medical Journal, 5(1, 17): 2-3.  </w:t>
      </w:r>
      <w:r w:rsidRPr="00891EE6">
        <w:rPr>
          <w:rFonts w:ascii="Calibri" w:hAnsi="Calibri"/>
          <w:i/>
          <w:sz w:val="20"/>
          <w:szCs w:val="20"/>
        </w:rPr>
        <w:t>Injuries in Nepal: a growing public health problem</w:t>
      </w:r>
      <w:r w:rsidRPr="00745DE7">
        <w:rPr>
          <w:rFonts w:ascii="Calibri" w:hAnsi="Calibri"/>
          <w:sz w:val="20"/>
          <w:szCs w:val="20"/>
        </w:rPr>
        <w:t xml:space="preserve">.  Retrieved 8 August 2010 from </w:t>
      </w:r>
      <w:hyperlink r:id="rId62" w:history="1">
        <w:r w:rsidRPr="00745DE7">
          <w:rPr>
            <w:rStyle w:val="Hyperlink"/>
            <w:rFonts w:ascii="Calibri" w:hAnsi="Calibri"/>
            <w:sz w:val="20"/>
            <w:szCs w:val="20"/>
          </w:rPr>
          <w:t>http://kumj.com.np/ftp/issue/17/editorial2.pdf</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lastRenderedPageBreak/>
        <w:t xml:space="preserve">Kailali District Education Office (17 November 2009).  </w:t>
      </w:r>
      <w:r w:rsidRPr="00891EE6">
        <w:rPr>
          <w:rFonts w:ascii="Calibri" w:hAnsi="Calibri"/>
          <w:i/>
          <w:sz w:val="20"/>
          <w:szCs w:val="20"/>
        </w:rPr>
        <w:t>Meeting with Planning Section Officer</w:t>
      </w:r>
      <w:r w:rsidRPr="00745DE7">
        <w:rPr>
          <w:rFonts w:ascii="Calibri" w:hAnsi="Calibri"/>
          <w:sz w:val="20"/>
          <w:szCs w:val="20"/>
        </w:rPr>
        <w:t>.  Dhangadhi, Kailali District.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Kalika Secondary School (17 November 2009).  </w:t>
      </w:r>
      <w:r w:rsidRPr="00891EE6">
        <w:rPr>
          <w:rFonts w:ascii="Calibri" w:hAnsi="Calibri"/>
          <w:i/>
          <w:sz w:val="20"/>
          <w:szCs w:val="20"/>
        </w:rPr>
        <w:t>Meeting with head teacher and teaching staff</w:t>
      </w:r>
      <w:r w:rsidRPr="00745DE7">
        <w:rPr>
          <w:rFonts w:ascii="Calibri" w:hAnsi="Calibri"/>
          <w:sz w:val="20"/>
          <w:szCs w:val="20"/>
        </w:rPr>
        <w:t>.  Baliya VDC, Kailali District.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b/>
          <w:sz w:val="20"/>
          <w:szCs w:val="20"/>
        </w:rPr>
      </w:pPr>
      <w:r w:rsidRPr="00745DE7">
        <w:rPr>
          <w:rFonts w:ascii="Calibri" w:hAnsi="Calibri"/>
          <w:sz w:val="20"/>
          <w:szCs w:val="20"/>
        </w:rPr>
        <w:t xml:space="preserve">Kalika Secondary School (17 November 2009).  </w:t>
      </w:r>
      <w:r w:rsidRPr="00891EE6">
        <w:rPr>
          <w:rFonts w:ascii="Calibri" w:hAnsi="Calibri"/>
          <w:i/>
          <w:sz w:val="20"/>
          <w:szCs w:val="20"/>
        </w:rPr>
        <w:t>Observation of mine risk education session</w:t>
      </w:r>
      <w:r w:rsidRPr="00745DE7">
        <w:rPr>
          <w:rFonts w:ascii="Calibri" w:hAnsi="Calibri"/>
          <w:sz w:val="20"/>
          <w:szCs w:val="20"/>
        </w:rPr>
        <w:t>.  Baliya VDC, Kailali District.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Nepal National Dalit Society Welfare Organization (23 November 2009).  </w:t>
      </w:r>
      <w:r w:rsidRPr="00891EE6">
        <w:rPr>
          <w:rFonts w:ascii="Calibri" w:hAnsi="Calibri"/>
          <w:i/>
          <w:sz w:val="20"/>
          <w:szCs w:val="20"/>
        </w:rPr>
        <w:t>Meeting with National President, Executive Director and Project Coordinator</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Nepal Red Cross Society (18 November 2009).  </w:t>
      </w:r>
      <w:r w:rsidRPr="00891EE6">
        <w:rPr>
          <w:rFonts w:ascii="Calibri" w:hAnsi="Calibri"/>
          <w:i/>
          <w:sz w:val="20"/>
          <w:szCs w:val="20"/>
        </w:rPr>
        <w:t>Meeting with Kailali District Mine Risk Education Focal Person</w:t>
      </w:r>
      <w:r w:rsidRPr="00745DE7">
        <w:rPr>
          <w:rFonts w:ascii="Calibri" w:hAnsi="Calibri"/>
          <w:sz w:val="20"/>
          <w:szCs w:val="20"/>
        </w:rPr>
        <w:t>.  Dhangadhi, Kailali District.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Nepalese Army (25 November 2009).  </w:t>
      </w:r>
      <w:r w:rsidRPr="00891EE6">
        <w:rPr>
          <w:rFonts w:ascii="Calibri" w:hAnsi="Calibri"/>
          <w:i/>
          <w:sz w:val="20"/>
          <w:szCs w:val="20"/>
        </w:rPr>
        <w:t>Meeting with Commanding Officer, Colonel Deputy Director of Engineers and Major Operations Officers</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(2007).  </w:t>
      </w:r>
      <w:r w:rsidRPr="00891EE6">
        <w:rPr>
          <w:rFonts w:ascii="Calibri" w:hAnsi="Calibri"/>
          <w:i/>
          <w:sz w:val="20"/>
          <w:szCs w:val="20"/>
        </w:rPr>
        <w:t>2008 UNICEF Annual Work Plan</w:t>
      </w:r>
      <w:r w:rsidRPr="00745DE7">
        <w:rPr>
          <w:rFonts w:ascii="Calibri" w:hAnsi="Calibri"/>
          <w:sz w:val="20"/>
          <w:szCs w:val="20"/>
        </w:rPr>
        <w:t>.  Internal document.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(2008).  </w:t>
      </w:r>
      <w:r w:rsidRPr="00891EE6">
        <w:rPr>
          <w:rFonts w:ascii="Calibri" w:hAnsi="Calibri"/>
          <w:i/>
          <w:sz w:val="20"/>
          <w:szCs w:val="20"/>
        </w:rPr>
        <w:t>2009 UNICEF Annual Work Plan</w:t>
      </w:r>
      <w:r w:rsidRPr="00745DE7">
        <w:rPr>
          <w:rFonts w:ascii="Calibri" w:hAnsi="Calibri"/>
          <w:sz w:val="20"/>
          <w:szCs w:val="20"/>
        </w:rPr>
        <w:t>.  Internal document.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Nepal (2 November 2008).  </w:t>
      </w:r>
      <w:r w:rsidRPr="00891EE6">
        <w:rPr>
          <w:rFonts w:ascii="Calibri" w:hAnsi="Calibri"/>
          <w:i/>
          <w:sz w:val="20"/>
          <w:szCs w:val="20"/>
        </w:rPr>
        <w:t>Mine risk education for school children proposition of concept paper</w:t>
      </w:r>
      <w:r w:rsidRPr="00745DE7">
        <w:rPr>
          <w:rFonts w:ascii="Calibri" w:hAnsi="Calibri"/>
          <w:sz w:val="20"/>
          <w:szCs w:val="20"/>
        </w:rPr>
        <w:t>.  Internal document.</w:t>
      </w:r>
    </w:p>
    <w:p w:rsidR="00B454FB" w:rsidRPr="00745DE7" w:rsidRDefault="00B454FB" w:rsidP="00B454FB">
      <w:pPr>
        <w:rPr>
          <w:rFonts w:ascii="Calibri" w:hAnsi="Calibri"/>
          <w:sz w:val="20"/>
          <w:szCs w:val="20"/>
          <w:highlight w:val="yellow"/>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Nepal (2009).  </w:t>
      </w:r>
      <w:r w:rsidRPr="00891EE6">
        <w:rPr>
          <w:rFonts w:ascii="Calibri" w:hAnsi="Calibri"/>
          <w:i/>
          <w:sz w:val="20"/>
          <w:szCs w:val="20"/>
        </w:rPr>
        <w:t>Telephonic FAQ for MRE focal points</w:t>
      </w:r>
      <w:r w:rsidRPr="00745DE7">
        <w:rPr>
          <w:rFonts w:ascii="Calibri" w:hAnsi="Calibri"/>
          <w:sz w:val="20"/>
          <w:szCs w:val="20"/>
        </w:rPr>
        <w:t>.  Internal document.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(September 2009).  </w:t>
      </w:r>
      <w:r w:rsidRPr="00891EE6">
        <w:rPr>
          <w:rFonts w:ascii="Calibri" w:hAnsi="Calibri"/>
          <w:i/>
          <w:sz w:val="20"/>
          <w:szCs w:val="20"/>
        </w:rPr>
        <w:t>Evaluation of UNICEF/UNMAT mine action activities (mine risk education, surveillance: terms of reference (draft)</w:t>
      </w:r>
      <w:r w:rsidRPr="00745DE7">
        <w:rPr>
          <w:rFonts w:ascii="Calibri" w:hAnsi="Calibri"/>
          <w:sz w:val="20"/>
          <w:szCs w:val="20"/>
        </w:rPr>
        <w:t>.  Internal document.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United Nations Children’s Fund Nepal (9 November 2009).  </w:t>
      </w:r>
      <w:r w:rsidRPr="00891EE6">
        <w:rPr>
          <w:rFonts w:ascii="Calibri" w:hAnsi="Calibri"/>
          <w:i/>
          <w:sz w:val="20"/>
          <w:szCs w:val="20"/>
        </w:rPr>
        <w:t>Meeting with Chief of Child Protection</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United Nations Children’s Fund Nepal (9 November 2009).  </w:t>
      </w:r>
      <w:r w:rsidRPr="00891EE6">
        <w:rPr>
          <w:rFonts w:ascii="Calibri" w:hAnsi="Calibri"/>
          <w:i/>
          <w:sz w:val="20"/>
          <w:szCs w:val="20"/>
        </w:rPr>
        <w:t>Meeting with Mine Action Monitoring Officer</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United Nations Children’s Fund Nepal (9 November 2009).  </w:t>
      </w:r>
      <w:r w:rsidRPr="00891EE6">
        <w:rPr>
          <w:rFonts w:ascii="Calibri" w:hAnsi="Calibri"/>
          <w:i/>
          <w:sz w:val="20"/>
          <w:szCs w:val="20"/>
        </w:rPr>
        <w:t>Meeting with Mine Action Project Officer and Mine Action Monitoring Officer</w:t>
      </w:r>
      <w:r w:rsidRPr="00745DE7">
        <w:rPr>
          <w:rFonts w:ascii="Calibri" w:hAnsi="Calibri"/>
          <w:sz w:val="20"/>
          <w:szCs w:val="20"/>
        </w:rPr>
        <w:t>.  Kathmandu.</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Children’s Fund Nepal (22 April 2010).  </w:t>
      </w:r>
      <w:r w:rsidRPr="00891EE6">
        <w:rPr>
          <w:rFonts w:ascii="Calibri" w:hAnsi="Calibri"/>
          <w:i/>
          <w:sz w:val="20"/>
          <w:szCs w:val="20"/>
        </w:rPr>
        <w:t>Personal communication with Mine Action Project Officer</w:t>
      </w:r>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b/>
          <w:sz w:val="20"/>
          <w:szCs w:val="20"/>
        </w:rPr>
      </w:pPr>
      <w:r w:rsidRPr="00745DE7">
        <w:rPr>
          <w:rFonts w:ascii="Calibri" w:hAnsi="Calibri"/>
          <w:sz w:val="20"/>
          <w:szCs w:val="20"/>
        </w:rPr>
        <w:t xml:space="preserve">United Nations Children’s Fund Nepal (13 May 2010).  </w:t>
      </w:r>
      <w:r w:rsidRPr="00891EE6">
        <w:rPr>
          <w:rFonts w:ascii="Calibri" w:hAnsi="Calibri"/>
          <w:i/>
          <w:sz w:val="20"/>
          <w:szCs w:val="20"/>
        </w:rPr>
        <w:t>Personal communication with Mine Action Project Officer</w:t>
      </w:r>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b/>
          <w:sz w:val="20"/>
          <w:szCs w:val="20"/>
        </w:rPr>
      </w:pPr>
      <w:r w:rsidRPr="00745DE7">
        <w:rPr>
          <w:rFonts w:ascii="Calibri" w:hAnsi="Calibri"/>
          <w:sz w:val="20"/>
          <w:szCs w:val="20"/>
        </w:rPr>
        <w:t xml:space="preserve">United Nations Children’s Fund Nepal (31 May 2010).  </w:t>
      </w:r>
      <w:r w:rsidRPr="00891EE6">
        <w:rPr>
          <w:rFonts w:ascii="Calibri" w:hAnsi="Calibri"/>
          <w:i/>
          <w:sz w:val="20"/>
          <w:szCs w:val="20"/>
        </w:rPr>
        <w:t>Personal communication with Mine Action Project Officer</w:t>
      </w:r>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Evaluation Group (April 2005).  </w:t>
      </w:r>
      <w:r w:rsidRPr="00891EE6">
        <w:rPr>
          <w:rFonts w:ascii="Calibri" w:hAnsi="Calibri"/>
          <w:i/>
          <w:sz w:val="20"/>
          <w:szCs w:val="20"/>
        </w:rPr>
        <w:t>Norms for Evaluation in the UN System</w:t>
      </w:r>
      <w:r w:rsidRPr="00745DE7">
        <w:rPr>
          <w:rFonts w:ascii="Calibri" w:hAnsi="Calibri"/>
          <w:sz w:val="20"/>
          <w:szCs w:val="20"/>
        </w:rPr>
        <w:t xml:space="preserve">.  Retrieved 8 August 2010 from </w:t>
      </w:r>
      <w:hyperlink r:id="rId63" w:history="1">
        <w:r w:rsidRPr="00745DE7">
          <w:rPr>
            <w:rStyle w:val="Hyperlink"/>
            <w:rFonts w:ascii="Calibri" w:hAnsi="Calibri"/>
            <w:sz w:val="20"/>
            <w:szCs w:val="20"/>
          </w:rPr>
          <w:t>http://www.escwa.un.org/divisions/pptcd/upload/uneg.pdf</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Evaluation Group (April 2005).  </w:t>
      </w:r>
      <w:r w:rsidRPr="00891EE6">
        <w:rPr>
          <w:rFonts w:ascii="Calibri" w:hAnsi="Calibri"/>
          <w:i/>
          <w:sz w:val="20"/>
          <w:szCs w:val="20"/>
        </w:rPr>
        <w:t>Standards for Evaluation in the UN System</w:t>
      </w:r>
      <w:r w:rsidRPr="00745DE7">
        <w:rPr>
          <w:rFonts w:ascii="Calibri" w:hAnsi="Calibri"/>
          <w:sz w:val="20"/>
          <w:szCs w:val="20"/>
        </w:rPr>
        <w:t xml:space="preserve">.  Retrieved 8 August 2010 from </w:t>
      </w:r>
      <w:hyperlink r:id="rId64" w:history="1">
        <w:r w:rsidRPr="00745DE7">
          <w:rPr>
            <w:rStyle w:val="Hyperlink"/>
            <w:rFonts w:ascii="Calibri" w:hAnsi="Calibri"/>
            <w:sz w:val="20"/>
            <w:szCs w:val="20"/>
          </w:rPr>
          <w:t>http://www.uneval.org/papersandpubs/documentdetail.jsp?doc_id=22</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Mine Action Service (November 2005).  </w:t>
      </w:r>
      <w:r w:rsidRPr="00891EE6">
        <w:rPr>
          <w:rFonts w:ascii="Calibri" w:hAnsi="Calibri"/>
          <w:i/>
          <w:sz w:val="20"/>
          <w:szCs w:val="20"/>
        </w:rPr>
        <w:t>IMAS mine risk education best practice guidebook 1: an introduction to mine risk education</w:t>
      </w:r>
      <w:r w:rsidRPr="00745DE7">
        <w:rPr>
          <w:rFonts w:ascii="Calibri" w:hAnsi="Calibri"/>
          <w:sz w:val="20"/>
          <w:szCs w:val="20"/>
        </w:rPr>
        <w:t>.</w:t>
      </w:r>
      <w:r w:rsidRPr="00745DE7">
        <w:rPr>
          <w:rFonts w:ascii="Calibri" w:hAnsi="Calibri" w:cs="Arial"/>
          <w:sz w:val="20"/>
          <w:szCs w:val="20"/>
        </w:rPr>
        <w:t xml:space="preserve">  Retrieved 8 August 2010 from</w:t>
      </w:r>
      <w:r w:rsidRPr="00745DE7">
        <w:rPr>
          <w:rFonts w:ascii="Calibri" w:hAnsi="Calibri"/>
          <w:sz w:val="20"/>
          <w:szCs w:val="20"/>
        </w:rPr>
        <w:t xml:space="preserve"> </w:t>
      </w:r>
      <w:hyperlink r:id="rId65" w:history="1">
        <w:r w:rsidRPr="00745DE7">
          <w:rPr>
            <w:rStyle w:val="Hyperlink"/>
            <w:rFonts w:ascii="Calibri" w:hAnsi="Calibri"/>
            <w:sz w:val="20"/>
            <w:szCs w:val="20"/>
          </w:rPr>
          <w:t>http://ocha-gwapps1.unog.ch/rw/lib.nsf/db900sid/RURI-6NRPJC/$file/imas-gen-nov05.pdf?openelement</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Mine Action Service (November 2005).  </w:t>
      </w:r>
      <w:r w:rsidRPr="00891EE6">
        <w:rPr>
          <w:rFonts w:ascii="Calibri" w:hAnsi="Calibri"/>
          <w:i/>
          <w:sz w:val="20"/>
          <w:szCs w:val="20"/>
        </w:rPr>
        <w:t>IMAS mine risk education best practice guidebook 8: evaluation</w:t>
      </w:r>
      <w:r w:rsidRPr="00745DE7">
        <w:rPr>
          <w:rFonts w:ascii="Calibri" w:hAnsi="Calibri"/>
          <w:sz w:val="20"/>
          <w:szCs w:val="20"/>
        </w:rPr>
        <w:t xml:space="preserve">.  Retrieved 8 August 2010 from </w:t>
      </w:r>
      <w:hyperlink r:id="rId66" w:history="1">
        <w:r w:rsidRPr="00745DE7">
          <w:rPr>
            <w:rStyle w:val="Hyperlink"/>
            <w:rFonts w:ascii="Calibri" w:hAnsi="Calibri"/>
            <w:sz w:val="20"/>
            <w:szCs w:val="20"/>
          </w:rPr>
          <w:t>http://ocha-gwapps1.unog.ch/rw/lib.nsf/db900sid/RURI-6P2RT3/$file/imas-8gen-nov05.pdf?openelement</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lastRenderedPageBreak/>
        <w:t xml:space="preserve">United Nations Mine Action Service (November 2005).  </w:t>
      </w:r>
      <w:r w:rsidRPr="00891EE6">
        <w:rPr>
          <w:rFonts w:ascii="Calibri" w:hAnsi="Calibri"/>
          <w:i/>
          <w:sz w:val="20"/>
          <w:szCs w:val="20"/>
        </w:rPr>
        <w:t>IMAS mine risk education best practice guidebook 12: glossary of terms and resources</w:t>
      </w:r>
      <w:r w:rsidRPr="00745DE7">
        <w:rPr>
          <w:rFonts w:ascii="Calibri" w:hAnsi="Calibri"/>
          <w:sz w:val="20"/>
          <w:szCs w:val="20"/>
        </w:rPr>
        <w:t>.  Retrieved</w:t>
      </w:r>
      <w:r w:rsidRPr="00745DE7">
        <w:rPr>
          <w:rFonts w:ascii="Calibri" w:hAnsi="Calibri" w:cs="Arial"/>
          <w:sz w:val="20"/>
          <w:szCs w:val="20"/>
        </w:rPr>
        <w:t xml:space="preserve"> 8 August 2010 from</w:t>
      </w:r>
      <w:r w:rsidRPr="00745DE7">
        <w:rPr>
          <w:rFonts w:ascii="Calibri" w:hAnsi="Calibri"/>
          <w:sz w:val="20"/>
          <w:szCs w:val="20"/>
        </w:rPr>
        <w:t xml:space="preserve"> </w:t>
      </w:r>
      <w:hyperlink r:id="rId67" w:history="1">
        <w:r w:rsidRPr="00745DE7">
          <w:rPr>
            <w:rStyle w:val="Hyperlink"/>
            <w:rFonts w:ascii="Calibri" w:hAnsi="Calibri"/>
            <w:sz w:val="20"/>
            <w:szCs w:val="20"/>
          </w:rPr>
          <w:t>http://ocha-gwapps1.unog.ch/rw/lib.nsf/db900sid/RURI-6P9RL9/$file/imas-12gen-nov05.pdf?openelement</w:t>
        </w:r>
      </w:hyperlink>
      <w:r w:rsidRPr="00745DE7">
        <w:rPr>
          <w:rFonts w:ascii="Calibri" w:hAnsi="Calibri"/>
          <w:sz w:val="20"/>
          <w:szCs w:val="20"/>
        </w:rPr>
        <w:t>.</w:t>
      </w:r>
    </w:p>
    <w:p w:rsidR="00B454FB" w:rsidRPr="00745DE7" w:rsidRDefault="00B454FB" w:rsidP="00B454FB">
      <w:pPr>
        <w:spacing w:line="276" w:lineRule="auto"/>
        <w:rPr>
          <w:rFonts w:ascii="Calibri" w:hAnsi="Calibri"/>
          <w:sz w:val="20"/>
          <w:szCs w:val="20"/>
        </w:rPr>
      </w:pPr>
    </w:p>
    <w:p w:rsidR="00B454FB" w:rsidRPr="00745DE7" w:rsidRDefault="00B454FB" w:rsidP="00B454FB">
      <w:pPr>
        <w:spacing w:line="276" w:lineRule="auto"/>
        <w:rPr>
          <w:rFonts w:ascii="Calibri" w:hAnsi="Calibri"/>
          <w:sz w:val="20"/>
          <w:szCs w:val="20"/>
        </w:rPr>
      </w:pPr>
      <w:r w:rsidRPr="00745DE7">
        <w:rPr>
          <w:rFonts w:ascii="Calibri" w:hAnsi="Calibri"/>
          <w:sz w:val="20"/>
          <w:szCs w:val="20"/>
        </w:rPr>
        <w:t xml:space="preserve">United Nations Mine Action Team (25 April 2010).  </w:t>
      </w:r>
      <w:r w:rsidRPr="00891EE6">
        <w:rPr>
          <w:rFonts w:ascii="Calibri" w:hAnsi="Calibri"/>
          <w:i/>
          <w:sz w:val="20"/>
          <w:szCs w:val="20"/>
        </w:rPr>
        <w:t>Personal communication with Programme Officer</w:t>
      </w:r>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Pr="00745DE7" w:rsidRDefault="00B454FB" w:rsidP="00B454FB">
      <w:pPr>
        <w:rPr>
          <w:rFonts w:ascii="Calibri" w:hAnsi="Calibri"/>
          <w:sz w:val="20"/>
          <w:szCs w:val="20"/>
        </w:rPr>
      </w:pPr>
      <w:r w:rsidRPr="00745DE7">
        <w:rPr>
          <w:rFonts w:ascii="Calibri" w:hAnsi="Calibri"/>
          <w:sz w:val="20"/>
          <w:szCs w:val="20"/>
        </w:rPr>
        <w:t xml:space="preserve">United Nations Mission in Nepal (2010).  </w:t>
      </w:r>
      <w:r w:rsidRPr="00891EE6">
        <w:rPr>
          <w:rFonts w:ascii="Calibri" w:hAnsi="Calibri"/>
          <w:i/>
          <w:sz w:val="20"/>
          <w:szCs w:val="20"/>
        </w:rPr>
        <w:t>Mandate</w:t>
      </w:r>
      <w:r w:rsidRPr="00745DE7">
        <w:rPr>
          <w:rFonts w:ascii="Calibri" w:hAnsi="Calibri"/>
          <w:sz w:val="20"/>
          <w:szCs w:val="20"/>
        </w:rPr>
        <w:t xml:space="preserve">.  Retrieved 8 August 2010 from </w:t>
      </w:r>
      <w:hyperlink r:id="rId68" w:history="1">
        <w:r w:rsidRPr="00745DE7">
          <w:rPr>
            <w:rStyle w:val="Hyperlink"/>
            <w:rFonts w:ascii="Calibri" w:hAnsi="Calibri"/>
            <w:sz w:val="20"/>
            <w:szCs w:val="20"/>
          </w:rPr>
          <w:t>http://www.unmin.org.np/?d=about&amp;p=mandate</w:t>
        </w:r>
      </w:hyperlink>
      <w:r w:rsidRPr="00745DE7">
        <w:rPr>
          <w:rFonts w:ascii="Calibri" w:hAnsi="Calibri"/>
          <w:sz w:val="20"/>
          <w:szCs w:val="20"/>
        </w:rPr>
        <w:t>.</w:t>
      </w:r>
    </w:p>
    <w:p w:rsidR="00B454FB" w:rsidRPr="00745DE7" w:rsidRDefault="00B454FB" w:rsidP="00B454FB">
      <w:pPr>
        <w:rPr>
          <w:rFonts w:ascii="Calibri" w:hAnsi="Calibri"/>
          <w:sz w:val="20"/>
          <w:szCs w:val="20"/>
        </w:rPr>
      </w:pPr>
    </w:p>
    <w:p w:rsidR="00B454FB" w:rsidRDefault="00B454FB" w:rsidP="00B454FB">
      <w:pPr>
        <w:rPr>
          <w:rFonts w:ascii="Calibri" w:hAnsi="Calibri"/>
          <w:sz w:val="20"/>
          <w:szCs w:val="20"/>
        </w:rPr>
      </w:pPr>
      <w:r w:rsidRPr="00745DE7">
        <w:rPr>
          <w:rFonts w:ascii="Calibri" w:hAnsi="Calibri"/>
          <w:sz w:val="20"/>
          <w:szCs w:val="20"/>
        </w:rPr>
        <w:t xml:space="preserve">World Health Organization (2004).  </w:t>
      </w:r>
      <w:r w:rsidRPr="00891EE6">
        <w:rPr>
          <w:rFonts w:ascii="Calibri" w:hAnsi="Calibri"/>
          <w:i/>
          <w:sz w:val="20"/>
          <w:szCs w:val="20"/>
        </w:rPr>
        <w:t>The global burden of disease: 2004 update</w:t>
      </w:r>
      <w:r w:rsidRPr="00745DE7">
        <w:rPr>
          <w:rFonts w:ascii="Calibri" w:hAnsi="Calibri"/>
          <w:sz w:val="20"/>
          <w:szCs w:val="20"/>
        </w:rPr>
        <w:t xml:space="preserve">.  Retrieved 8 August 2010 from </w:t>
      </w:r>
      <w:hyperlink r:id="rId69" w:history="1">
        <w:r w:rsidRPr="00745DE7">
          <w:rPr>
            <w:rStyle w:val="Hyperlink"/>
            <w:rFonts w:ascii="Calibri" w:hAnsi="Calibri"/>
            <w:sz w:val="20"/>
            <w:szCs w:val="20"/>
          </w:rPr>
          <w:t>http://www.who.int/healthinfo/global_burden_disease/estimates_country/en/index.html</w:t>
        </w:r>
      </w:hyperlink>
      <w:r w:rsidRPr="00745DE7">
        <w:rPr>
          <w:rFonts w:ascii="Calibri" w:hAnsi="Calibri"/>
          <w:sz w:val="20"/>
          <w:szCs w:val="20"/>
        </w:rPr>
        <w:t>.</w:t>
      </w:r>
    </w:p>
    <w:p w:rsidR="00B454FB" w:rsidRPr="00EF3928" w:rsidRDefault="00B454FB" w:rsidP="00B454FB">
      <w:pPr>
        <w:pStyle w:val="Heading1"/>
        <w:numPr>
          <w:ilvl w:val="0"/>
          <w:numId w:val="0"/>
        </w:numPr>
        <w:spacing w:before="0"/>
      </w:pPr>
      <w:r>
        <w:rPr>
          <w:rFonts w:ascii="Calibri" w:hAnsi="Calibri"/>
          <w:sz w:val="20"/>
          <w:szCs w:val="20"/>
        </w:rPr>
        <w:br w:type="page"/>
      </w:r>
      <w:r>
        <w:lastRenderedPageBreak/>
        <w:t>IX. APPENDICES</w:t>
      </w:r>
    </w:p>
    <w:p w:rsidR="00B454FB" w:rsidRDefault="00B454FB" w:rsidP="00B454FB">
      <w:pPr>
        <w:pStyle w:val="Heading2"/>
        <w:numPr>
          <w:ilvl w:val="0"/>
          <w:numId w:val="0"/>
        </w:numPr>
        <w:spacing w:before="0"/>
        <w:ind w:left="144"/>
      </w:pPr>
    </w:p>
    <w:p w:rsidR="00B454FB" w:rsidRDefault="00B454FB" w:rsidP="00B454FB">
      <w:pPr>
        <w:pStyle w:val="Heading2"/>
        <w:numPr>
          <w:ilvl w:val="0"/>
          <w:numId w:val="0"/>
        </w:numPr>
        <w:spacing w:before="0"/>
      </w:pPr>
      <w:r>
        <w:t>APPENDIX A. DOCUMENTS RELATED TO EVALUATION OF VICTIM-ACTIVATED EXPLOSION INJURY SURVEILLANCE SYSTEM (VAEISS)</w:t>
      </w:r>
    </w:p>
    <w:p w:rsidR="00B454FB" w:rsidRDefault="00B454FB" w:rsidP="00B454FB">
      <w:pPr>
        <w:pStyle w:val="Heading3"/>
        <w:numPr>
          <w:ilvl w:val="0"/>
          <w:numId w:val="0"/>
        </w:numPr>
        <w:spacing w:before="0"/>
        <w:ind w:left="144" w:firstLine="144"/>
        <w:rPr>
          <w:rFonts w:ascii="Calibri" w:hAnsi="Calibri"/>
          <w:sz w:val="20"/>
          <w:szCs w:val="20"/>
        </w:rPr>
      </w:pPr>
    </w:p>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A.1  </w:t>
      </w:r>
      <w:r w:rsidRPr="00D61C8A">
        <w:rPr>
          <w:rFonts w:ascii="Calibri" w:hAnsi="Calibri"/>
          <w:sz w:val="20"/>
          <w:szCs w:val="20"/>
        </w:rPr>
        <w:t>Summary of VAEISS data, 2006-2009</w:t>
      </w:r>
      <w:r>
        <w:rPr>
          <w:rFonts w:ascii="Calibri" w:hAnsi="Calibri"/>
          <w:sz w:val="20"/>
          <w:szCs w:val="20"/>
        </w:rPr>
        <w:t xml:space="preserve"> </w:t>
      </w:r>
    </w:p>
    <w:p w:rsidR="00B454FB" w:rsidRPr="003A6629" w:rsidRDefault="00B454FB" w:rsidP="00B454FB">
      <w:pPr>
        <w:pStyle w:val="Heading3"/>
        <w:numPr>
          <w:ilvl w:val="0"/>
          <w:numId w:val="0"/>
        </w:numPr>
        <w:spacing w:before="0"/>
        <w:ind w:left="144" w:firstLine="144"/>
        <w:rPr>
          <w:rFonts w:ascii="Calibri" w:hAnsi="Calibri"/>
          <w:sz w:val="20"/>
          <w:szCs w:val="20"/>
        </w:rPr>
      </w:pPr>
    </w:p>
    <w:p w:rsidR="00B454FB" w:rsidRPr="003A6629" w:rsidRDefault="00B454FB" w:rsidP="00B454FB">
      <w:pPr>
        <w:rPr>
          <w:rFonts w:ascii="Calibri" w:hAnsi="Calibri"/>
          <w:i/>
          <w:sz w:val="20"/>
          <w:szCs w:val="20"/>
        </w:rPr>
      </w:pPr>
      <w:r w:rsidRPr="003A6629">
        <w:rPr>
          <w:rFonts w:ascii="Calibri" w:hAnsi="Calibri"/>
          <w:i/>
          <w:sz w:val="20"/>
          <w:szCs w:val="20"/>
        </w:rPr>
        <w:t xml:space="preserve">The following statistics are </w:t>
      </w:r>
      <w:r>
        <w:rPr>
          <w:rFonts w:ascii="Calibri" w:hAnsi="Calibri"/>
          <w:i/>
          <w:sz w:val="20"/>
          <w:szCs w:val="20"/>
        </w:rPr>
        <w:t>available in</w:t>
      </w:r>
      <w:r w:rsidRPr="003A6629">
        <w:rPr>
          <w:rFonts w:ascii="Calibri" w:hAnsi="Calibri"/>
          <w:i/>
          <w:sz w:val="20"/>
          <w:szCs w:val="20"/>
        </w:rPr>
        <w:t xml:space="preserve"> INSEC annual reports based on data collected by the VAE injury surveillance system between 2006 and 2009.</w:t>
      </w:r>
      <w:r>
        <w:rPr>
          <w:rStyle w:val="EndnoteReference"/>
          <w:rFonts w:ascii="Calibri" w:hAnsi="Calibri"/>
          <w:i/>
          <w:sz w:val="20"/>
          <w:szCs w:val="20"/>
        </w:rPr>
        <w:endnoteReference w:id="364"/>
      </w:r>
      <w:r w:rsidRPr="003A6629">
        <w:rPr>
          <w:rFonts w:ascii="Calibri" w:hAnsi="Calibri"/>
          <w:i/>
          <w:sz w:val="20"/>
          <w:szCs w:val="20"/>
        </w:rPr>
        <w:t xml:space="preserve">  Data for the first five months of 2006 were collected via media reporting (see Section V.A.2.c).</w:t>
      </w:r>
    </w:p>
    <w:p w:rsidR="00B454FB" w:rsidRPr="003A6629" w:rsidRDefault="00B454FB" w:rsidP="00B454FB">
      <w:pPr>
        <w:rPr>
          <w:rFonts w:ascii="Calibri" w:hAnsi="Calibri"/>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7"/>
        <w:gridCol w:w="2379"/>
        <w:gridCol w:w="2489"/>
        <w:gridCol w:w="2319"/>
        <w:gridCol w:w="2212"/>
      </w:tblGrid>
      <w:tr w:rsidR="00B454FB" w:rsidRPr="003A6629">
        <w:tc>
          <w:tcPr>
            <w:tcW w:w="2254" w:type="dxa"/>
          </w:tcPr>
          <w:p w:rsidR="00B454FB" w:rsidRPr="00F90737" w:rsidRDefault="00B454FB" w:rsidP="00B454FB">
            <w:pPr>
              <w:rPr>
                <w:rFonts w:ascii="Calibri" w:hAnsi="Calibri"/>
                <w:sz w:val="16"/>
                <w:szCs w:val="16"/>
              </w:rPr>
            </w:pPr>
          </w:p>
        </w:tc>
        <w:tc>
          <w:tcPr>
            <w:tcW w:w="3144" w:type="dxa"/>
          </w:tcPr>
          <w:p w:rsidR="00B454FB" w:rsidRPr="00F90737" w:rsidRDefault="00B454FB" w:rsidP="00B454FB">
            <w:pPr>
              <w:rPr>
                <w:rFonts w:ascii="Calibri" w:hAnsi="Calibri"/>
                <w:sz w:val="16"/>
                <w:szCs w:val="16"/>
              </w:rPr>
            </w:pPr>
            <w:r w:rsidRPr="00F90737">
              <w:rPr>
                <w:rFonts w:ascii="Calibri" w:hAnsi="Calibri"/>
                <w:sz w:val="16"/>
                <w:szCs w:val="16"/>
              </w:rPr>
              <w:t>2006</w:t>
            </w:r>
          </w:p>
        </w:tc>
        <w:tc>
          <w:tcPr>
            <w:tcW w:w="3176" w:type="dxa"/>
          </w:tcPr>
          <w:p w:rsidR="00B454FB" w:rsidRPr="00F90737" w:rsidRDefault="00B454FB" w:rsidP="00B454FB">
            <w:pPr>
              <w:rPr>
                <w:rFonts w:ascii="Calibri" w:hAnsi="Calibri"/>
                <w:sz w:val="16"/>
                <w:szCs w:val="16"/>
              </w:rPr>
            </w:pPr>
            <w:r w:rsidRPr="00F90737">
              <w:rPr>
                <w:rFonts w:ascii="Calibri" w:hAnsi="Calibri"/>
                <w:sz w:val="16"/>
                <w:szCs w:val="16"/>
              </w:rPr>
              <w:t>2007</w:t>
            </w:r>
          </w:p>
        </w:tc>
        <w:tc>
          <w:tcPr>
            <w:tcW w:w="3127" w:type="dxa"/>
          </w:tcPr>
          <w:p w:rsidR="00B454FB" w:rsidRPr="00F90737" w:rsidRDefault="00B454FB" w:rsidP="00B454FB">
            <w:pPr>
              <w:rPr>
                <w:rFonts w:ascii="Calibri" w:hAnsi="Calibri"/>
                <w:sz w:val="16"/>
                <w:szCs w:val="16"/>
              </w:rPr>
            </w:pPr>
            <w:r w:rsidRPr="00F90737">
              <w:rPr>
                <w:rFonts w:ascii="Calibri" w:hAnsi="Calibri"/>
                <w:sz w:val="16"/>
                <w:szCs w:val="16"/>
              </w:rPr>
              <w:t>2008</w:t>
            </w:r>
          </w:p>
        </w:tc>
        <w:tc>
          <w:tcPr>
            <w:tcW w:w="2915" w:type="dxa"/>
          </w:tcPr>
          <w:p w:rsidR="00B454FB" w:rsidRPr="00F90737" w:rsidRDefault="00B454FB" w:rsidP="00B454FB">
            <w:pPr>
              <w:rPr>
                <w:rFonts w:ascii="Calibri" w:hAnsi="Calibri"/>
                <w:sz w:val="16"/>
                <w:szCs w:val="16"/>
              </w:rPr>
            </w:pPr>
            <w:r w:rsidRPr="00F90737">
              <w:rPr>
                <w:rFonts w:ascii="Calibri" w:hAnsi="Calibri"/>
                <w:sz w:val="16"/>
                <w:szCs w:val="16"/>
              </w:rPr>
              <w:t>2009</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Number of incidents and districts</w:t>
            </w:r>
          </w:p>
        </w:tc>
        <w:tc>
          <w:tcPr>
            <w:tcW w:w="3144" w:type="dxa"/>
          </w:tcPr>
          <w:p w:rsidR="00B454FB" w:rsidRPr="00F90737" w:rsidRDefault="00B454FB" w:rsidP="00B454FB">
            <w:pPr>
              <w:rPr>
                <w:rFonts w:ascii="Calibri" w:hAnsi="Calibri"/>
                <w:sz w:val="16"/>
                <w:szCs w:val="16"/>
              </w:rPr>
            </w:pPr>
            <w:r w:rsidRPr="00F90737">
              <w:rPr>
                <w:rFonts w:ascii="Calibri" w:hAnsi="Calibri"/>
                <w:sz w:val="16"/>
                <w:szCs w:val="16"/>
              </w:rPr>
              <w:t>98 incidents in 51 districts</w:t>
            </w:r>
          </w:p>
        </w:tc>
        <w:tc>
          <w:tcPr>
            <w:tcW w:w="3176" w:type="dxa"/>
          </w:tcPr>
          <w:p w:rsidR="00B454FB" w:rsidRPr="00F90737" w:rsidRDefault="00B454FB" w:rsidP="00B454FB">
            <w:pPr>
              <w:rPr>
                <w:rFonts w:ascii="Calibri" w:hAnsi="Calibri"/>
                <w:sz w:val="16"/>
                <w:szCs w:val="16"/>
              </w:rPr>
            </w:pPr>
            <w:r w:rsidRPr="00F90737">
              <w:rPr>
                <w:rFonts w:ascii="Calibri" w:hAnsi="Calibri"/>
                <w:sz w:val="16"/>
                <w:szCs w:val="16"/>
              </w:rPr>
              <w:t>42 incidents in 29 districts</w:t>
            </w:r>
          </w:p>
        </w:tc>
        <w:tc>
          <w:tcPr>
            <w:tcW w:w="3127" w:type="dxa"/>
          </w:tcPr>
          <w:p w:rsidR="00B454FB" w:rsidRPr="00F90737" w:rsidRDefault="00B454FB" w:rsidP="00B454FB">
            <w:pPr>
              <w:rPr>
                <w:rFonts w:ascii="Calibri" w:hAnsi="Calibri"/>
                <w:sz w:val="16"/>
                <w:szCs w:val="16"/>
              </w:rPr>
            </w:pPr>
            <w:r w:rsidRPr="00F90737">
              <w:rPr>
                <w:rFonts w:ascii="Calibri" w:hAnsi="Calibri"/>
                <w:sz w:val="16"/>
                <w:szCs w:val="16"/>
              </w:rPr>
              <w:t>37 incidents in 24 districts</w:t>
            </w:r>
          </w:p>
        </w:tc>
        <w:tc>
          <w:tcPr>
            <w:tcW w:w="2915" w:type="dxa"/>
          </w:tcPr>
          <w:p w:rsidR="00B454FB" w:rsidRPr="00F90737" w:rsidRDefault="00B454FB" w:rsidP="00B454FB">
            <w:pPr>
              <w:rPr>
                <w:rFonts w:ascii="Calibri" w:hAnsi="Calibri"/>
                <w:sz w:val="16"/>
                <w:szCs w:val="16"/>
              </w:rPr>
            </w:pPr>
            <w:r w:rsidRPr="00F90737">
              <w:rPr>
                <w:rFonts w:ascii="Calibri" w:hAnsi="Calibri"/>
                <w:sz w:val="16"/>
                <w:szCs w:val="16"/>
              </w:rPr>
              <w:t>24 incidents in 18 districts</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Most highly affected districts (casualties)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Kailali: 11.8%</w:t>
            </w:r>
          </w:p>
          <w:p w:rsidR="00B454FB" w:rsidRPr="00F90737" w:rsidRDefault="00B454FB" w:rsidP="00B454FB">
            <w:pPr>
              <w:rPr>
                <w:rFonts w:ascii="Calibri" w:hAnsi="Calibri"/>
                <w:sz w:val="16"/>
                <w:szCs w:val="16"/>
              </w:rPr>
            </w:pPr>
            <w:r w:rsidRPr="00F90737">
              <w:rPr>
                <w:rFonts w:ascii="Calibri" w:hAnsi="Calibri"/>
                <w:sz w:val="16"/>
                <w:szCs w:val="16"/>
              </w:rPr>
              <w:t>Morang: 7.1 %</w:t>
            </w:r>
          </w:p>
          <w:p w:rsidR="00B454FB" w:rsidRPr="00F90737" w:rsidRDefault="00B454FB" w:rsidP="00B454FB">
            <w:pPr>
              <w:rPr>
                <w:rFonts w:ascii="Calibri" w:hAnsi="Calibri"/>
                <w:sz w:val="16"/>
                <w:szCs w:val="16"/>
              </w:rPr>
            </w:pPr>
            <w:r w:rsidRPr="00F90737">
              <w:rPr>
                <w:rFonts w:ascii="Calibri" w:hAnsi="Calibri"/>
                <w:sz w:val="16"/>
                <w:szCs w:val="16"/>
              </w:rPr>
              <w:t>Kavre, Rupandehi: 4.7% each</w:t>
            </w:r>
          </w:p>
          <w:p w:rsidR="00B454FB" w:rsidRPr="00F90737" w:rsidRDefault="00B454FB" w:rsidP="00B454FB">
            <w:pPr>
              <w:rPr>
                <w:rFonts w:ascii="Calibri" w:hAnsi="Calibri"/>
                <w:sz w:val="16"/>
                <w:szCs w:val="16"/>
              </w:rPr>
            </w:pPr>
            <w:r w:rsidRPr="00F90737">
              <w:rPr>
                <w:rFonts w:ascii="Calibri" w:hAnsi="Calibri"/>
                <w:sz w:val="16"/>
                <w:szCs w:val="16"/>
              </w:rPr>
              <w:t>Dhanusa: 4.1%</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Jhapa: 30.8%</w:t>
            </w:r>
          </w:p>
          <w:p w:rsidR="00B454FB" w:rsidRPr="00F90737" w:rsidRDefault="00B454FB" w:rsidP="00B454FB">
            <w:pPr>
              <w:rPr>
                <w:rFonts w:ascii="Calibri" w:hAnsi="Calibri"/>
                <w:sz w:val="16"/>
                <w:szCs w:val="16"/>
              </w:rPr>
            </w:pPr>
            <w:r w:rsidRPr="00F90737">
              <w:rPr>
                <w:rFonts w:ascii="Calibri" w:hAnsi="Calibri"/>
                <w:sz w:val="16"/>
                <w:szCs w:val="16"/>
              </w:rPr>
              <w:t>Palpa: 8.7%</w:t>
            </w:r>
          </w:p>
          <w:p w:rsidR="00B454FB" w:rsidRPr="00F90737" w:rsidRDefault="00B454FB" w:rsidP="00B454FB">
            <w:pPr>
              <w:rPr>
                <w:rFonts w:ascii="Calibri" w:hAnsi="Calibri"/>
                <w:sz w:val="16"/>
                <w:szCs w:val="16"/>
              </w:rPr>
            </w:pPr>
            <w:r w:rsidRPr="00F90737">
              <w:rPr>
                <w:rFonts w:ascii="Calibri" w:hAnsi="Calibri"/>
                <w:sz w:val="16"/>
                <w:szCs w:val="16"/>
              </w:rPr>
              <w:t>Nawalparasi: 5.8%</w:t>
            </w:r>
          </w:p>
          <w:p w:rsidR="00B454FB" w:rsidRPr="00F90737" w:rsidRDefault="00B454FB" w:rsidP="00B454FB">
            <w:pPr>
              <w:rPr>
                <w:rFonts w:ascii="Calibri" w:hAnsi="Calibri"/>
                <w:sz w:val="16"/>
                <w:szCs w:val="16"/>
              </w:rPr>
            </w:pPr>
            <w:r w:rsidRPr="00F90737">
              <w:rPr>
                <w:rFonts w:ascii="Calibri" w:hAnsi="Calibri"/>
                <w:sz w:val="16"/>
                <w:szCs w:val="16"/>
              </w:rPr>
              <w:t>Dang, Kailali, Mahottari, Siraha: 3.8% each</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62% of casualties in Terai districts*</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Bara:13.7%</w:t>
            </w:r>
          </w:p>
          <w:p w:rsidR="00B454FB" w:rsidRPr="00F90737" w:rsidRDefault="00B454FB" w:rsidP="00B454FB">
            <w:pPr>
              <w:rPr>
                <w:rFonts w:ascii="Calibri" w:hAnsi="Calibri"/>
                <w:sz w:val="16"/>
                <w:szCs w:val="16"/>
              </w:rPr>
            </w:pPr>
            <w:r w:rsidRPr="00F90737">
              <w:rPr>
                <w:rFonts w:ascii="Calibri" w:hAnsi="Calibri"/>
                <w:sz w:val="16"/>
                <w:szCs w:val="16"/>
              </w:rPr>
              <w:t>Sarlahi: 13.7%</w:t>
            </w:r>
          </w:p>
          <w:p w:rsidR="00B454FB" w:rsidRPr="00F90737" w:rsidRDefault="00B454FB" w:rsidP="00B454FB">
            <w:pPr>
              <w:rPr>
                <w:rFonts w:ascii="Calibri" w:hAnsi="Calibri"/>
                <w:sz w:val="16"/>
                <w:szCs w:val="16"/>
              </w:rPr>
            </w:pPr>
            <w:r w:rsidRPr="00F90737">
              <w:rPr>
                <w:rFonts w:ascii="Calibri" w:hAnsi="Calibri"/>
                <w:sz w:val="16"/>
                <w:szCs w:val="16"/>
              </w:rPr>
              <w:t>Morang: 12.3%</w:t>
            </w:r>
          </w:p>
          <w:p w:rsidR="00B454FB" w:rsidRPr="00F90737" w:rsidRDefault="00B454FB" w:rsidP="00B454FB">
            <w:pPr>
              <w:rPr>
                <w:rFonts w:ascii="Calibri" w:hAnsi="Calibri"/>
                <w:sz w:val="16"/>
                <w:szCs w:val="16"/>
              </w:rPr>
            </w:pPr>
            <w:r w:rsidRPr="00F90737">
              <w:rPr>
                <w:rFonts w:ascii="Calibri" w:hAnsi="Calibri"/>
                <w:sz w:val="16"/>
                <w:szCs w:val="16"/>
              </w:rPr>
              <w:t>Mahottari: 9.6%</w:t>
            </w:r>
          </w:p>
          <w:p w:rsidR="00B454FB" w:rsidRPr="00F90737" w:rsidRDefault="00B454FB" w:rsidP="00B454FB">
            <w:pPr>
              <w:rPr>
                <w:rFonts w:ascii="Calibri" w:hAnsi="Calibri"/>
                <w:sz w:val="16"/>
                <w:szCs w:val="16"/>
              </w:rPr>
            </w:pPr>
            <w:r w:rsidRPr="00F90737">
              <w:rPr>
                <w:rFonts w:ascii="Calibri" w:hAnsi="Calibri"/>
                <w:sz w:val="16"/>
                <w:szCs w:val="16"/>
              </w:rPr>
              <w:t>Kailali, Rautahat: 8.2%</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82% of casualties in Terai districts</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Kailali: 22.9%</w:t>
            </w:r>
          </w:p>
          <w:p w:rsidR="00B454FB" w:rsidRPr="00F90737" w:rsidRDefault="00B454FB" w:rsidP="00B454FB">
            <w:pPr>
              <w:rPr>
                <w:rFonts w:ascii="Calibri" w:hAnsi="Calibri"/>
                <w:sz w:val="16"/>
                <w:szCs w:val="16"/>
              </w:rPr>
            </w:pPr>
            <w:r w:rsidRPr="00F90737">
              <w:rPr>
                <w:rFonts w:ascii="Calibri" w:hAnsi="Calibri"/>
                <w:sz w:val="16"/>
                <w:szCs w:val="16"/>
              </w:rPr>
              <w:t>Sarlahi: 10.0%</w:t>
            </w:r>
          </w:p>
          <w:p w:rsidR="00B454FB" w:rsidRPr="00F90737" w:rsidRDefault="00B454FB" w:rsidP="00B454FB">
            <w:pPr>
              <w:rPr>
                <w:rFonts w:ascii="Calibri" w:hAnsi="Calibri"/>
                <w:sz w:val="16"/>
                <w:szCs w:val="16"/>
              </w:rPr>
            </w:pPr>
            <w:r w:rsidRPr="00F90737">
              <w:rPr>
                <w:rFonts w:ascii="Calibri" w:hAnsi="Calibri"/>
                <w:sz w:val="16"/>
                <w:szCs w:val="16"/>
              </w:rPr>
              <w:t>Banke: 7.1%</w:t>
            </w:r>
          </w:p>
          <w:p w:rsidR="00B454FB" w:rsidRPr="00F90737" w:rsidRDefault="00B454FB" w:rsidP="00B454FB">
            <w:pPr>
              <w:rPr>
                <w:rFonts w:ascii="Calibri" w:hAnsi="Calibri"/>
                <w:sz w:val="16"/>
                <w:szCs w:val="16"/>
              </w:rPr>
            </w:pPr>
            <w:r w:rsidRPr="00F90737">
              <w:rPr>
                <w:rFonts w:ascii="Calibri" w:hAnsi="Calibri"/>
                <w:sz w:val="16"/>
                <w:szCs w:val="16"/>
              </w:rPr>
              <w:t>Dadelhura: 7.1%</w:t>
            </w:r>
          </w:p>
          <w:p w:rsidR="00B454FB" w:rsidRPr="00F90737" w:rsidRDefault="00B454FB" w:rsidP="00B454FB">
            <w:pPr>
              <w:rPr>
                <w:rFonts w:ascii="Calibri" w:hAnsi="Calibri"/>
                <w:sz w:val="16"/>
                <w:szCs w:val="16"/>
              </w:rPr>
            </w:pPr>
            <w:r w:rsidRPr="00F90737">
              <w:rPr>
                <w:rFonts w:ascii="Calibri" w:hAnsi="Calibri"/>
                <w:sz w:val="16"/>
                <w:szCs w:val="16"/>
              </w:rPr>
              <w:t>Kalikot: 45.7%</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61% of casualties in Terai districts</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Most highly affected districts (incidents)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98 incidents:</w:t>
            </w:r>
          </w:p>
          <w:p w:rsidR="00B454FB" w:rsidRPr="00F90737" w:rsidRDefault="00B454FB" w:rsidP="00B454FB">
            <w:pPr>
              <w:rPr>
                <w:rFonts w:ascii="Calibri" w:hAnsi="Calibri"/>
                <w:sz w:val="16"/>
                <w:szCs w:val="16"/>
              </w:rPr>
            </w:pPr>
            <w:r w:rsidRPr="00F90737">
              <w:rPr>
                <w:rFonts w:ascii="Calibri" w:hAnsi="Calibri"/>
                <w:sz w:val="16"/>
                <w:szCs w:val="16"/>
              </w:rPr>
              <w:t>Kailali: 7.1%</w:t>
            </w:r>
          </w:p>
          <w:p w:rsidR="00B454FB" w:rsidRPr="00F90737" w:rsidRDefault="00B454FB" w:rsidP="00B454FB">
            <w:pPr>
              <w:rPr>
                <w:rFonts w:ascii="Calibri" w:hAnsi="Calibri"/>
                <w:sz w:val="16"/>
                <w:szCs w:val="16"/>
              </w:rPr>
            </w:pPr>
            <w:r w:rsidRPr="00F90737">
              <w:rPr>
                <w:rFonts w:ascii="Calibri" w:hAnsi="Calibri"/>
                <w:sz w:val="16"/>
                <w:szCs w:val="16"/>
              </w:rPr>
              <w:t>Kavre: 5.1%</w:t>
            </w:r>
          </w:p>
          <w:p w:rsidR="00B454FB" w:rsidRPr="00F90737" w:rsidRDefault="00B454FB" w:rsidP="00B454FB">
            <w:pPr>
              <w:rPr>
                <w:rFonts w:ascii="Calibri" w:hAnsi="Calibri"/>
                <w:sz w:val="16"/>
                <w:szCs w:val="16"/>
              </w:rPr>
            </w:pPr>
            <w:r w:rsidRPr="00F90737">
              <w:rPr>
                <w:rFonts w:ascii="Calibri" w:hAnsi="Calibri"/>
                <w:sz w:val="16"/>
                <w:szCs w:val="16"/>
              </w:rPr>
              <w:t>Morang, Rupandehi: 4.1% each</w:t>
            </w:r>
          </w:p>
          <w:p w:rsidR="00B454FB" w:rsidRPr="00F90737" w:rsidRDefault="00B454FB" w:rsidP="00B454FB">
            <w:pPr>
              <w:rPr>
                <w:rFonts w:ascii="Calibri" w:hAnsi="Calibri"/>
                <w:sz w:val="16"/>
                <w:szCs w:val="16"/>
              </w:rPr>
            </w:pPr>
            <w:r w:rsidRPr="00F90737">
              <w:rPr>
                <w:rFonts w:ascii="Calibri" w:hAnsi="Calibri"/>
                <w:sz w:val="16"/>
                <w:szCs w:val="16"/>
              </w:rPr>
              <w:t>Dhanusa: 4.1%</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42 incidents:</w:t>
            </w:r>
          </w:p>
          <w:p w:rsidR="00B454FB" w:rsidRPr="00F90737" w:rsidRDefault="00B454FB" w:rsidP="00B454FB">
            <w:pPr>
              <w:rPr>
                <w:rFonts w:ascii="Calibri" w:hAnsi="Calibri"/>
                <w:sz w:val="16"/>
                <w:szCs w:val="16"/>
              </w:rPr>
            </w:pPr>
            <w:r w:rsidRPr="00F90737">
              <w:rPr>
                <w:rFonts w:ascii="Calibri" w:hAnsi="Calibri"/>
                <w:sz w:val="16"/>
                <w:szCs w:val="16"/>
              </w:rPr>
              <w:t>Siraha: 7.1%</w:t>
            </w:r>
          </w:p>
          <w:p w:rsidR="00B454FB" w:rsidRPr="00F90737" w:rsidRDefault="00B454FB" w:rsidP="00B454FB">
            <w:pPr>
              <w:rPr>
                <w:rFonts w:ascii="Calibri" w:hAnsi="Calibri"/>
                <w:sz w:val="16"/>
                <w:szCs w:val="16"/>
              </w:rPr>
            </w:pPr>
            <w:r w:rsidRPr="00F90737">
              <w:rPr>
                <w:rFonts w:ascii="Calibri" w:hAnsi="Calibri"/>
                <w:sz w:val="16"/>
                <w:szCs w:val="16"/>
              </w:rPr>
              <w:t>Kailali: 7.1%</w:t>
            </w:r>
          </w:p>
          <w:p w:rsidR="00B454FB" w:rsidRPr="00F90737" w:rsidRDefault="00B454FB" w:rsidP="00B454FB">
            <w:pPr>
              <w:rPr>
                <w:rFonts w:ascii="Calibri" w:hAnsi="Calibri"/>
                <w:sz w:val="16"/>
                <w:szCs w:val="16"/>
              </w:rPr>
            </w:pPr>
            <w:r w:rsidRPr="00F90737">
              <w:rPr>
                <w:rFonts w:ascii="Calibri" w:hAnsi="Calibri"/>
                <w:sz w:val="16"/>
                <w:szCs w:val="16"/>
              </w:rPr>
              <w:t>Chitwan, Dailekh, Dang, Dhanusa, Kalikot, Khotang, Mahottari, Morang, Rolpa: 4.8% each</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48% of incidents in Terai districts</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38 incidents:</w:t>
            </w:r>
          </w:p>
          <w:p w:rsidR="00B454FB" w:rsidRPr="00F90737" w:rsidRDefault="00B454FB" w:rsidP="00B454FB">
            <w:pPr>
              <w:rPr>
                <w:rFonts w:ascii="Calibri" w:hAnsi="Calibri"/>
                <w:sz w:val="16"/>
                <w:szCs w:val="16"/>
              </w:rPr>
            </w:pPr>
            <w:r w:rsidRPr="00F90737">
              <w:rPr>
                <w:rFonts w:ascii="Calibri" w:hAnsi="Calibri"/>
                <w:sz w:val="16"/>
                <w:szCs w:val="16"/>
              </w:rPr>
              <w:t>Bara: 13.2%</w:t>
            </w:r>
          </w:p>
          <w:p w:rsidR="00B454FB" w:rsidRPr="00F90737" w:rsidRDefault="00B454FB" w:rsidP="00B454FB">
            <w:pPr>
              <w:rPr>
                <w:rFonts w:ascii="Calibri" w:hAnsi="Calibri"/>
                <w:sz w:val="16"/>
                <w:szCs w:val="16"/>
              </w:rPr>
            </w:pPr>
            <w:r w:rsidRPr="00F90737">
              <w:rPr>
                <w:rFonts w:ascii="Calibri" w:hAnsi="Calibri"/>
                <w:sz w:val="16"/>
                <w:szCs w:val="16"/>
              </w:rPr>
              <w:t>Sarlahi: 7.9%</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71% of incidents in Terai districts</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24 incidents:</w:t>
            </w:r>
          </w:p>
          <w:p w:rsidR="00B454FB" w:rsidRPr="00F90737" w:rsidRDefault="00B454FB" w:rsidP="00B454FB">
            <w:pPr>
              <w:rPr>
                <w:rFonts w:ascii="Calibri" w:hAnsi="Calibri"/>
                <w:sz w:val="16"/>
                <w:szCs w:val="16"/>
              </w:rPr>
            </w:pPr>
            <w:r w:rsidRPr="00F90737">
              <w:rPr>
                <w:rFonts w:ascii="Calibri" w:hAnsi="Calibri"/>
                <w:sz w:val="16"/>
                <w:szCs w:val="16"/>
              </w:rPr>
              <w:t>Kailali: 16.7%</w:t>
            </w:r>
          </w:p>
          <w:p w:rsidR="00B454FB" w:rsidRPr="00F90737" w:rsidRDefault="00B454FB" w:rsidP="00B454FB">
            <w:pPr>
              <w:rPr>
                <w:rFonts w:ascii="Calibri" w:hAnsi="Calibri"/>
                <w:sz w:val="16"/>
                <w:szCs w:val="16"/>
              </w:rPr>
            </w:pPr>
            <w:r w:rsidRPr="00F90737">
              <w:rPr>
                <w:rFonts w:ascii="Calibri" w:hAnsi="Calibri"/>
                <w:sz w:val="16"/>
                <w:szCs w:val="16"/>
              </w:rPr>
              <w:t>Sarlahi: 12.5%</w:t>
            </w:r>
          </w:p>
          <w:p w:rsidR="00B454FB" w:rsidRPr="00F90737" w:rsidRDefault="00B454FB" w:rsidP="00B454FB">
            <w:pPr>
              <w:rPr>
                <w:rFonts w:ascii="Calibri" w:hAnsi="Calibri"/>
                <w:sz w:val="16"/>
                <w:szCs w:val="16"/>
              </w:rPr>
            </w:pPr>
            <w:r w:rsidRPr="00F90737">
              <w:rPr>
                <w:rFonts w:ascii="Calibri" w:hAnsi="Calibri"/>
                <w:sz w:val="16"/>
                <w:szCs w:val="16"/>
              </w:rPr>
              <w:t>Banke: 8.3%</w:t>
            </w:r>
          </w:p>
          <w:p w:rsidR="00B454FB" w:rsidRPr="00F90737" w:rsidRDefault="00B454FB" w:rsidP="00B454FB">
            <w:pPr>
              <w:rPr>
                <w:rFonts w:ascii="Calibri" w:hAnsi="Calibri"/>
                <w:sz w:val="16"/>
                <w:szCs w:val="16"/>
              </w:rPr>
            </w:pPr>
            <w:r w:rsidRPr="00F90737">
              <w:rPr>
                <w:rFonts w:ascii="Calibri" w:hAnsi="Calibri"/>
                <w:sz w:val="16"/>
                <w:szCs w:val="16"/>
              </w:rPr>
              <w:t>Dadelhura: 4.2%</w:t>
            </w:r>
          </w:p>
          <w:p w:rsidR="00B454FB" w:rsidRPr="00F90737" w:rsidRDefault="00B454FB" w:rsidP="00B454FB">
            <w:pPr>
              <w:rPr>
                <w:rFonts w:ascii="Calibri" w:hAnsi="Calibri"/>
                <w:sz w:val="16"/>
                <w:szCs w:val="16"/>
              </w:rPr>
            </w:pPr>
            <w:r w:rsidRPr="00F90737">
              <w:rPr>
                <w:rFonts w:ascii="Calibri" w:hAnsi="Calibri"/>
                <w:sz w:val="16"/>
                <w:szCs w:val="16"/>
              </w:rPr>
              <w:t>Kalikot: 4.2%</w:t>
            </w:r>
          </w:p>
          <w:p w:rsidR="00B454FB" w:rsidRPr="00F90737" w:rsidRDefault="00B454FB" w:rsidP="00B454FB">
            <w:pPr>
              <w:rPr>
                <w:rFonts w:ascii="Calibri" w:hAnsi="Calibri"/>
                <w:sz w:val="16"/>
                <w:szCs w:val="16"/>
              </w:rPr>
            </w:pPr>
          </w:p>
          <w:p w:rsidR="00B454FB" w:rsidRPr="00F90737" w:rsidRDefault="00B454FB" w:rsidP="00B454FB">
            <w:pPr>
              <w:rPr>
                <w:rFonts w:ascii="Calibri" w:hAnsi="Calibri"/>
                <w:sz w:val="16"/>
                <w:szCs w:val="16"/>
              </w:rPr>
            </w:pPr>
            <w:r w:rsidRPr="00F90737">
              <w:rPr>
                <w:rFonts w:ascii="Calibri" w:hAnsi="Calibri"/>
                <w:sz w:val="16"/>
                <w:szCs w:val="16"/>
              </w:rPr>
              <w:t>59% of incidents in Terai districts</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Place of incident</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Home: 35%</w:t>
            </w:r>
          </w:p>
          <w:p w:rsidR="00B454FB" w:rsidRPr="00F90737" w:rsidRDefault="00B454FB" w:rsidP="00B454FB">
            <w:pPr>
              <w:rPr>
                <w:rFonts w:ascii="Calibri" w:hAnsi="Calibri"/>
                <w:sz w:val="16"/>
                <w:szCs w:val="16"/>
              </w:rPr>
            </w:pPr>
            <w:r w:rsidRPr="00F90737">
              <w:rPr>
                <w:rFonts w:ascii="Calibri" w:hAnsi="Calibri"/>
                <w:sz w:val="16"/>
                <w:szCs w:val="16"/>
              </w:rPr>
              <w:t>Road: 18%</w:t>
            </w:r>
          </w:p>
          <w:p w:rsidR="00B454FB" w:rsidRPr="00F90737" w:rsidRDefault="00B454FB" w:rsidP="00B454FB">
            <w:pPr>
              <w:rPr>
                <w:rFonts w:ascii="Calibri" w:hAnsi="Calibri"/>
                <w:sz w:val="16"/>
                <w:szCs w:val="16"/>
              </w:rPr>
            </w:pPr>
            <w:r w:rsidRPr="00F90737">
              <w:rPr>
                <w:rFonts w:ascii="Calibri" w:hAnsi="Calibri"/>
                <w:sz w:val="16"/>
                <w:szCs w:val="16"/>
              </w:rPr>
              <w:t>Village/town: 14%</w:t>
            </w:r>
          </w:p>
          <w:p w:rsidR="00B454FB" w:rsidRPr="00F90737" w:rsidRDefault="00B454FB" w:rsidP="00B454FB">
            <w:pPr>
              <w:rPr>
                <w:rFonts w:ascii="Calibri" w:hAnsi="Calibri"/>
                <w:sz w:val="16"/>
                <w:szCs w:val="16"/>
              </w:rPr>
            </w:pPr>
            <w:r w:rsidRPr="00F90737">
              <w:rPr>
                <w:rFonts w:ascii="Calibri" w:hAnsi="Calibri"/>
                <w:sz w:val="16"/>
                <w:szCs w:val="16"/>
              </w:rPr>
              <w:t>Forest/jungle: 7%</w:t>
            </w:r>
          </w:p>
          <w:p w:rsidR="00B454FB" w:rsidRPr="00F90737" w:rsidRDefault="00B454FB" w:rsidP="00B454FB">
            <w:pPr>
              <w:rPr>
                <w:rFonts w:ascii="Calibri" w:hAnsi="Calibri"/>
                <w:sz w:val="16"/>
                <w:szCs w:val="16"/>
              </w:rPr>
            </w:pPr>
            <w:r w:rsidRPr="00F90737">
              <w:rPr>
                <w:rFonts w:ascii="Calibri" w:hAnsi="Calibri"/>
                <w:sz w:val="16"/>
                <w:szCs w:val="16"/>
              </w:rPr>
              <w:t>Agriculture: 7%</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Agriculture: 34.6%</w:t>
            </w:r>
          </w:p>
          <w:p w:rsidR="00B454FB" w:rsidRPr="00F90737" w:rsidRDefault="00B454FB" w:rsidP="00B454FB">
            <w:pPr>
              <w:rPr>
                <w:rFonts w:ascii="Calibri" w:hAnsi="Calibri"/>
                <w:sz w:val="16"/>
                <w:szCs w:val="16"/>
              </w:rPr>
            </w:pPr>
            <w:r w:rsidRPr="00F90737">
              <w:rPr>
                <w:rFonts w:ascii="Calibri" w:hAnsi="Calibri"/>
                <w:sz w:val="16"/>
                <w:szCs w:val="16"/>
              </w:rPr>
              <w:t>Home: 33.7%</w:t>
            </w:r>
          </w:p>
          <w:p w:rsidR="00B454FB" w:rsidRPr="00F90737" w:rsidRDefault="00B454FB" w:rsidP="00B454FB">
            <w:pPr>
              <w:rPr>
                <w:rFonts w:ascii="Calibri" w:hAnsi="Calibri"/>
                <w:sz w:val="16"/>
                <w:szCs w:val="16"/>
              </w:rPr>
            </w:pPr>
            <w:r w:rsidRPr="00F90737">
              <w:rPr>
                <w:rFonts w:ascii="Calibri" w:hAnsi="Calibri"/>
                <w:sz w:val="16"/>
                <w:szCs w:val="16"/>
              </w:rPr>
              <w:t>Village/town: 9.6%</w:t>
            </w:r>
          </w:p>
          <w:p w:rsidR="00B454FB" w:rsidRPr="00F90737" w:rsidRDefault="00B454FB" w:rsidP="00B454FB">
            <w:pPr>
              <w:rPr>
                <w:rFonts w:ascii="Calibri" w:hAnsi="Calibri"/>
                <w:sz w:val="16"/>
                <w:szCs w:val="16"/>
              </w:rPr>
            </w:pPr>
            <w:r w:rsidRPr="00F90737">
              <w:rPr>
                <w:rFonts w:ascii="Calibri" w:hAnsi="Calibri"/>
                <w:sz w:val="16"/>
                <w:szCs w:val="16"/>
              </w:rPr>
              <w:t>Forest/jungle: 6.7%</w:t>
            </w:r>
          </w:p>
          <w:p w:rsidR="00B454FB" w:rsidRPr="00F90737" w:rsidRDefault="00B454FB" w:rsidP="00B454FB">
            <w:pPr>
              <w:rPr>
                <w:rFonts w:ascii="Calibri" w:hAnsi="Calibri"/>
                <w:sz w:val="16"/>
                <w:szCs w:val="16"/>
              </w:rPr>
            </w:pPr>
            <w:r w:rsidRPr="00F90737">
              <w:rPr>
                <w:rFonts w:ascii="Calibri" w:hAnsi="Calibri"/>
                <w:sz w:val="16"/>
                <w:szCs w:val="16"/>
              </w:rPr>
              <w:t>Near tower: 4.8%</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Home: 43.8%</w:t>
            </w:r>
          </w:p>
          <w:p w:rsidR="00B454FB" w:rsidRPr="00F90737" w:rsidRDefault="00B454FB" w:rsidP="00B454FB">
            <w:pPr>
              <w:rPr>
                <w:rFonts w:ascii="Calibri" w:hAnsi="Calibri"/>
                <w:sz w:val="16"/>
                <w:szCs w:val="16"/>
              </w:rPr>
            </w:pPr>
            <w:r w:rsidRPr="00F90737">
              <w:rPr>
                <w:rFonts w:ascii="Calibri" w:hAnsi="Calibri"/>
                <w:sz w:val="16"/>
                <w:szCs w:val="16"/>
              </w:rPr>
              <w:t>Road: 16.4%</w:t>
            </w:r>
          </w:p>
          <w:p w:rsidR="00B454FB" w:rsidRPr="00F90737" w:rsidRDefault="00B454FB" w:rsidP="00B454FB">
            <w:pPr>
              <w:rPr>
                <w:rFonts w:ascii="Calibri" w:hAnsi="Calibri"/>
                <w:sz w:val="16"/>
                <w:szCs w:val="16"/>
              </w:rPr>
            </w:pPr>
            <w:r w:rsidRPr="00F90737">
              <w:rPr>
                <w:rFonts w:ascii="Calibri" w:hAnsi="Calibri"/>
                <w:sz w:val="16"/>
                <w:szCs w:val="16"/>
              </w:rPr>
              <w:t>Path: 8.2%</w:t>
            </w:r>
          </w:p>
          <w:p w:rsidR="00B454FB" w:rsidRPr="00F90737" w:rsidRDefault="00B454FB" w:rsidP="00B454FB">
            <w:pPr>
              <w:rPr>
                <w:rFonts w:ascii="Calibri" w:hAnsi="Calibri"/>
                <w:sz w:val="16"/>
                <w:szCs w:val="16"/>
              </w:rPr>
            </w:pPr>
            <w:r w:rsidRPr="00F90737">
              <w:rPr>
                <w:rFonts w:ascii="Calibri" w:hAnsi="Calibri"/>
                <w:sz w:val="16"/>
                <w:szCs w:val="16"/>
              </w:rPr>
              <w:t>School: 8.2%</w:t>
            </w:r>
          </w:p>
          <w:p w:rsidR="00B454FB" w:rsidRPr="00F90737" w:rsidRDefault="00B454FB" w:rsidP="00B454FB">
            <w:pPr>
              <w:rPr>
                <w:rFonts w:ascii="Calibri" w:hAnsi="Calibri"/>
                <w:sz w:val="16"/>
                <w:szCs w:val="16"/>
              </w:rPr>
            </w:pPr>
            <w:r w:rsidRPr="00F90737">
              <w:rPr>
                <w:rFonts w:ascii="Calibri" w:hAnsi="Calibri"/>
                <w:sz w:val="16"/>
                <w:szCs w:val="16"/>
              </w:rPr>
              <w:t>Agricultural land: 6.8%</w:t>
            </w:r>
          </w:p>
          <w:p w:rsidR="00B454FB" w:rsidRPr="00F90737" w:rsidRDefault="00B454FB" w:rsidP="00B454FB">
            <w:pPr>
              <w:rPr>
                <w:rFonts w:ascii="Calibri" w:hAnsi="Calibri"/>
                <w:sz w:val="16"/>
                <w:szCs w:val="16"/>
              </w:rPr>
            </w:pPr>
            <w:r w:rsidRPr="00F90737">
              <w:rPr>
                <w:rFonts w:ascii="Calibri" w:hAnsi="Calibri"/>
                <w:sz w:val="16"/>
                <w:szCs w:val="16"/>
              </w:rPr>
              <w:t>Grassland: 5.5%</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Home: 41.4%</w:t>
            </w:r>
          </w:p>
          <w:p w:rsidR="00B454FB" w:rsidRPr="00F90737" w:rsidRDefault="00B454FB" w:rsidP="00B454FB">
            <w:pPr>
              <w:rPr>
                <w:rFonts w:ascii="Calibri" w:hAnsi="Calibri"/>
                <w:sz w:val="16"/>
                <w:szCs w:val="16"/>
              </w:rPr>
            </w:pPr>
            <w:r w:rsidRPr="00F90737">
              <w:rPr>
                <w:rFonts w:ascii="Calibri" w:hAnsi="Calibri"/>
                <w:sz w:val="16"/>
                <w:szCs w:val="16"/>
              </w:rPr>
              <w:t>Agriculture: 18.6%</w:t>
            </w:r>
          </w:p>
          <w:p w:rsidR="00B454FB" w:rsidRPr="00F90737" w:rsidRDefault="00B454FB" w:rsidP="00B454FB">
            <w:pPr>
              <w:rPr>
                <w:rFonts w:ascii="Calibri" w:hAnsi="Calibri"/>
                <w:sz w:val="16"/>
                <w:szCs w:val="16"/>
              </w:rPr>
            </w:pPr>
            <w:r w:rsidRPr="00F90737">
              <w:rPr>
                <w:rFonts w:ascii="Calibri" w:hAnsi="Calibri"/>
                <w:sz w:val="16"/>
                <w:szCs w:val="16"/>
              </w:rPr>
              <w:t>Forest/jungle: 5.7%</w:t>
            </w:r>
          </w:p>
          <w:p w:rsidR="00B454FB" w:rsidRPr="00F90737" w:rsidRDefault="00B454FB" w:rsidP="00B454FB">
            <w:pPr>
              <w:rPr>
                <w:rFonts w:ascii="Calibri" w:hAnsi="Calibri"/>
                <w:sz w:val="16"/>
                <w:szCs w:val="16"/>
              </w:rPr>
            </w:pPr>
            <w:r w:rsidRPr="00F90737">
              <w:rPr>
                <w:rFonts w:ascii="Calibri" w:hAnsi="Calibri"/>
                <w:sz w:val="16"/>
                <w:szCs w:val="16"/>
              </w:rPr>
              <w:t>Path: 5.7%</w:t>
            </w:r>
          </w:p>
          <w:p w:rsidR="00B454FB" w:rsidRPr="00F90737" w:rsidRDefault="00B454FB" w:rsidP="00B454FB">
            <w:pPr>
              <w:rPr>
                <w:rFonts w:ascii="Calibri" w:hAnsi="Calibri"/>
                <w:sz w:val="16"/>
                <w:szCs w:val="16"/>
              </w:rPr>
            </w:pPr>
            <w:r w:rsidRPr="00F90737">
              <w:rPr>
                <w:rFonts w:ascii="Calibri" w:hAnsi="Calibri"/>
                <w:sz w:val="16"/>
                <w:szCs w:val="16"/>
              </w:rPr>
              <w:t>Road: 5.7%</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Type of ED</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 xml:space="preserve">IED: 85.8% </w:t>
            </w:r>
          </w:p>
          <w:p w:rsidR="00B454FB" w:rsidRPr="00F90737" w:rsidRDefault="00B454FB" w:rsidP="00B454FB">
            <w:pPr>
              <w:rPr>
                <w:rFonts w:ascii="Calibri" w:hAnsi="Calibri"/>
                <w:sz w:val="16"/>
                <w:szCs w:val="16"/>
              </w:rPr>
            </w:pPr>
            <w:r w:rsidRPr="00F90737">
              <w:rPr>
                <w:rFonts w:ascii="Calibri" w:hAnsi="Calibri"/>
                <w:sz w:val="16"/>
                <w:szCs w:val="16"/>
              </w:rPr>
              <w:t>--Socket bomb: 29.0%</w:t>
            </w:r>
          </w:p>
          <w:p w:rsidR="00B454FB" w:rsidRPr="00F90737" w:rsidRDefault="00B454FB" w:rsidP="00B454FB">
            <w:pPr>
              <w:rPr>
                <w:rFonts w:ascii="Calibri" w:hAnsi="Calibri"/>
                <w:sz w:val="16"/>
                <w:szCs w:val="16"/>
              </w:rPr>
            </w:pPr>
            <w:r w:rsidRPr="00F90737">
              <w:rPr>
                <w:rFonts w:ascii="Calibri" w:hAnsi="Calibri"/>
                <w:sz w:val="16"/>
                <w:szCs w:val="16"/>
              </w:rPr>
              <w:t>--Roadblock/booby trap: 5.9%</w:t>
            </w:r>
          </w:p>
          <w:p w:rsidR="00B454FB" w:rsidRPr="00F90737" w:rsidRDefault="00B454FB" w:rsidP="00B454FB">
            <w:pPr>
              <w:rPr>
                <w:rFonts w:ascii="Calibri" w:hAnsi="Calibri"/>
                <w:sz w:val="16"/>
                <w:szCs w:val="16"/>
              </w:rPr>
            </w:pPr>
            <w:r w:rsidRPr="00F90737">
              <w:rPr>
                <w:rFonts w:ascii="Calibri" w:hAnsi="Calibri"/>
                <w:sz w:val="16"/>
                <w:szCs w:val="16"/>
              </w:rPr>
              <w:t>--Sutali bomb: 3.6%</w:t>
            </w:r>
          </w:p>
          <w:p w:rsidR="00B454FB" w:rsidRPr="00F90737" w:rsidRDefault="00B454FB" w:rsidP="00B454FB">
            <w:pPr>
              <w:rPr>
                <w:rFonts w:ascii="Calibri" w:hAnsi="Calibri"/>
                <w:sz w:val="16"/>
                <w:szCs w:val="16"/>
              </w:rPr>
            </w:pPr>
            <w:r w:rsidRPr="00F90737">
              <w:rPr>
                <w:rFonts w:ascii="Calibri" w:hAnsi="Calibri"/>
                <w:sz w:val="16"/>
                <w:szCs w:val="16"/>
              </w:rPr>
              <w:t>--Unknown IED: 43.2%</w:t>
            </w:r>
          </w:p>
          <w:p w:rsidR="00B454FB" w:rsidRPr="00F90737" w:rsidRDefault="00B454FB" w:rsidP="00B454FB">
            <w:pPr>
              <w:rPr>
                <w:rFonts w:ascii="Calibri" w:hAnsi="Calibri"/>
                <w:sz w:val="16"/>
                <w:szCs w:val="16"/>
              </w:rPr>
            </w:pPr>
            <w:r w:rsidRPr="00F90737">
              <w:rPr>
                <w:rFonts w:ascii="Calibri" w:hAnsi="Calibri"/>
                <w:sz w:val="16"/>
                <w:szCs w:val="16"/>
              </w:rPr>
              <w:t>Mine: 3.0%</w:t>
            </w:r>
          </w:p>
          <w:p w:rsidR="00B454FB" w:rsidRPr="00F90737" w:rsidRDefault="00B454FB" w:rsidP="00B454FB">
            <w:pPr>
              <w:rPr>
                <w:rFonts w:ascii="Calibri" w:hAnsi="Calibri"/>
                <w:sz w:val="16"/>
                <w:szCs w:val="16"/>
              </w:rPr>
            </w:pPr>
            <w:r w:rsidRPr="00F90737">
              <w:rPr>
                <w:rFonts w:ascii="Calibri" w:hAnsi="Calibri"/>
                <w:sz w:val="16"/>
                <w:szCs w:val="16"/>
              </w:rPr>
              <w:t>Unknown: 4.7%</w:t>
            </w:r>
          </w:p>
          <w:p w:rsidR="00B454FB" w:rsidRPr="00F90737" w:rsidRDefault="00B454FB" w:rsidP="00B454FB">
            <w:pPr>
              <w:rPr>
                <w:rFonts w:ascii="Calibri" w:hAnsi="Calibri"/>
                <w:sz w:val="16"/>
                <w:szCs w:val="16"/>
              </w:rPr>
            </w:pPr>
            <w:r w:rsidRPr="00F90737">
              <w:rPr>
                <w:rFonts w:ascii="Calibri" w:hAnsi="Calibri"/>
                <w:sz w:val="16"/>
                <w:szCs w:val="16"/>
              </w:rPr>
              <w:t>Other ED: 4.1%</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IED: 75.0%</w:t>
            </w:r>
          </w:p>
          <w:p w:rsidR="00B454FB" w:rsidRPr="00F90737" w:rsidRDefault="00B454FB" w:rsidP="00B454FB">
            <w:pPr>
              <w:rPr>
                <w:rFonts w:ascii="Calibri" w:hAnsi="Calibri"/>
                <w:sz w:val="16"/>
                <w:szCs w:val="16"/>
              </w:rPr>
            </w:pPr>
            <w:r w:rsidRPr="00F90737">
              <w:rPr>
                <w:rFonts w:ascii="Calibri" w:hAnsi="Calibri"/>
                <w:sz w:val="16"/>
                <w:szCs w:val="16"/>
              </w:rPr>
              <w:t>--Sutali bomb: 34.6%</w:t>
            </w:r>
          </w:p>
          <w:p w:rsidR="00B454FB" w:rsidRPr="00F90737" w:rsidRDefault="00B454FB" w:rsidP="00B454FB">
            <w:pPr>
              <w:rPr>
                <w:rFonts w:ascii="Calibri" w:hAnsi="Calibri"/>
                <w:sz w:val="16"/>
                <w:szCs w:val="16"/>
              </w:rPr>
            </w:pPr>
            <w:r w:rsidRPr="00F90737">
              <w:rPr>
                <w:rFonts w:ascii="Calibri" w:hAnsi="Calibri"/>
                <w:sz w:val="16"/>
                <w:szCs w:val="16"/>
              </w:rPr>
              <w:t>--Socket bomb: 23.1%</w:t>
            </w:r>
          </w:p>
          <w:p w:rsidR="00B454FB" w:rsidRPr="00F90737" w:rsidRDefault="00B454FB" w:rsidP="00B454FB">
            <w:pPr>
              <w:rPr>
                <w:rFonts w:ascii="Calibri" w:hAnsi="Calibri"/>
                <w:sz w:val="16"/>
                <w:szCs w:val="16"/>
              </w:rPr>
            </w:pPr>
            <w:r w:rsidRPr="00F90737">
              <w:rPr>
                <w:rFonts w:ascii="Calibri" w:hAnsi="Calibri"/>
                <w:sz w:val="16"/>
                <w:szCs w:val="16"/>
              </w:rPr>
              <w:t>--Other IED: 11.5%</w:t>
            </w:r>
          </w:p>
          <w:p w:rsidR="00B454FB" w:rsidRPr="00F90737" w:rsidRDefault="00B454FB" w:rsidP="00B454FB">
            <w:pPr>
              <w:rPr>
                <w:rFonts w:ascii="Calibri" w:hAnsi="Calibri"/>
                <w:sz w:val="16"/>
                <w:szCs w:val="16"/>
              </w:rPr>
            </w:pPr>
            <w:r w:rsidRPr="00F90737">
              <w:rPr>
                <w:rFonts w:ascii="Calibri" w:hAnsi="Calibri"/>
                <w:sz w:val="16"/>
                <w:szCs w:val="16"/>
              </w:rPr>
              <w:t>--Unknown IED: 5.8%</w:t>
            </w:r>
          </w:p>
          <w:p w:rsidR="00B454FB" w:rsidRPr="00F90737" w:rsidRDefault="00B454FB" w:rsidP="00B454FB">
            <w:pPr>
              <w:rPr>
                <w:rFonts w:ascii="Calibri" w:hAnsi="Calibri"/>
                <w:sz w:val="16"/>
                <w:szCs w:val="16"/>
              </w:rPr>
            </w:pPr>
            <w:r w:rsidRPr="00F90737">
              <w:rPr>
                <w:rFonts w:ascii="Calibri" w:hAnsi="Calibri"/>
                <w:sz w:val="16"/>
                <w:szCs w:val="16"/>
              </w:rPr>
              <w:t>Mine: 5.8%</w:t>
            </w:r>
          </w:p>
          <w:p w:rsidR="00B454FB" w:rsidRPr="00F90737" w:rsidRDefault="00B454FB" w:rsidP="00B454FB">
            <w:pPr>
              <w:rPr>
                <w:rFonts w:ascii="Calibri" w:hAnsi="Calibri"/>
                <w:sz w:val="16"/>
                <w:szCs w:val="16"/>
              </w:rPr>
            </w:pPr>
            <w:r w:rsidRPr="00F90737">
              <w:rPr>
                <w:rFonts w:ascii="Calibri" w:hAnsi="Calibri"/>
                <w:sz w:val="16"/>
                <w:szCs w:val="16"/>
              </w:rPr>
              <w:t>Other ED: 12.5%</w:t>
            </w:r>
          </w:p>
          <w:p w:rsidR="00B454FB" w:rsidRPr="00F90737" w:rsidRDefault="00B454FB" w:rsidP="00B454FB">
            <w:pPr>
              <w:rPr>
                <w:rFonts w:ascii="Calibri" w:hAnsi="Calibri"/>
                <w:sz w:val="16"/>
                <w:szCs w:val="16"/>
              </w:rPr>
            </w:pPr>
            <w:r w:rsidRPr="00F90737">
              <w:rPr>
                <w:rFonts w:ascii="Calibri" w:hAnsi="Calibri"/>
                <w:sz w:val="16"/>
                <w:szCs w:val="16"/>
              </w:rPr>
              <w:t>Unknown: 6.7%</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IED: 93.1%</w:t>
            </w:r>
          </w:p>
          <w:p w:rsidR="00B454FB" w:rsidRPr="00F90737" w:rsidRDefault="00B454FB" w:rsidP="00B454FB">
            <w:pPr>
              <w:rPr>
                <w:rFonts w:ascii="Calibri" w:hAnsi="Calibri"/>
                <w:sz w:val="16"/>
                <w:szCs w:val="16"/>
              </w:rPr>
            </w:pPr>
            <w:r w:rsidRPr="00F90737">
              <w:rPr>
                <w:rFonts w:ascii="Calibri" w:hAnsi="Calibri"/>
                <w:sz w:val="16"/>
                <w:szCs w:val="16"/>
              </w:rPr>
              <w:t>--Sutali bomb: 38.4%</w:t>
            </w:r>
          </w:p>
          <w:p w:rsidR="00B454FB" w:rsidRPr="00F90737" w:rsidRDefault="00B454FB" w:rsidP="00B454FB">
            <w:pPr>
              <w:rPr>
                <w:rFonts w:ascii="Calibri" w:hAnsi="Calibri"/>
                <w:sz w:val="16"/>
                <w:szCs w:val="16"/>
              </w:rPr>
            </w:pPr>
            <w:r w:rsidRPr="00F90737">
              <w:rPr>
                <w:rFonts w:ascii="Calibri" w:hAnsi="Calibri"/>
                <w:sz w:val="16"/>
                <w:szCs w:val="16"/>
              </w:rPr>
              <w:t>--Socket bomb: 35.6%</w:t>
            </w:r>
          </w:p>
          <w:p w:rsidR="00B454FB" w:rsidRPr="00F90737" w:rsidRDefault="00B454FB" w:rsidP="00B454FB">
            <w:pPr>
              <w:rPr>
                <w:rFonts w:ascii="Calibri" w:hAnsi="Calibri"/>
                <w:sz w:val="16"/>
                <w:szCs w:val="16"/>
              </w:rPr>
            </w:pPr>
            <w:r w:rsidRPr="00F90737">
              <w:rPr>
                <w:rFonts w:ascii="Calibri" w:hAnsi="Calibri"/>
                <w:sz w:val="16"/>
                <w:szCs w:val="16"/>
              </w:rPr>
              <w:t>--Unknown IED: 16.4%</w:t>
            </w:r>
          </w:p>
          <w:p w:rsidR="00B454FB" w:rsidRPr="00F90737" w:rsidRDefault="00B454FB" w:rsidP="00B454FB">
            <w:pPr>
              <w:rPr>
                <w:rFonts w:ascii="Calibri" w:hAnsi="Calibri"/>
                <w:sz w:val="16"/>
                <w:szCs w:val="16"/>
              </w:rPr>
            </w:pPr>
            <w:r w:rsidRPr="00F90737">
              <w:rPr>
                <w:rFonts w:ascii="Calibri" w:hAnsi="Calibri"/>
                <w:sz w:val="16"/>
                <w:szCs w:val="16"/>
              </w:rPr>
              <w:t>--Pipe bomb: 2.7%</w:t>
            </w:r>
          </w:p>
          <w:p w:rsidR="00B454FB" w:rsidRPr="00F90737" w:rsidRDefault="00B454FB" w:rsidP="00B454FB">
            <w:pPr>
              <w:rPr>
                <w:rFonts w:ascii="Calibri" w:hAnsi="Calibri"/>
                <w:sz w:val="16"/>
                <w:szCs w:val="16"/>
              </w:rPr>
            </w:pPr>
            <w:r w:rsidRPr="00F90737">
              <w:rPr>
                <w:rFonts w:ascii="Calibri" w:hAnsi="Calibri"/>
                <w:sz w:val="16"/>
                <w:szCs w:val="16"/>
              </w:rPr>
              <w:t>Mine: 5.5%</w:t>
            </w:r>
          </w:p>
          <w:p w:rsidR="00B454FB" w:rsidRPr="00F90737" w:rsidRDefault="00B454FB" w:rsidP="00B454FB">
            <w:pPr>
              <w:rPr>
                <w:rFonts w:ascii="Calibri" w:hAnsi="Calibri"/>
                <w:sz w:val="16"/>
                <w:szCs w:val="16"/>
              </w:rPr>
            </w:pPr>
            <w:r w:rsidRPr="00F90737">
              <w:rPr>
                <w:rFonts w:ascii="Calibri" w:hAnsi="Calibri"/>
                <w:sz w:val="16"/>
                <w:szCs w:val="16"/>
              </w:rPr>
              <w:t>Other ED: 1.4%</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IED: 52.9%</w:t>
            </w:r>
          </w:p>
          <w:p w:rsidR="00B454FB" w:rsidRPr="00F90737" w:rsidRDefault="00B454FB" w:rsidP="00B454FB">
            <w:pPr>
              <w:rPr>
                <w:rFonts w:ascii="Calibri" w:hAnsi="Calibri"/>
                <w:sz w:val="16"/>
                <w:szCs w:val="16"/>
              </w:rPr>
            </w:pPr>
            <w:r w:rsidRPr="00F90737">
              <w:rPr>
                <w:rFonts w:ascii="Calibri" w:hAnsi="Calibri"/>
                <w:sz w:val="16"/>
                <w:szCs w:val="16"/>
              </w:rPr>
              <w:t>--Socket bomb: 28.6%</w:t>
            </w:r>
          </w:p>
          <w:p w:rsidR="00B454FB" w:rsidRPr="00F90737" w:rsidRDefault="00B454FB" w:rsidP="00B454FB">
            <w:pPr>
              <w:rPr>
                <w:rFonts w:ascii="Calibri" w:hAnsi="Calibri"/>
                <w:sz w:val="16"/>
                <w:szCs w:val="16"/>
              </w:rPr>
            </w:pPr>
            <w:r w:rsidRPr="00F90737">
              <w:rPr>
                <w:rFonts w:ascii="Calibri" w:hAnsi="Calibri"/>
                <w:sz w:val="16"/>
                <w:szCs w:val="16"/>
              </w:rPr>
              <w:t>--Sutali bomb: 10.0%</w:t>
            </w:r>
          </w:p>
          <w:p w:rsidR="00B454FB" w:rsidRPr="00F90737" w:rsidRDefault="00B454FB" w:rsidP="00B454FB">
            <w:pPr>
              <w:rPr>
                <w:rFonts w:ascii="Calibri" w:hAnsi="Calibri"/>
                <w:sz w:val="16"/>
                <w:szCs w:val="16"/>
              </w:rPr>
            </w:pPr>
            <w:r w:rsidRPr="00F90737">
              <w:rPr>
                <w:rFonts w:ascii="Calibri" w:hAnsi="Calibri"/>
                <w:sz w:val="16"/>
                <w:szCs w:val="16"/>
              </w:rPr>
              <w:t>--(Steel) Tiffin box bomb: 7.1%</w:t>
            </w:r>
          </w:p>
          <w:p w:rsidR="00B454FB" w:rsidRPr="00F90737" w:rsidRDefault="00B454FB" w:rsidP="00B454FB">
            <w:pPr>
              <w:rPr>
                <w:rFonts w:ascii="Calibri" w:hAnsi="Calibri"/>
                <w:sz w:val="16"/>
                <w:szCs w:val="16"/>
              </w:rPr>
            </w:pPr>
            <w:r w:rsidRPr="00F90737">
              <w:rPr>
                <w:rFonts w:ascii="Calibri" w:hAnsi="Calibri"/>
                <w:sz w:val="16"/>
                <w:szCs w:val="16"/>
              </w:rPr>
              <w:t>--Other IED: 7.1%</w:t>
            </w:r>
          </w:p>
          <w:p w:rsidR="00B454FB" w:rsidRPr="00F90737" w:rsidRDefault="00B454FB" w:rsidP="00B454FB">
            <w:pPr>
              <w:rPr>
                <w:rFonts w:ascii="Calibri" w:hAnsi="Calibri"/>
                <w:sz w:val="16"/>
                <w:szCs w:val="16"/>
              </w:rPr>
            </w:pPr>
            <w:r w:rsidRPr="00F90737">
              <w:rPr>
                <w:rFonts w:ascii="Calibri" w:hAnsi="Calibri"/>
                <w:sz w:val="16"/>
                <w:szCs w:val="16"/>
              </w:rPr>
              <w:t>Mine: 4.3%</w:t>
            </w:r>
          </w:p>
          <w:p w:rsidR="00B454FB" w:rsidRPr="00F90737" w:rsidRDefault="00B454FB" w:rsidP="00B454FB">
            <w:pPr>
              <w:rPr>
                <w:rFonts w:ascii="Calibri" w:hAnsi="Calibri"/>
                <w:sz w:val="16"/>
                <w:szCs w:val="16"/>
              </w:rPr>
            </w:pPr>
            <w:r w:rsidRPr="00F90737">
              <w:rPr>
                <w:rFonts w:ascii="Calibri" w:hAnsi="Calibri"/>
                <w:sz w:val="16"/>
                <w:szCs w:val="16"/>
              </w:rPr>
              <w:t>Other ED: 38.6%</w:t>
            </w:r>
          </w:p>
          <w:p w:rsidR="00B454FB" w:rsidRPr="00F90737" w:rsidRDefault="00B454FB" w:rsidP="00B454FB">
            <w:pPr>
              <w:rPr>
                <w:rFonts w:ascii="Calibri" w:hAnsi="Calibri"/>
                <w:sz w:val="16"/>
                <w:szCs w:val="16"/>
              </w:rPr>
            </w:pPr>
            <w:r w:rsidRPr="00F90737">
              <w:rPr>
                <w:rFonts w:ascii="Calibri" w:hAnsi="Calibri"/>
                <w:sz w:val="16"/>
                <w:szCs w:val="16"/>
              </w:rPr>
              <w:t>Unknown: 4.3%</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 xml:space="preserve">Activity of casualty at time of incident </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Handle or play with ED: 20.1%</w:t>
            </w:r>
          </w:p>
          <w:p w:rsidR="00B454FB" w:rsidRPr="00F90737" w:rsidRDefault="00B454FB" w:rsidP="00B454FB">
            <w:pPr>
              <w:rPr>
                <w:rFonts w:ascii="Calibri" w:hAnsi="Calibri"/>
                <w:sz w:val="16"/>
                <w:szCs w:val="16"/>
              </w:rPr>
            </w:pPr>
            <w:r w:rsidRPr="00F90737">
              <w:rPr>
                <w:rFonts w:ascii="Calibri" w:hAnsi="Calibri"/>
                <w:sz w:val="16"/>
                <w:szCs w:val="16"/>
              </w:rPr>
              <w:t>Do nothing/nearby/</w:t>
            </w:r>
          </w:p>
          <w:p w:rsidR="00B454FB" w:rsidRPr="00F90737" w:rsidRDefault="00B454FB" w:rsidP="00B454FB">
            <w:pPr>
              <w:rPr>
                <w:rFonts w:ascii="Calibri" w:hAnsi="Calibri"/>
                <w:sz w:val="16"/>
                <w:szCs w:val="16"/>
              </w:rPr>
            </w:pPr>
            <w:r w:rsidRPr="00F90737">
              <w:rPr>
                <w:rFonts w:ascii="Calibri" w:hAnsi="Calibri"/>
                <w:sz w:val="16"/>
                <w:szCs w:val="16"/>
              </w:rPr>
              <w:t>bystander/spectator: 18.9%</w:t>
            </w:r>
          </w:p>
          <w:p w:rsidR="00B454FB" w:rsidRPr="00F90737" w:rsidRDefault="00B454FB" w:rsidP="00B454FB">
            <w:pPr>
              <w:rPr>
                <w:rFonts w:ascii="Calibri" w:hAnsi="Calibri"/>
                <w:sz w:val="16"/>
                <w:szCs w:val="16"/>
              </w:rPr>
            </w:pPr>
            <w:r w:rsidRPr="00F90737">
              <w:rPr>
                <w:rFonts w:ascii="Calibri" w:hAnsi="Calibri"/>
                <w:sz w:val="16"/>
                <w:szCs w:val="16"/>
              </w:rPr>
              <w:t xml:space="preserve">Unknown: 18.3% </w:t>
            </w:r>
          </w:p>
          <w:p w:rsidR="00B454FB" w:rsidRPr="00F90737" w:rsidRDefault="00B454FB" w:rsidP="00B454FB">
            <w:pPr>
              <w:rPr>
                <w:rFonts w:ascii="Calibri" w:hAnsi="Calibri"/>
                <w:sz w:val="16"/>
                <w:szCs w:val="16"/>
              </w:rPr>
            </w:pPr>
            <w:r w:rsidRPr="00F90737">
              <w:rPr>
                <w:rFonts w:ascii="Calibri" w:hAnsi="Calibri"/>
                <w:sz w:val="16"/>
                <w:szCs w:val="16"/>
              </w:rPr>
              <w:t>Traveling: 13.6%</w:t>
            </w:r>
          </w:p>
          <w:p w:rsidR="00B454FB" w:rsidRPr="00F90737" w:rsidRDefault="00B454FB" w:rsidP="00B454FB">
            <w:pPr>
              <w:rPr>
                <w:rFonts w:ascii="Calibri" w:hAnsi="Calibri"/>
                <w:sz w:val="16"/>
                <w:szCs w:val="16"/>
              </w:rPr>
            </w:pPr>
            <w:r w:rsidRPr="00F90737">
              <w:rPr>
                <w:rFonts w:ascii="Calibri" w:hAnsi="Calibri"/>
                <w:sz w:val="16"/>
                <w:szCs w:val="16"/>
              </w:rPr>
              <w:t>Intentionally throw/strike ED: 5.9%</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 xml:space="preserve">Bystander/spectator/do nothing/nearby </w:t>
            </w:r>
            <w:r>
              <w:rPr>
                <w:rFonts w:ascii="Calibri" w:hAnsi="Calibri"/>
                <w:sz w:val="16"/>
                <w:szCs w:val="16"/>
              </w:rPr>
              <w:t>injured individual</w:t>
            </w:r>
            <w:r w:rsidRPr="00F90737">
              <w:rPr>
                <w:rFonts w:ascii="Calibri" w:hAnsi="Calibri"/>
                <w:sz w:val="16"/>
                <w:szCs w:val="16"/>
              </w:rPr>
              <w:t>: 57.7%</w:t>
            </w:r>
          </w:p>
          <w:p w:rsidR="00B454FB" w:rsidRPr="00F90737" w:rsidRDefault="00B454FB" w:rsidP="00B454FB">
            <w:pPr>
              <w:rPr>
                <w:rFonts w:ascii="Calibri" w:hAnsi="Calibri"/>
                <w:sz w:val="16"/>
                <w:szCs w:val="16"/>
              </w:rPr>
            </w:pPr>
            <w:r w:rsidRPr="00F90737">
              <w:rPr>
                <w:rFonts w:ascii="Calibri" w:hAnsi="Calibri"/>
                <w:sz w:val="16"/>
                <w:szCs w:val="16"/>
              </w:rPr>
              <w:t>Handle or play with ED: 22.1%</w:t>
            </w:r>
          </w:p>
          <w:p w:rsidR="00B454FB" w:rsidRPr="00F90737" w:rsidRDefault="00B454FB" w:rsidP="00B454FB">
            <w:pPr>
              <w:rPr>
                <w:rFonts w:ascii="Calibri" w:hAnsi="Calibri"/>
                <w:sz w:val="16"/>
                <w:szCs w:val="16"/>
              </w:rPr>
            </w:pPr>
            <w:r w:rsidRPr="00F90737">
              <w:rPr>
                <w:rFonts w:ascii="Calibri" w:hAnsi="Calibri"/>
                <w:sz w:val="16"/>
                <w:szCs w:val="16"/>
              </w:rPr>
              <w:t>Other: 6.7%</w:t>
            </w:r>
          </w:p>
          <w:p w:rsidR="00B454FB" w:rsidRPr="00F90737" w:rsidRDefault="00B454FB" w:rsidP="00B454FB">
            <w:pPr>
              <w:rPr>
                <w:rFonts w:ascii="Calibri" w:hAnsi="Calibri"/>
                <w:sz w:val="16"/>
                <w:szCs w:val="16"/>
              </w:rPr>
            </w:pPr>
            <w:r w:rsidRPr="00F90737">
              <w:rPr>
                <w:rFonts w:ascii="Calibri" w:hAnsi="Calibri"/>
                <w:sz w:val="16"/>
                <w:szCs w:val="16"/>
              </w:rPr>
              <w:t>Burn: 3.8%</w:t>
            </w:r>
          </w:p>
          <w:p w:rsidR="00B454FB" w:rsidRPr="00F90737" w:rsidRDefault="00B454FB" w:rsidP="00B454FB">
            <w:pPr>
              <w:rPr>
                <w:rFonts w:ascii="Calibri" w:hAnsi="Calibri"/>
                <w:sz w:val="16"/>
                <w:szCs w:val="16"/>
              </w:rPr>
            </w:pPr>
            <w:r w:rsidRPr="00F90737">
              <w:rPr>
                <w:rFonts w:ascii="Calibri" w:hAnsi="Calibri"/>
                <w:sz w:val="16"/>
                <w:szCs w:val="16"/>
              </w:rPr>
              <w:t>Traveling: 2.9%</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Handle or tamper: 75.3%</w:t>
            </w:r>
          </w:p>
          <w:p w:rsidR="00B454FB" w:rsidRPr="00F90737" w:rsidRDefault="00B454FB" w:rsidP="00B454FB">
            <w:pPr>
              <w:rPr>
                <w:rFonts w:ascii="Calibri" w:hAnsi="Calibri"/>
                <w:sz w:val="16"/>
                <w:szCs w:val="16"/>
              </w:rPr>
            </w:pPr>
            <w:r w:rsidRPr="00F90737">
              <w:rPr>
                <w:rFonts w:ascii="Calibri" w:hAnsi="Calibri"/>
                <w:sz w:val="16"/>
                <w:szCs w:val="16"/>
              </w:rPr>
              <w:t>Natural cause: 6.8%</w:t>
            </w:r>
          </w:p>
          <w:p w:rsidR="00B454FB" w:rsidRPr="00F90737" w:rsidRDefault="00B454FB" w:rsidP="00B454FB">
            <w:pPr>
              <w:rPr>
                <w:rFonts w:ascii="Calibri" w:hAnsi="Calibri"/>
                <w:sz w:val="16"/>
                <w:szCs w:val="16"/>
              </w:rPr>
            </w:pPr>
            <w:r w:rsidRPr="00F90737">
              <w:rPr>
                <w:rFonts w:ascii="Calibri" w:hAnsi="Calibri"/>
                <w:sz w:val="16"/>
                <w:szCs w:val="16"/>
              </w:rPr>
              <w:t>Intentionally strike/throw: 6.8%</w:t>
            </w:r>
          </w:p>
          <w:p w:rsidR="00B454FB" w:rsidRPr="00F90737" w:rsidRDefault="00B454FB" w:rsidP="00B454FB">
            <w:pPr>
              <w:rPr>
                <w:rFonts w:ascii="Calibri" w:hAnsi="Calibri"/>
                <w:sz w:val="16"/>
                <w:szCs w:val="16"/>
              </w:rPr>
            </w:pPr>
            <w:r w:rsidRPr="00F90737">
              <w:rPr>
                <w:rFonts w:ascii="Calibri" w:hAnsi="Calibri"/>
                <w:sz w:val="16"/>
                <w:szCs w:val="16"/>
              </w:rPr>
              <w:t>Collecting wood/food/fodder: 5.5%</w:t>
            </w:r>
          </w:p>
          <w:p w:rsidR="00B454FB" w:rsidRPr="00F90737" w:rsidRDefault="00B454FB" w:rsidP="00B454FB">
            <w:pPr>
              <w:rPr>
                <w:rFonts w:ascii="Calibri" w:hAnsi="Calibri"/>
                <w:sz w:val="16"/>
                <w:szCs w:val="16"/>
              </w:rPr>
            </w:pPr>
            <w:r w:rsidRPr="00F90737">
              <w:rPr>
                <w:rFonts w:ascii="Calibri" w:hAnsi="Calibri"/>
                <w:sz w:val="16"/>
                <w:szCs w:val="16"/>
              </w:rPr>
              <w:t>Burning ED: 2.7%</w:t>
            </w:r>
          </w:p>
          <w:p w:rsidR="00B454FB" w:rsidRPr="00F90737" w:rsidRDefault="00B454FB" w:rsidP="00B454FB">
            <w:pPr>
              <w:rPr>
                <w:rFonts w:ascii="Calibri" w:hAnsi="Calibri"/>
                <w:sz w:val="16"/>
                <w:szCs w:val="16"/>
              </w:rPr>
            </w:pPr>
            <w:r w:rsidRPr="00F90737">
              <w:rPr>
                <w:rFonts w:ascii="Calibri" w:hAnsi="Calibri"/>
                <w:sz w:val="16"/>
                <w:szCs w:val="16"/>
              </w:rPr>
              <w:t>Traveling: 1.4%</w:t>
            </w:r>
          </w:p>
          <w:p w:rsidR="00B454FB" w:rsidRPr="00F90737" w:rsidRDefault="00B454FB" w:rsidP="00B454FB">
            <w:pPr>
              <w:rPr>
                <w:rFonts w:ascii="Calibri" w:hAnsi="Calibri"/>
                <w:sz w:val="16"/>
                <w:szCs w:val="16"/>
              </w:rPr>
            </w:pPr>
            <w:r w:rsidRPr="00F90737">
              <w:rPr>
                <w:rFonts w:ascii="Calibri" w:hAnsi="Calibri"/>
                <w:sz w:val="16"/>
                <w:szCs w:val="16"/>
              </w:rPr>
              <w:t>Farming: 1.4%</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Handle or tamper: 45.7%</w:t>
            </w:r>
          </w:p>
          <w:p w:rsidR="00B454FB" w:rsidRPr="00F90737" w:rsidRDefault="00B454FB" w:rsidP="00B454FB">
            <w:pPr>
              <w:rPr>
                <w:rFonts w:ascii="Calibri" w:hAnsi="Calibri"/>
                <w:sz w:val="16"/>
                <w:szCs w:val="16"/>
              </w:rPr>
            </w:pPr>
            <w:r w:rsidRPr="00F90737">
              <w:rPr>
                <w:rFonts w:ascii="Calibri" w:hAnsi="Calibri"/>
                <w:sz w:val="16"/>
                <w:szCs w:val="16"/>
              </w:rPr>
              <w:t>Intentionally strike: 12.9%</w:t>
            </w:r>
          </w:p>
          <w:p w:rsidR="00B454FB" w:rsidRPr="00F90737" w:rsidRDefault="00B454FB" w:rsidP="00B454FB">
            <w:pPr>
              <w:rPr>
                <w:rFonts w:ascii="Calibri" w:hAnsi="Calibri"/>
                <w:sz w:val="16"/>
                <w:szCs w:val="16"/>
              </w:rPr>
            </w:pPr>
            <w:r w:rsidRPr="00F90737">
              <w:rPr>
                <w:rFonts w:ascii="Calibri" w:hAnsi="Calibri"/>
                <w:sz w:val="16"/>
                <w:szCs w:val="16"/>
              </w:rPr>
              <w:t>Throw: 11.4%</w:t>
            </w:r>
          </w:p>
          <w:p w:rsidR="00B454FB" w:rsidRPr="00F90737" w:rsidRDefault="00B454FB" w:rsidP="00B454FB">
            <w:pPr>
              <w:rPr>
                <w:rFonts w:ascii="Calibri" w:hAnsi="Calibri"/>
                <w:sz w:val="16"/>
                <w:szCs w:val="16"/>
              </w:rPr>
            </w:pPr>
            <w:r w:rsidRPr="00F90737">
              <w:rPr>
                <w:rFonts w:ascii="Calibri" w:hAnsi="Calibri"/>
                <w:sz w:val="16"/>
                <w:szCs w:val="16"/>
              </w:rPr>
              <w:t>Working nearby: 7.1%</w:t>
            </w:r>
          </w:p>
          <w:p w:rsidR="00B454FB" w:rsidRPr="00F90737" w:rsidRDefault="00B454FB" w:rsidP="00B454FB">
            <w:pPr>
              <w:rPr>
                <w:rFonts w:ascii="Calibri" w:hAnsi="Calibri"/>
                <w:sz w:val="16"/>
                <w:szCs w:val="16"/>
              </w:rPr>
            </w:pPr>
            <w:r w:rsidRPr="00F90737">
              <w:rPr>
                <w:rFonts w:ascii="Calibri" w:hAnsi="Calibri"/>
                <w:sz w:val="16"/>
                <w:szCs w:val="16"/>
              </w:rPr>
              <w:t>Collecting wood/food/fodder: 4.3%</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Age and gender of casualty (boys and girls are under 18)</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Boy: 38%</w:t>
            </w:r>
          </w:p>
          <w:p w:rsidR="00B454FB" w:rsidRPr="00F90737" w:rsidRDefault="00B454FB" w:rsidP="00B454FB">
            <w:pPr>
              <w:rPr>
                <w:rFonts w:ascii="Calibri" w:hAnsi="Calibri"/>
                <w:sz w:val="16"/>
                <w:szCs w:val="16"/>
              </w:rPr>
            </w:pPr>
            <w:r w:rsidRPr="00F90737">
              <w:rPr>
                <w:rFonts w:ascii="Calibri" w:hAnsi="Calibri"/>
                <w:sz w:val="16"/>
                <w:szCs w:val="16"/>
              </w:rPr>
              <w:t>Man: 29%</w:t>
            </w:r>
          </w:p>
          <w:p w:rsidR="00B454FB" w:rsidRPr="00F90737" w:rsidRDefault="00B454FB" w:rsidP="00B454FB">
            <w:pPr>
              <w:rPr>
                <w:rFonts w:ascii="Calibri" w:hAnsi="Calibri"/>
                <w:sz w:val="16"/>
                <w:szCs w:val="16"/>
              </w:rPr>
            </w:pPr>
            <w:r w:rsidRPr="00F90737">
              <w:rPr>
                <w:rFonts w:ascii="Calibri" w:hAnsi="Calibri"/>
                <w:sz w:val="16"/>
                <w:szCs w:val="16"/>
              </w:rPr>
              <w:t>Woman: 18%</w:t>
            </w:r>
          </w:p>
          <w:p w:rsidR="00B454FB" w:rsidRPr="00F90737" w:rsidRDefault="00B454FB" w:rsidP="00B454FB">
            <w:pPr>
              <w:rPr>
                <w:rFonts w:ascii="Calibri" w:hAnsi="Calibri"/>
                <w:sz w:val="16"/>
                <w:szCs w:val="16"/>
              </w:rPr>
            </w:pPr>
            <w:r w:rsidRPr="00F90737">
              <w:rPr>
                <w:rFonts w:ascii="Calibri" w:hAnsi="Calibri"/>
                <w:sz w:val="16"/>
                <w:szCs w:val="16"/>
              </w:rPr>
              <w:t>Girl: 14%</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Boy: 37%</w:t>
            </w:r>
          </w:p>
          <w:p w:rsidR="00B454FB" w:rsidRPr="00F90737" w:rsidRDefault="00B454FB" w:rsidP="00B454FB">
            <w:pPr>
              <w:rPr>
                <w:rFonts w:ascii="Calibri" w:hAnsi="Calibri"/>
                <w:sz w:val="16"/>
                <w:szCs w:val="16"/>
              </w:rPr>
            </w:pPr>
            <w:r w:rsidRPr="00F90737">
              <w:rPr>
                <w:rFonts w:ascii="Calibri" w:hAnsi="Calibri"/>
                <w:sz w:val="16"/>
                <w:szCs w:val="16"/>
              </w:rPr>
              <w:t>Man: 34%</w:t>
            </w:r>
          </w:p>
          <w:p w:rsidR="00B454FB" w:rsidRPr="00F90737" w:rsidRDefault="00B454FB" w:rsidP="00B454FB">
            <w:pPr>
              <w:rPr>
                <w:rFonts w:ascii="Calibri" w:hAnsi="Calibri"/>
                <w:sz w:val="16"/>
                <w:szCs w:val="16"/>
              </w:rPr>
            </w:pPr>
            <w:r w:rsidRPr="00F90737">
              <w:rPr>
                <w:rFonts w:ascii="Calibri" w:hAnsi="Calibri"/>
                <w:sz w:val="16"/>
                <w:szCs w:val="16"/>
              </w:rPr>
              <w:t>Woman: 19%</w:t>
            </w:r>
          </w:p>
          <w:p w:rsidR="00B454FB" w:rsidRPr="00F90737" w:rsidRDefault="00B454FB" w:rsidP="00B454FB">
            <w:pPr>
              <w:rPr>
                <w:rFonts w:ascii="Calibri" w:hAnsi="Calibri"/>
                <w:sz w:val="16"/>
                <w:szCs w:val="16"/>
              </w:rPr>
            </w:pPr>
            <w:r w:rsidRPr="00F90737">
              <w:rPr>
                <w:rFonts w:ascii="Calibri" w:hAnsi="Calibri"/>
                <w:sz w:val="16"/>
                <w:szCs w:val="16"/>
              </w:rPr>
              <w:t>Girl: 10%</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Boy: 45.2%</w:t>
            </w:r>
          </w:p>
          <w:p w:rsidR="00B454FB" w:rsidRPr="00F90737" w:rsidRDefault="00B454FB" w:rsidP="00B454FB">
            <w:pPr>
              <w:rPr>
                <w:rFonts w:ascii="Calibri" w:hAnsi="Calibri"/>
                <w:sz w:val="16"/>
                <w:szCs w:val="16"/>
              </w:rPr>
            </w:pPr>
            <w:r w:rsidRPr="00F90737">
              <w:rPr>
                <w:rFonts w:ascii="Calibri" w:hAnsi="Calibri"/>
                <w:sz w:val="16"/>
                <w:szCs w:val="16"/>
              </w:rPr>
              <w:t>Man: 23.3%</w:t>
            </w:r>
          </w:p>
          <w:p w:rsidR="00B454FB" w:rsidRPr="00F90737" w:rsidRDefault="00B454FB" w:rsidP="00B454FB">
            <w:pPr>
              <w:rPr>
                <w:rFonts w:ascii="Calibri" w:hAnsi="Calibri"/>
                <w:sz w:val="16"/>
                <w:szCs w:val="16"/>
              </w:rPr>
            </w:pPr>
            <w:r w:rsidRPr="00F90737">
              <w:rPr>
                <w:rFonts w:ascii="Calibri" w:hAnsi="Calibri"/>
                <w:sz w:val="16"/>
                <w:szCs w:val="16"/>
              </w:rPr>
              <w:t>Girl: 17.8%</w:t>
            </w:r>
          </w:p>
          <w:p w:rsidR="00B454FB" w:rsidRPr="00F90737" w:rsidRDefault="00B454FB" w:rsidP="00B454FB">
            <w:pPr>
              <w:rPr>
                <w:rFonts w:ascii="Calibri" w:hAnsi="Calibri"/>
                <w:sz w:val="16"/>
                <w:szCs w:val="16"/>
              </w:rPr>
            </w:pPr>
            <w:r w:rsidRPr="00F90737">
              <w:rPr>
                <w:rFonts w:ascii="Calibri" w:hAnsi="Calibri"/>
                <w:sz w:val="16"/>
                <w:szCs w:val="16"/>
              </w:rPr>
              <w:t>Woman: 13.7%</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Boy: 42.9%</w:t>
            </w:r>
          </w:p>
          <w:p w:rsidR="00B454FB" w:rsidRPr="00F90737" w:rsidRDefault="00B454FB" w:rsidP="00B454FB">
            <w:pPr>
              <w:rPr>
                <w:rFonts w:ascii="Calibri" w:hAnsi="Calibri"/>
                <w:sz w:val="16"/>
                <w:szCs w:val="16"/>
              </w:rPr>
            </w:pPr>
            <w:r w:rsidRPr="00F90737">
              <w:rPr>
                <w:rFonts w:ascii="Calibri" w:hAnsi="Calibri"/>
                <w:sz w:val="16"/>
                <w:szCs w:val="16"/>
              </w:rPr>
              <w:t>Man: 25.7%</w:t>
            </w:r>
          </w:p>
          <w:p w:rsidR="00B454FB" w:rsidRPr="00F90737" w:rsidRDefault="00B454FB" w:rsidP="00B454FB">
            <w:pPr>
              <w:rPr>
                <w:rFonts w:ascii="Calibri" w:hAnsi="Calibri"/>
                <w:sz w:val="16"/>
                <w:szCs w:val="16"/>
              </w:rPr>
            </w:pPr>
            <w:r w:rsidRPr="00F90737">
              <w:rPr>
                <w:rFonts w:ascii="Calibri" w:hAnsi="Calibri"/>
                <w:sz w:val="16"/>
                <w:szCs w:val="16"/>
              </w:rPr>
              <w:t>Girl: 11.4%</w:t>
            </w:r>
          </w:p>
          <w:p w:rsidR="00B454FB" w:rsidRPr="00F90737" w:rsidRDefault="00B454FB" w:rsidP="00B454FB">
            <w:pPr>
              <w:rPr>
                <w:rFonts w:ascii="Calibri" w:hAnsi="Calibri"/>
                <w:sz w:val="16"/>
                <w:szCs w:val="16"/>
              </w:rPr>
            </w:pPr>
            <w:r w:rsidRPr="00F90737">
              <w:rPr>
                <w:rFonts w:ascii="Calibri" w:hAnsi="Calibri"/>
                <w:sz w:val="16"/>
                <w:szCs w:val="16"/>
              </w:rPr>
              <w:t>Woman: 20.0%</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Highest risk age groups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10- to 14-year-olds: 21.9%</w:t>
            </w:r>
          </w:p>
          <w:p w:rsidR="00B454FB" w:rsidRPr="00F90737" w:rsidRDefault="00B454FB" w:rsidP="00B454FB">
            <w:pPr>
              <w:rPr>
                <w:rFonts w:ascii="Calibri" w:hAnsi="Calibri"/>
                <w:sz w:val="16"/>
                <w:szCs w:val="16"/>
              </w:rPr>
            </w:pPr>
            <w:r w:rsidRPr="00F90737">
              <w:rPr>
                <w:rFonts w:ascii="Calibri" w:hAnsi="Calibri"/>
                <w:sz w:val="16"/>
                <w:szCs w:val="16"/>
              </w:rPr>
              <w:t>15- to 19-year-olds: 13.6%</w:t>
            </w:r>
          </w:p>
          <w:p w:rsidR="00B454FB" w:rsidRPr="00F90737" w:rsidRDefault="00B454FB" w:rsidP="00B454FB">
            <w:pPr>
              <w:rPr>
                <w:rFonts w:ascii="Calibri" w:hAnsi="Calibri"/>
                <w:sz w:val="16"/>
                <w:szCs w:val="16"/>
              </w:rPr>
            </w:pPr>
            <w:r w:rsidRPr="00F90737">
              <w:rPr>
                <w:rFonts w:ascii="Calibri" w:hAnsi="Calibri"/>
                <w:sz w:val="16"/>
                <w:szCs w:val="16"/>
              </w:rPr>
              <w:t>5- to 9-year-olds: 13.0%</w:t>
            </w:r>
          </w:p>
          <w:p w:rsidR="00B454FB" w:rsidRPr="00F90737" w:rsidRDefault="00B454FB" w:rsidP="00B454FB">
            <w:pPr>
              <w:rPr>
                <w:rFonts w:ascii="Calibri" w:hAnsi="Calibri"/>
                <w:sz w:val="16"/>
                <w:szCs w:val="16"/>
              </w:rPr>
            </w:pPr>
            <w:r w:rsidRPr="00F90737">
              <w:rPr>
                <w:rFonts w:ascii="Calibri" w:hAnsi="Calibri"/>
                <w:sz w:val="16"/>
                <w:szCs w:val="16"/>
              </w:rPr>
              <w:t>30- to 34-year-olds: 7.7%</w:t>
            </w:r>
          </w:p>
          <w:p w:rsidR="00B454FB" w:rsidRPr="00F90737" w:rsidRDefault="00B454FB" w:rsidP="00B454FB">
            <w:pPr>
              <w:rPr>
                <w:rFonts w:ascii="Calibri" w:hAnsi="Calibri"/>
                <w:sz w:val="16"/>
                <w:szCs w:val="16"/>
              </w:rPr>
            </w:pPr>
            <w:r w:rsidRPr="00F90737">
              <w:rPr>
                <w:rFonts w:ascii="Calibri" w:hAnsi="Calibri"/>
                <w:sz w:val="16"/>
                <w:szCs w:val="16"/>
              </w:rPr>
              <w:lastRenderedPageBreak/>
              <w:t>25- to 29-year-olds: 7.1%</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lastRenderedPageBreak/>
              <w:t>Of 104 casualties:</w:t>
            </w:r>
          </w:p>
          <w:p w:rsidR="00B454FB" w:rsidRPr="00F90737" w:rsidRDefault="00B454FB" w:rsidP="00B454FB">
            <w:pPr>
              <w:rPr>
                <w:rFonts w:ascii="Calibri" w:hAnsi="Calibri"/>
                <w:sz w:val="16"/>
                <w:szCs w:val="16"/>
              </w:rPr>
            </w:pPr>
            <w:r w:rsidRPr="00F90737">
              <w:rPr>
                <w:rFonts w:ascii="Calibri" w:hAnsi="Calibri"/>
                <w:sz w:val="16"/>
                <w:szCs w:val="16"/>
              </w:rPr>
              <w:t>10- to 14-year-olds: 16.3%</w:t>
            </w:r>
          </w:p>
          <w:p w:rsidR="00B454FB" w:rsidRPr="00F90737" w:rsidRDefault="00B454FB" w:rsidP="00B454FB">
            <w:pPr>
              <w:rPr>
                <w:rFonts w:ascii="Calibri" w:hAnsi="Calibri"/>
                <w:sz w:val="16"/>
                <w:szCs w:val="16"/>
              </w:rPr>
            </w:pPr>
            <w:r w:rsidRPr="00F90737">
              <w:rPr>
                <w:rFonts w:ascii="Calibri" w:hAnsi="Calibri"/>
                <w:sz w:val="16"/>
                <w:szCs w:val="16"/>
              </w:rPr>
              <w:t>5- to 9-year-olds: 14.4%</w:t>
            </w:r>
          </w:p>
          <w:p w:rsidR="00B454FB" w:rsidRPr="00F90737" w:rsidRDefault="00B454FB" w:rsidP="00B454FB">
            <w:pPr>
              <w:rPr>
                <w:rFonts w:ascii="Calibri" w:hAnsi="Calibri"/>
                <w:sz w:val="16"/>
                <w:szCs w:val="16"/>
              </w:rPr>
            </w:pPr>
            <w:r w:rsidRPr="00F90737">
              <w:rPr>
                <w:rFonts w:ascii="Calibri" w:hAnsi="Calibri"/>
                <w:sz w:val="16"/>
                <w:szCs w:val="16"/>
              </w:rPr>
              <w:t>15- to 19-year-olds: 14.4%</w:t>
            </w:r>
          </w:p>
          <w:p w:rsidR="00B454FB" w:rsidRPr="00F90737" w:rsidRDefault="00B454FB" w:rsidP="00B454FB">
            <w:pPr>
              <w:rPr>
                <w:rFonts w:ascii="Calibri" w:hAnsi="Calibri"/>
                <w:sz w:val="16"/>
                <w:szCs w:val="16"/>
              </w:rPr>
            </w:pPr>
            <w:r w:rsidRPr="00F90737">
              <w:rPr>
                <w:rFonts w:ascii="Calibri" w:hAnsi="Calibri"/>
                <w:sz w:val="16"/>
                <w:szCs w:val="16"/>
              </w:rPr>
              <w:t>25- to 29-year-olds: 10.6%</w:t>
            </w:r>
          </w:p>
          <w:p w:rsidR="00B454FB" w:rsidRPr="00F90737" w:rsidRDefault="00B454FB" w:rsidP="00B454FB">
            <w:pPr>
              <w:rPr>
                <w:rFonts w:ascii="Calibri" w:hAnsi="Calibri"/>
                <w:sz w:val="16"/>
                <w:szCs w:val="16"/>
              </w:rPr>
            </w:pPr>
            <w:r w:rsidRPr="00F90737">
              <w:rPr>
                <w:rFonts w:ascii="Calibri" w:hAnsi="Calibri"/>
                <w:sz w:val="16"/>
                <w:szCs w:val="16"/>
              </w:rPr>
              <w:lastRenderedPageBreak/>
              <w:t>30- to 34-year-olds: 8.7%</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lastRenderedPageBreak/>
              <w:t>Of 73 casualties:</w:t>
            </w:r>
          </w:p>
          <w:p w:rsidR="00B454FB" w:rsidRPr="00F90737" w:rsidRDefault="00B454FB" w:rsidP="00B454FB">
            <w:pPr>
              <w:rPr>
                <w:rFonts w:ascii="Calibri" w:hAnsi="Calibri"/>
                <w:sz w:val="16"/>
                <w:szCs w:val="16"/>
              </w:rPr>
            </w:pPr>
            <w:r w:rsidRPr="00F90737">
              <w:rPr>
                <w:rFonts w:ascii="Calibri" w:hAnsi="Calibri"/>
                <w:sz w:val="16"/>
                <w:szCs w:val="16"/>
              </w:rPr>
              <w:t>10- to 14-year-olds: 35.6%</w:t>
            </w:r>
          </w:p>
          <w:p w:rsidR="00B454FB" w:rsidRPr="00F90737" w:rsidRDefault="00B454FB" w:rsidP="00B454FB">
            <w:pPr>
              <w:rPr>
                <w:rFonts w:ascii="Calibri" w:hAnsi="Calibri"/>
                <w:sz w:val="16"/>
                <w:szCs w:val="16"/>
              </w:rPr>
            </w:pPr>
            <w:r w:rsidRPr="00F90737">
              <w:rPr>
                <w:rFonts w:ascii="Calibri" w:hAnsi="Calibri"/>
                <w:sz w:val="16"/>
                <w:szCs w:val="16"/>
              </w:rPr>
              <w:t>5- to 9-year-olds: 16.4%</w:t>
            </w:r>
          </w:p>
          <w:p w:rsidR="00B454FB" w:rsidRPr="00F90737" w:rsidRDefault="00B454FB" w:rsidP="00B454FB">
            <w:pPr>
              <w:rPr>
                <w:rFonts w:ascii="Calibri" w:hAnsi="Calibri"/>
                <w:sz w:val="16"/>
                <w:szCs w:val="16"/>
              </w:rPr>
            </w:pPr>
            <w:r w:rsidRPr="00F90737">
              <w:rPr>
                <w:rFonts w:ascii="Calibri" w:hAnsi="Calibri"/>
                <w:sz w:val="16"/>
                <w:szCs w:val="16"/>
              </w:rPr>
              <w:t>15- to 19-year-olds: 9.6%</w:t>
            </w:r>
          </w:p>
          <w:p w:rsidR="00B454FB" w:rsidRPr="00F90737" w:rsidRDefault="00B454FB" w:rsidP="00B454FB">
            <w:pPr>
              <w:rPr>
                <w:rFonts w:ascii="Calibri" w:hAnsi="Calibri"/>
                <w:sz w:val="16"/>
                <w:szCs w:val="16"/>
              </w:rPr>
            </w:pPr>
            <w:r w:rsidRPr="00F90737">
              <w:rPr>
                <w:rFonts w:ascii="Calibri" w:hAnsi="Calibri"/>
                <w:sz w:val="16"/>
                <w:szCs w:val="16"/>
              </w:rPr>
              <w:t>35- to 39-year-olds: 6.8%</w:t>
            </w:r>
          </w:p>
          <w:p w:rsidR="00B454FB" w:rsidRPr="00F90737" w:rsidRDefault="00B454FB" w:rsidP="00B454FB">
            <w:pPr>
              <w:rPr>
                <w:rFonts w:ascii="Calibri" w:hAnsi="Calibri"/>
                <w:sz w:val="16"/>
                <w:szCs w:val="16"/>
              </w:rPr>
            </w:pPr>
            <w:r w:rsidRPr="00F90737">
              <w:rPr>
                <w:rFonts w:ascii="Calibri" w:hAnsi="Calibri"/>
                <w:sz w:val="16"/>
                <w:szCs w:val="16"/>
              </w:rPr>
              <w:lastRenderedPageBreak/>
              <w:t>30- to 34-year-olds: 5.5%</w:t>
            </w:r>
          </w:p>
          <w:p w:rsidR="00B454FB" w:rsidRPr="00F90737" w:rsidRDefault="00B454FB" w:rsidP="00B454FB">
            <w:pPr>
              <w:rPr>
                <w:rFonts w:ascii="Calibri" w:hAnsi="Calibri"/>
                <w:sz w:val="16"/>
                <w:szCs w:val="16"/>
              </w:rPr>
            </w:pPr>
            <w:r w:rsidRPr="00F90737">
              <w:rPr>
                <w:rFonts w:ascii="Calibri" w:hAnsi="Calibri"/>
                <w:sz w:val="16"/>
                <w:szCs w:val="16"/>
              </w:rPr>
              <w:t>45- to 49-year-olds: 5.5%</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lastRenderedPageBreak/>
              <w:t>Of 70 casualties:</w:t>
            </w:r>
          </w:p>
          <w:p w:rsidR="00B454FB" w:rsidRPr="00F90737" w:rsidRDefault="00B454FB" w:rsidP="00B454FB">
            <w:pPr>
              <w:rPr>
                <w:rFonts w:ascii="Calibri" w:hAnsi="Calibri"/>
                <w:sz w:val="16"/>
                <w:szCs w:val="16"/>
              </w:rPr>
            </w:pPr>
            <w:r w:rsidRPr="00F90737">
              <w:rPr>
                <w:rFonts w:ascii="Calibri" w:hAnsi="Calibri"/>
                <w:sz w:val="16"/>
                <w:szCs w:val="16"/>
              </w:rPr>
              <w:t>5- to 9-year-olds: 22.9%</w:t>
            </w:r>
          </w:p>
          <w:p w:rsidR="00B454FB" w:rsidRPr="00F90737" w:rsidRDefault="00B454FB" w:rsidP="00B454FB">
            <w:pPr>
              <w:rPr>
                <w:rFonts w:ascii="Calibri" w:hAnsi="Calibri"/>
                <w:sz w:val="16"/>
                <w:szCs w:val="16"/>
              </w:rPr>
            </w:pPr>
            <w:r w:rsidRPr="00F90737">
              <w:rPr>
                <w:rFonts w:ascii="Calibri" w:hAnsi="Calibri"/>
                <w:sz w:val="16"/>
                <w:szCs w:val="16"/>
              </w:rPr>
              <w:t>10- to 14-year-olds: 20.0%</w:t>
            </w:r>
          </w:p>
          <w:p w:rsidR="00B454FB" w:rsidRPr="00F90737" w:rsidRDefault="00B454FB" w:rsidP="00B454FB">
            <w:pPr>
              <w:rPr>
                <w:rFonts w:ascii="Calibri" w:hAnsi="Calibri"/>
                <w:sz w:val="16"/>
                <w:szCs w:val="16"/>
              </w:rPr>
            </w:pPr>
            <w:r w:rsidRPr="00F90737">
              <w:rPr>
                <w:rFonts w:ascii="Calibri" w:hAnsi="Calibri"/>
                <w:sz w:val="16"/>
                <w:szCs w:val="16"/>
              </w:rPr>
              <w:t>25- to 29-year-olds: 12.9%</w:t>
            </w:r>
          </w:p>
          <w:p w:rsidR="00B454FB" w:rsidRPr="00F90737" w:rsidRDefault="00B454FB" w:rsidP="00B454FB">
            <w:pPr>
              <w:rPr>
                <w:rFonts w:ascii="Calibri" w:hAnsi="Calibri"/>
                <w:sz w:val="16"/>
                <w:szCs w:val="16"/>
              </w:rPr>
            </w:pPr>
            <w:r w:rsidRPr="00F90737">
              <w:rPr>
                <w:rFonts w:ascii="Calibri" w:hAnsi="Calibri"/>
                <w:sz w:val="16"/>
                <w:szCs w:val="16"/>
              </w:rPr>
              <w:t>15- to 19-year-olds: 7.1%</w:t>
            </w:r>
          </w:p>
          <w:p w:rsidR="00B454FB" w:rsidRPr="00F90737" w:rsidRDefault="00B454FB" w:rsidP="00B454FB">
            <w:pPr>
              <w:rPr>
                <w:rFonts w:ascii="Calibri" w:hAnsi="Calibri"/>
                <w:sz w:val="16"/>
                <w:szCs w:val="16"/>
              </w:rPr>
            </w:pPr>
            <w:r w:rsidRPr="00F90737">
              <w:rPr>
                <w:rFonts w:ascii="Calibri" w:hAnsi="Calibri"/>
                <w:sz w:val="16"/>
                <w:szCs w:val="16"/>
              </w:rPr>
              <w:lastRenderedPageBreak/>
              <w:t>20- to 24-year-olds: 7.1%</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lastRenderedPageBreak/>
              <w:t>Mortality rate</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169 casualties:</w:t>
            </w:r>
          </w:p>
          <w:p w:rsidR="00B454FB" w:rsidRPr="00F90737" w:rsidRDefault="00B454FB" w:rsidP="00B454FB">
            <w:pPr>
              <w:rPr>
                <w:rFonts w:ascii="Calibri" w:hAnsi="Calibri"/>
                <w:sz w:val="16"/>
                <w:szCs w:val="16"/>
              </w:rPr>
            </w:pPr>
            <w:r w:rsidRPr="00F90737">
              <w:rPr>
                <w:rFonts w:ascii="Calibri" w:hAnsi="Calibri"/>
                <w:sz w:val="16"/>
                <w:szCs w:val="16"/>
              </w:rPr>
              <w:t>23.1%</w:t>
            </w:r>
          </w:p>
        </w:tc>
        <w:tc>
          <w:tcPr>
            <w:tcW w:w="3176" w:type="dxa"/>
          </w:tcPr>
          <w:p w:rsidR="00B454FB" w:rsidRPr="00F90737" w:rsidRDefault="00B454FB" w:rsidP="00B454FB">
            <w:pPr>
              <w:rPr>
                <w:rFonts w:ascii="Calibri" w:hAnsi="Calibri"/>
                <w:i/>
                <w:sz w:val="16"/>
                <w:szCs w:val="16"/>
              </w:rPr>
            </w:pPr>
            <w:r w:rsidRPr="00F90737">
              <w:rPr>
                <w:rFonts w:ascii="Calibri" w:hAnsi="Calibri"/>
                <w:i/>
                <w:sz w:val="16"/>
                <w:szCs w:val="16"/>
              </w:rPr>
              <w:t>Of 104 casualties:</w:t>
            </w:r>
          </w:p>
          <w:p w:rsidR="00B454FB" w:rsidRPr="00F90737" w:rsidRDefault="00B454FB" w:rsidP="00B454FB">
            <w:pPr>
              <w:rPr>
                <w:rFonts w:ascii="Calibri" w:hAnsi="Calibri"/>
                <w:sz w:val="16"/>
                <w:szCs w:val="16"/>
              </w:rPr>
            </w:pPr>
            <w:r w:rsidRPr="00F90737">
              <w:rPr>
                <w:rFonts w:ascii="Calibri" w:hAnsi="Calibri"/>
                <w:sz w:val="16"/>
                <w:szCs w:val="16"/>
              </w:rPr>
              <w:t>12.5%</w:t>
            </w: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5.5%</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 xml:space="preserve">Of 70 casualties: </w:t>
            </w:r>
          </w:p>
          <w:p w:rsidR="00B454FB" w:rsidRPr="00F90737" w:rsidRDefault="00B454FB" w:rsidP="00B454FB">
            <w:pPr>
              <w:rPr>
                <w:rFonts w:ascii="Calibri" w:hAnsi="Calibri"/>
                <w:sz w:val="16"/>
                <w:szCs w:val="16"/>
              </w:rPr>
            </w:pPr>
            <w:r w:rsidRPr="00F90737">
              <w:rPr>
                <w:rFonts w:ascii="Calibri" w:hAnsi="Calibri"/>
                <w:sz w:val="16"/>
                <w:szCs w:val="16"/>
              </w:rPr>
              <w:t>22.9%</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Caste of casualties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Chhetri: 22.4%</w:t>
            </w:r>
          </w:p>
          <w:p w:rsidR="00B454FB" w:rsidRPr="00F90737" w:rsidRDefault="00B454FB" w:rsidP="00B454FB">
            <w:pPr>
              <w:rPr>
                <w:rFonts w:ascii="Calibri" w:hAnsi="Calibri"/>
                <w:sz w:val="16"/>
                <w:szCs w:val="16"/>
              </w:rPr>
            </w:pPr>
            <w:r w:rsidRPr="00F90737">
              <w:rPr>
                <w:rFonts w:ascii="Calibri" w:hAnsi="Calibri"/>
                <w:sz w:val="16"/>
                <w:szCs w:val="16"/>
              </w:rPr>
              <w:t>Dalit: 19.0%</w:t>
            </w:r>
          </w:p>
          <w:p w:rsidR="00B454FB" w:rsidRPr="00F90737" w:rsidRDefault="00B454FB" w:rsidP="00B454FB">
            <w:pPr>
              <w:rPr>
                <w:rFonts w:ascii="Calibri" w:hAnsi="Calibri"/>
                <w:sz w:val="16"/>
                <w:szCs w:val="16"/>
              </w:rPr>
            </w:pPr>
            <w:r w:rsidRPr="00F90737">
              <w:rPr>
                <w:rFonts w:ascii="Calibri" w:hAnsi="Calibri"/>
                <w:sz w:val="16"/>
                <w:szCs w:val="16"/>
              </w:rPr>
              <w:t>Tharu: 17.2%</w:t>
            </w:r>
          </w:p>
          <w:p w:rsidR="00B454FB" w:rsidRPr="00F90737" w:rsidRDefault="00B454FB" w:rsidP="00B454FB">
            <w:pPr>
              <w:rPr>
                <w:rFonts w:ascii="Calibri" w:hAnsi="Calibri"/>
                <w:sz w:val="16"/>
                <w:szCs w:val="16"/>
              </w:rPr>
            </w:pPr>
            <w:r w:rsidRPr="00F90737">
              <w:rPr>
                <w:rFonts w:ascii="Calibri" w:hAnsi="Calibri"/>
                <w:sz w:val="16"/>
                <w:szCs w:val="16"/>
              </w:rPr>
              <w:t>Magar: 10.3%</w:t>
            </w:r>
          </w:p>
          <w:p w:rsidR="00B454FB" w:rsidRPr="00F90737" w:rsidRDefault="00B454FB" w:rsidP="00B454FB">
            <w:pPr>
              <w:rPr>
                <w:rFonts w:ascii="Calibri" w:hAnsi="Calibri"/>
                <w:sz w:val="16"/>
                <w:szCs w:val="16"/>
              </w:rPr>
            </w:pPr>
            <w:r w:rsidRPr="00F90737">
              <w:rPr>
                <w:rFonts w:ascii="Calibri" w:hAnsi="Calibri"/>
                <w:sz w:val="16"/>
                <w:szCs w:val="16"/>
              </w:rPr>
              <w:t>Brahmin: 8.6%</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sz w:val="16"/>
                <w:szCs w:val="16"/>
              </w:rPr>
            </w:pP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Chhetri: 41.4%</w:t>
            </w:r>
          </w:p>
          <w:p w:rsidR="00B454FB" w:rsidRPr="00F90737" w:rsidRDefault="00B454FB" w:rsidP="00B454FB">
            <w:pPr>
              <w:rPr>
                <w:rFonts w:ascii="Calibri" w:hAnsi="Calibri"/>
                <w:sz w:val="16"/>
                <w:szCs w:val="16"/>
              </w:rPr>
            </w:pPr>
            <w:r w:rsidRPr="00F90737">
              <w:rPr>
                <w:rFonts w:ascii="Calibri" w:hAnsi="Calibri"/>
                <w:sz w:val="16"/>
                <w:szCs w:val="16"/>
              </w:rPr>
              <w:t>Janajati: 12.9%</w:t>
            </w:r>
          </w:p>
          <w:p w:rsidR="00B454FB" w:rsidRPr="00F90737" w:rsidRDefault="00B454FB" w:rsidP="00B454FB">
            <w:pPr>
              <w:rPr>
                <w:rFonts w:ascii="Calibri" w:hAnsi="Calibri"/>
                <w:sz w:val="16"/>
                <w:szCs w:val="16"/>
              </w:rPr>
            </w:pPr>
            <w:r w:rsidRPr="00F90737">
              <w:rPr>
                <w:rFonts w:ascii="Calibri" w:hAnsi="Calibri"/>
                <w:sz w:val="16"/>
                <w:szCs w:val="16"/>
              </w:rPr>
              <w:t>Madhesi: 11.4%</w:t>
            </w:r>
          </w:p>
          <w:p w:rsidR="00B454FB" w:rsidRPr="00F90737" w:rsidRDefault="00B454FB" w:rsidP="00B454FB">
            <w:pPr>
              <w:rPr>
                <w:rFonts w:ascii="Calibri" w:hAnsi="Calibri"/>
                <w:sz w:val="16"/>
                <w:szCs w:val="16"/>
              </w:rPr>
            </w:pPr>
            <w:r w:rsidRPr="00F90737">
              <w:rPr>
                <w:rFonts w:ascii="Calibri" w:hAnsi="Calibri"/>
                <w:sz w:val="16"/>
                <w:szCs w:val="16"/>
              </w:rPr>
              <w:t>Dalit: 8.6%</w:t>
            </w:r>
          </w:p>
          <w:p w:rsidR="00B454FB" w:rsidRPr="00F90737" w:rsidRDefault="00B454FB" w:rsidP="00B454FB">
            <w:pPr>
              <w:rPr>
                <w:rFonts w:ascii="Calibri" w:hAnsi="Calibri"/>
                <w:sz w:val="16"/>
                <w:szCs w:val="16"/>
              </w:rPr>
            </w:pPr>
            <w:r w:rsidRPr="00F90737">
              <w:rPr>
                <w:rFonts w:ascii="Calibri" w:hAnsi="Calibri"/>
                <w:sz w:val="16"/>
                <w:szCs w:val="16"/>
              </w:rPr>
              <w:t>Tharu: 5.7%</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Language of casualties</w:t>
            </w:r>
          </w:p>
        </w:tc>
        <w:tc>
          <w:tcPr>
            <w:tcW w:w="3144" w:type="dxa"/>
          </w:tcPr>
          <w:p w:rsidR="00B454FB" w:rsidRPr="00F90737" w:rsidRDefault="00B454FB" w:rsidP="00B454FB">
            <w:pPr>
              <w:rPr>
                <w:rFonts w:ascii="Calibri" w:hAnsi="Calibri"/>
                <w:i/>
                <w:sz w:val="16"/>
                <w:szCs w:val="16"/>
              </w:rPr>
            </w:pP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Bhojpuri: 35.6%</w:t>
            </w:r>
          </w:p>
          <w:p w:rsidR="00B454FB" w:rsidRPr="00F90737" w:rsidRDefault="00B454FB" w:rsidP="00B454FB">
            <w:pPr>
              <w:rPr>
                <w:rFonts w:ascii="Calibri" w:hAnsi="Calibri"/>
                <w:sz w:val="16"/>
                <w:szCs w:val="16"/>
              </w:rPr>
            </w:pPr>
            <w:r w:rsidRPr="00F90737">
              <w:rPr>
                <w:rFonts w:ascii="Calibri" w:hAnsi="Calibri"/>
                <w:sz w:val="16"/>
                <w:szCs w:val="16"/>
              </w:rPr>
              <w:t>Nepali: 34.2%</w:t>
            </w:r>
          </w:p>
          <w:p w:rsidR="00B454FB" w:rsidRPr="00F90737" w:rsidRDefault="00B454FB" w:rsidP="00B454FB">
            <w:pPr>
              <w:rPr>
                <w:rFonts w:ascii="Calibri" w:hAnsi="Calibri"/>
                <w:sz w:val="16"/>
                <w:szCs w:val="16"/>
              </w:rPr>
            </w:pPr>
            <w:r w:rsidRPr="00F90737">
              <w:rPr>
                <w:rFonts w:ascii="Calibri" w:hAnsi="Calibri"/>
                <w:sz w:val="16"/>
                <w:szCs w:val="16"/>
              </w:rPr>
              <w:t>Maithali: 16.4%</w:t>
            </w:r>
          </w:p>
          <w:p w:rsidR="00B454FB" w:rsidRPr="00F90737" w:rsidRDefault="00B454FB" w:rsidP="00B454FB">
            <w:pPr>
              <w:rPr>
                <w:rFonts w:ascii="Calibri" w:hAnsi="Calibri"/>
                <w:sz w:val="16"/>
                <w:szCs w:val="16"/>
              </w:rPr>
            </w:pPr>
            <w:r w:rsidRPr="00F90737">
              <w:rPr>
                <w:rFonts w:ascii="Calibri" w:hAnsi="Calibri"/>
                <w:sz w:val="16"/>
                <w:szCs w:val="16"/>
              </w:rPr>
              <w:t>Muslim: 4.1%</w:t>
            </w:r>
          </w:p>
          <w:p w:rsidR="00B454FB" w:rsidRPr="00F90737" w:rsidRDefault="00B454FB" w:rsidP="00B454FB">
            <w:pPr>
              <w:rPr>
                <w:rFonts w:ascii="Calibri" w:hAnsi="Calibri"/>
                <w:sz w:val="16"/>
                <w:szCs w:val="16"/>
              </w:rPr>
            </w:pPr>
            <w:r w:rsidRPr="00F90737">
              <w:rPr>
                <w:rFonts w:ascii="Calibri" w:hAnsi="Calibri"/>
                <w:sz w:val="16"/>
                <w:szCs w:val="16"/>
              </w:rPr>
              <w:t>Newari: 4.1%</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Nepali: 61.4%</w:t>
            </w:r>
          </w:p>
          <w:p w:rsidR="00B454FB" w:rsidRPr="00F90737" w:rsidRDefault="00B454FB" w:rsidP="00B454FB">
            <w:pPr>
              <w:rPr>
                <w:rFonts w:ascii="Calibri" w:hAnsi="Calibri"/>
                <w:sz w:val="16"/>
                <w:szCs w:val="16"/>
              </w:rPr>
            </w:pPr>
            <w:r w:rsidRPr="00F90737">
              <w:rPr>
                <w:rFonts w:ascii="Calibri" w:hAnsi="Calibri"/>
                <w:sz w:val="16"/>
                <w:szCs w:val="16"/>
              </w:rPr>
              <w:t>Maithali: 14.3%</w:t>
            </w:r>
          </w:p>
          <w:p w:rsidR="00B454FB" w:rsidRPr="00F90737" w:rsidRDefault="00B454FB" w:rsidP="00B454FB">
            <w:pPr>
              <w:rPr>
                <w:rFonts w:ascii="Calibri" w:hAnsi="Calibri"/>
                <w:sz w:val="16"/>
                <w:szCs w:val="16"/>
              </w:rPr>
            </w:pPr>
            <w:r w:rsidRPr="00F90737">
              <w:rPr>
                <w:rFonts w:ascii="Calibri" w:hAnsi="Calibri"/>
                <w:sz w:val="16"/>
                <w:szCs w:val="16"/>
              </w:rPr>
              <w:t>Doteli: 11.4%</w:t>
            </w:r>
          </w:p>
          <w:p w:rsidR="00B454FB" w:rsidRPr="00F90737" w:rsidRDefault="00B454FB" w:rsidP="00B454FB">
            <w:pPr>
              <w:rPr>
                <w:rFonts w:ascii="Calibri" w:hAnsi="Calibri"/>
                <w:sz w:val="16"/>
                <w:szCs w:val="16"/>
              </w:rPr>
            </w:pPr>
            <w:r w:rsidRPr="00F90737">
              <w:rPr>
                <w:rFonts w:ascii="Calibri" w:hAnsi="Calibri"/>
                <w:sz w:val="16"/>
                <w:szCs w:val="16"/>
              </w:rPr>
              <w:t>Tharu: 5.7%</w:t>
            </w:r>
          </w:p>
          <w:p w:rsidR="00B454FB" w:rsidRPr="00F90737" w:rsidRDefault="00B454FB" w:rsidP="00B454FB">
            <w:pPr>
              <w:rPr>
                <w:rFonts w:ascii="Calibri" w:hAnsi="Calibri"/>
                <w:sz w:val="16"/>
                <w:szCs w:val="16"/>
              </w:rPr>
            </w:pPr>
            <w:r w:rsidRPr="00F90737">
              <w:rPr>
                <w:rFonts w:ascii="Calibri" w:hAnsi="Calibri"/>
                <w:sz w:val="16"/>
                <w:szCs w:val="16"/>
              </w:rPr>
              <w:t>Bhojpuri: 4.3%</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Economic status of casualties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Lowest: 48.3%</w:t>
            </w:r>
          </w:p>
          <w:p w:rsidR="00B454FB" w:rsidRPr="00F90737" w:rsidRDefault="00B454FB" w:rsidP="00B454FB">
            <w:pPr>
              <w:rPr>
                <w:rFonts w:ascii="Calibri" w:hAnsi="Calibri"/>
                <w:sz w:val="16"/>
                <w:szCs w:val="16"/>
              </w:rPr>
            </w:pPr>
            <w:r w:rsidRPr="00F90737">
              <w:rPr>
                <w:rFonts w:ascii="Calibri" w:hAnsi="Calibri"/>
                <w:sz w:val="16"/>
                <w:szCs w:val="16"/>
              </w:rPr>
              <w:t>Low: 44.8%</w:t>
            </w:r>
          </w:p>
          <w:p w:rsidR="00B454FB" w:rsidRPr="00F90737" w:rsidRDefault="00B454FB" w:rsidP="00B454FB">
            <w:pPr>
              <w:rPr>
                <w:rFonts w:ascii="Calibri" w:hAnsi="Calibri"/>
                <w:sz w:val="16"/>
                <w:szCs w:val="16"/>
              </w:rPr>
            </w:pPr>
            <w:r w:rsidRPr="00F90737">
              <w:rPr>
                <w:rFonts w:ascii="Calibri" w:hAnsi="Calibri"/>
                <w:sz w:val="16"/>
                <w:szCs w:val="16"/>
              </w:rPr>
              <w:t>Middle: 3.4%</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Lowest: 46.6%</w:t>
            </w:r>
          </w:p>
          <w:p w:rsidR="00B454FB" w:rsidRPr="00F90737" w:rsidRDefault="00B454FB" w:rsidP="00B454FB">
            <w:pPr>
              <w:rPr>
                <w:rFonts w:ascii="Calibri" w:hAnsi="Calibri"/>
                <w:sz w:val="16"/>
                <w:szCs w:val="16"/>
              </w:rPr>
            </w:pPr>
            <w:r w:rsidRPr="00F90737">
              <w:rPr>
                <w:rFonts w:ascii="Calibri" w:hAnsi="Calibri"/>
                <w:sz w:val="16"/>
                <w:szCs w:val="16"/>
              </w:rPr>
              <w:t>Low: 43.8%</w:t>
            </w:r>
          </w:p>
          <w:p w:rsidR="00B454FB" w:rsidRPr="00F90737" w:rsidRDefault="00B454FB" w:rsidP="00B454FB">
            <w:pPr>
              <w:rPr>
                <w:rFonts w:ascii="Calibri" w:hAnsi="Calibri"/>
                <w:sz w:val="16"/>
                <w:szCs w:val="16"/>
              </w:rPr>
            </w:pPr>
            <w:r w:rsidRPr="00F90737">
              <w:rPr>
                <w:rFonts w:ascii="Calibri" w:hAnsi="Calibri"/>
                <w:sz w:val="16"/>
                <w:szCs w:val="16"/>
              </w:rPr>
              <w:t xml:space="preserve">Middle: 8.2% </w:t>
            </w:r>
          </w:p>
          <w:p w:rsidR="00B454FB" w:rsidRPr="00F90737" w:rsidRDefault="00B454FB" w:rsidP="00B454FB">
            <w:pPr>
              <w:rPr>
                <w:rFonts w:ascii="Calibri" w:hAnsi="Calibri"/>
                <w:sz w:val="16"/>
                <w:szCs w:val="16"/>
              </w:rPr>
            </w:pPr>
            <w:r w:rsidRPr="00F90737">
              <w:rPr>
                <w:rFonts w:ascii="Calibri" w:hAnsi="Calibri"/>
                <w:sz w:val="16"/>
                <w:szCs w:val="16"/>
              </w:rPr>
              <w:t>High: 1.4%</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Lowest: 54.3%</w:t>
            </w:r>
          </w:p>
          <w:p w:rsidR="00B454FB" w:rsidRPr="00F90737" w:rsidRDefault="00B454FB" w:rsidP="00B454FB">
            <w:pPr>
              <w:rPr>
                <w:rFonts w:ascii="Calibri" w:hAnsi="Calibri"/>
                <w:sz w:val="16"/>
                <w:szCs w:val="16"/>
              </w:rPr>
            </w:pPr>
            <w:r w:rsidRPr="00F90737">
              <w:rPr>
                <w:rFonts w:ascii="Calibri" w:hAnsi="Calibri"/>
                <w:sz w:val="16"/>
                <w:szCs w:val="16"/>
              </w:rPr>
              <w:t>Low: 45.7%</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Occupation of casualties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Student: 44.8%</w:t>
            </w:r>
          </w:p>
          <w:p w:rsidR="00B454FB" w:rsidRPr="00F90737" w:rsidRDefault="00B454FB" w:rsidP="00B454FB">
            <w:pPr>
              <w:rPr>
                <w:rFonts w:ascii="Calibri" w:hAnsi="Calibri"/>
                <w:sz w:val="16"/>
                <w:szCs w:val="16"/>
              </w:rPr>
            </w:pPr>
            <w:r w:rsidRPr="00F90737">
              <w:rPr>
                <w:rFonts w:ascii="Calibri" w:hAnsi="Calibri"/>
                <w:sz w:val="16"/>
                <w:szCs w:val="16"/>
              </w:rPr>
              <w:t>Farmer: 19.0%</w:t>
            </w:r>
          </w:p>
          <w:p w:rsidR="00B454FB" w:rsidRPr="00F90737" w:rsidRDefault="00B454FB" w:rsidP="00B454FB">
            <w:pPr>
              <w:rPr>
                <w:rFonts w:ascii="Calibri" w:hAnsi="Calibri"/>
                <w:sz w:val="16"/>
                <w:szCs w:val="16"/>
              </w:rPr>
            </w:pPr>
            <w:r w:rsidRPr="00F90737">
              <w:rPr>
                <w:rFonts w:ascii="Calibri" w:hAnsi="Calibri"/>
                <w:sz w:val="16"/>
                <w:szCs w:val="16"/>
              </w:rPr>
              <w:t>Laborer: 17.2%</w:t>
            </w:r>
          </w:p>
          <w:p w:rsidR="00B454FB" w:rsidRPr="00F90737" w:rsidRDefault="00B454FB" w:rsidP="00B454FB">
            <w:pPr>
              <w:rPr>
                <w:rFonts w:ascii="Calibri" w:hAnsi="Calibri"/>
                <w:sz w:val="16"/>
                <w:szCs w:val="16"/>
              </w:rPr>
            </w:pPr>
            <w:r w:rsidRPr="00F90737">
              <w:rPr>
                <w:rFonts w:ascii="Calibri" w:hAnsi="Calibri"/>
                <w:sz w:val="16"/>
                <w:szCs w:val="16"/>
              </w:rPr>
              <w:t>Unemployed: 10.3%</w:t>
            </w:r>
          </w:p>
          <w:p w:rsidR="00B454FB" w:rsidRPr="00F90737" w:rsidRDefault="00B454FB" w:rsidP="00B454FB">
            <w:pPr>
              <w:rPr>
                <w:rFonts w:ascii="Calibri" w:hAnsi="Calibri"/>
                <w:sz w:val="16"/>
                <w:szCs w:val="16"/>
              </w:rPr>
            </w:pPr>
            <w:r w:rsidRPr="00F90737">
              <w:rPr>
                <w:rFonts w:ascii="Calibri" w:hAnsi="Calibri"/>
                <w:sz w:val="16"/>
                <w:szCs w:val="16"/>
              </w:rPr>
              <w:t>Unknown: 3.4%</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Student: 43.8%</w:t>
            </w:r>
          </w:p>
          <w:p w:rsidR="00B454FB" w:rsidRPr="00F90737" w:rsidRDefault="00B454FB" w:rsidP="00B454FB">
            <w:pPr>
              <w:rPr>
                <w:rFonts w:ascii="Calibri" w:hAnsi="Calibri"/>
                <w:sz w:val="16"/>
                <w:szCs w:val="16"/>
              </w:rPr>
            </w:pPr>
            <w:r w:rsidRPr="00F90737">
              <w:rPr>
                <w:rFonts w:ascii="Calibri" w:hAnsi="Calibri"/>
                <w:sz w:val="16"/>
                <w:szCs w:val="16"/>
              </w:rPr>
              <w:t>Farmer: 15.1%</w:t>
            </w:r>
          </w:p>
          <w:p w:rsidR="00B454FB" w:rsidRPr="00F90737" w:rsidRDefault="00B454FB" w:rsidP="00B454FB">
            <w:pPr>
              <w:rPr>
                <w:rFonts w:ascii="Calibri" w:hAnsi="Calibri"/>
                <w:sz w:val="16"/>
                <w:szCs w:val="16"/>
              </w:rPr>
            </w:pPr>
            <w:r w:rsidRPr="00F90737">
              <w:rPr>
                <w:rFonts w:ascii="Calibri" w:hAnsi="Calibri"/>
                <w:sz w:val="16"/>
                <w:szCs w:val="16"/>
              </w:rPr>
              <w:t>Other: 13.7%</w:t>
            </w:r>
          </w:p>
          <w:p w:rsidR="00B454FB" w:rsidRPr="00F90737" w:rsidRDefault="00B454FB" w:rsidP="00B454FB">
            <w:pPr>
              <w:rPr>
                <w:rFonts w:ascii="Calibri" w:hAnsi="Calibri"/>
                <w:sz w:val="16"/>
                <w:szCs w:val="16"/>
              </w:rPr>
            </w:pPr>
            <w:r w:rsidRPr="00F90737">
              <w:rPr>
                <w:rFonts w:ascii="Calibri" w:hAnsi="Calibri"/>
                <w:sz w:val="16"/>
                <w:szCs w:val="16"/>
              </w:rPr>
              <w:t>Laborer: 9.6%</w:t>
            </w:r>
          </w:p>
          <w:p w:rsidR="00B454FB" w:rsidRPr="00F90737" w:rsidRDefault="00B454FB" w:rsidP="00B454FB">
            <w:pPr>
              <w:rPr>
                <w:rFonts w:ascii="Calibri" w:hAnsi="Calibri"/>
                <w:sz w:val="16"/>
                <w:szCs w:val="16"/>
              </w:rPr>
            </w:pPr>
            <w:r w:rsidRPr="00F90737">
              <w:rPr>
                <w:rFonts w:ascii="Calibri" w:hAnsi="Calibri"/>
                <w:sz w:val="16"/>
                <w:szCs w:val="16"/>
              </w:rPr>
              <w:t>Unknown: 8.2%</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Student: 45.7%</w:t>
            </w:r>
          </w:p>
          <w:p w:rsidR="00B454FB" w:rsidRPr="00F90737" w:rsidRDefault="00B454FB" w:rsidP="00B454FB">
            <w:pPr>
              <w:rPr>
                <w:rFonts w:ascii="Calibri" w:hAnsi="Calibri"/>
                <w:sz w:val="16"/>
                <w:szCs w:val="16"/>
              </w:rPr>
            </w:pPr>
            <w:r w:rsidRPr="00F90737">
              <w:rPr>
                <w:rFonts w:ascii="Calibri" w:hAnsi="Calibri"/>
                <w:sz w:val="16"/>
                <w:szCs w:val="16"/>
              </w:rPr>
              <w:t>Farmer: 27.1%</w:t>
            </w:r>
          </w:p>
          <w:p w:rsidR="00B454FB" w:rsidRPr="00F90737" w:rsidRDefault="00B454FB" w:rsidP="00B454FB">
            <w:pPr>
              <w:rPr>
                <w:rFonts w:ascii="Calibri" w:hAnsi="Calibri"/>
                <w:sz w:val="16"/>
                <w:szCs w:val="16"/>
              </w:rPr>
            </w:pPr>
            <w:r w:rsidRPr="00F90737">
              <w:rPr>
                <w:rFonts w:ascii="Calibri" w:hAnsi="Calibri"/>
                <w:sz w:val="16"/>
                <w:szCs w:val="16"/>
              </w:rPr>
              <w:t>Laborer: 17.1%</w:t>
            </w:r>
          </w:p>
          <w:p w:rsidR="00B454FB" w:rsidRPr="00F90737" w:rsidRDefault="00B454FB" w:rsidP="00B454FB">
            <w:pPr>
              <w:rPr>
                <w:rFonts w:ascii="Calibri" w:hAnsi="Calibri"/>
                <w:sz w:val="16"/>
                <w:szCs w:val="16"/>
              </w:rPr>
            </w:pPr>
            <w:r w:rsidRPr="00F90737">
              <w:rPr>
                <w:rFonts w:ascii="Calibri" w:hAnsi="Calibri"/>
                <w:sz w:val="16"/>
                <w:szCs w:val="16"/>
              </w:rPr>
              <w:t>Infants and children below schooling: 4.3%</w:t>
            </w:r>
          </w:p>
          <w:p w:rsidR="00B454FB" w:rsidRPr="00F90737" w:rsidRDefault="00B454FB" w:rsidP="00B454FB">
            <w:pPr>
              <w:rPr>
                <w:rFonts w:ascii="Calibri" w:hAnsi="Calibri"/>
                <w:sz w:val="16"/>
                <w:szCs w:val="16"/>
              </w:rPr>
            </w:pPr>
            <w:r w:rsidRPr="00F90737">
              <w:rPr>
                <w:rFonts w:ascii="Calibri" w:hAnsi="Calibri"/>
                <w:sz w:val="16"/>
                <w:szCs w:val="16"/>
              </w:rPr>
              <w:t>Business: 1.4%</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Knew area of incident was dangerous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3.4%</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8.2%</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5.7%</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Knew activity at time of incident was dangerous</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12.1%</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4.1%</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4.3%</w:t>
            </w:r>
          </w:p>
        </w:tc>
      </w:tr>
      <w:tr w:rsidR="00B454FB" w:rsidRPr="003A6629">
        <w:tc>
          <w:tcPr>
            <w:tcW w:w="2254" w:type="dxa"/>
          </w:tcPr>
          <w:p w:rsidR="00B454FB" w:rsidRPr="00F90737" w:rsidRDefault="00B454FB" w:rsidP="00B454FB">
            <w:pPr>
              <w:rPr>
                <w:rFonts w:ascii="Calibri" w:hAnsi="Calibri"/>
                <w:sz w:val="16"/>
                <w:szCs w:val="16"/>
              </w:rPr>
            </w:pPr>
            <w:r w:rsidRPr="00F90737">
              <w:rPr>
                <w:rFonts w:ascii="Calibri" w:hAnsi="Calibri"/>
                <w:sz w:val="16"/>
                <w:szCs w:val="16"/>
              </w:rPr>
              <w:t>Receipt of MRE prior to incident</w:t>
            </w:r>
          </w:p>
        </w:tc>
        <w:tc>
          <w:tcPr>
            <w:tcW w:w="3144" w:type="dxa"/>
          </w:tcPr>
          <w:p w:rsidR="00B454FB" w:rsidRPr="00F90737" w:rsidRDefault="00B454FB" w:rsidP="00B454FB">
            <w:pPr>
              <w:rPr>
                <w:rFonts w:ascii="Calibri" w:hAnsi="Calibri"/>
                <w:i/>
                <w:sz w:val="16"/>
                <w:szCs w:val="16"/>
              </w:rPr>
            </w:pPr>
            <w:r w:rsidRPr="00F90737">
              <w:rPr>
                <w:rFonts w:ascii="Calibri" w:hAnsi="Calibri"/>
                <w:i/>
                <w:sz w:val="16"/>
                <w:szCs w:val="16"/>
              </w:rPr>
              <w:t>Of 58 casualties:</w:t>
            </w:r>
          </w:p>
          <w:p w:rsidR="00B454FB" w:rsidRPr="00F90737" w:rsidRDefault="00B454FB" w:rsidP="00B454FB">
            <w:pPr>
              <w:rPr>
                <w:rFonts w:ascii="Calibri" w:hAnsi="Calibri"/>
                <w:sz w:val="16"/>
                <w:szCs w:val="16"/>
              </w:rPr>
            </w:pPr>
            <w:r w:rsidRPr="00F90737">
              <w:rPr>
                <w:rFonts w:ascii="Calibri" w:hAnsi="Calibri"/>
                <w:sz w:val="16"/>
                <w:szCs w:val="16"/>
              </w:rPr>
              <w:t>Did not receive: 91.4%</w:t>
            </w:r>
          </w:p>
          <w:p w:rsidR="00B454FB" w:rsidRPr="00F90737" w:rsidRDefault="00B454FB" w:rsidP="00B454FB">
            <w:pPr>
              <w:rPr>
                <w:rFonts w:ascii="Calibri" w:hAnsi="Calibri"/>
                <w:sz w:val="16"/>
                <w:szCs w:val="16"/>
              </w:rPr>
            </w:pPr>
            <w:r w:rsidRPr="00F90737">
              <w:rPr>
                <w:rFonts w:ascii="Calibri" w:hAnsi="Calibri"/>
                <w:sz w:val="16"/>
                <w:szCs w:val="16"/>
              </w:rPr>
              <w:t>Unknown: 8.6%</w:t>
            </w:r>
          </w:p>
        </w:tc>
        <w:tc>
          <w:tcPr>
            <w:tcW w:w="3176" w:type="dxa"/>
          </w:tcPr>
          <w:p w:rsidR="00B454FB" w:rsidRPr="00F90737" w:rsidRDefault="00B454FB" w:rsidP="00B454FB">
            <w:pPr>
              <w:rPr>
                <w:rFonts w:ascii="Calibri" w:hAnsi="Calibri"/>
                <w:sz w:val="16"/>
                <w:szCs w:val="16"/>
              </w:rPr>
            </w:pPr>
          </w:p>
        </w:tc>
        <w:tc>
          <w:tcPr>
            <w:tcW w:w="3127" w:type="dxa"/>
          </w:tcPr>
          <w:p w:rsidR="00B454FB" w:rsidRPr="00F90737" w:rsidRDefault="00B454FB" w:rsidP="00B454FB">
            <w:pPr>
              <w:rPr>
                <w:rFonts w:ascii="Calibri" w:hAnsi="Calibri"/>
                <w:i/>
                <w:sz w:val="16"/>
                <w:szCs w:val="16"/>
              </w:rPr>
            </w:pPr>
            <w:r w:rsidRPr="00F90737">
              <w:rPr>
                <w:rFonts w:ascii="Calibri" w:hAnsi="Calibri"/>
                <w:i/>
                <w:sz w:val="16"/>
                <w:szCs w:val="16"/>
              </w:rPr>
              <w:t>Of 73 casualties:</w:t>
            </w:r>
          </w:p>
          <w:p w:rsidR="00B454FB" w:rsidRPr="00F90737" w:rsidRDefault="00B454FB" w:rsidP="00B454FB">
            <w:pPr>
              <w:rPr>
                <w:rFonts w:ascii="Calibri" w:hAnsi="Calibri"/>
                <w:sz w:val="16"/>
                <w:szCs w:val="16"/>
              </w:rPr>
            </w:pPr>
            <w:r w:rsidRPr="00F90737">
              <w:rPr>
                <w:rFonts w:ascii="Calibri" w:hAnsi="Calibri"/>
                <w:sz w:val="16"/>
                <w:szCs w:val="16"/>
              </w:rPr>
              <w:t>Did not receive: 95.9%</w:t>
            </w:r>
          </w:p>
          <w:p w:rsidR="00B454FB" w:rsidRPr="00F90737" w:rsidRDefault="00B454FB" w:rsidP="00B454FB">
            <w:pPr>
              <w:rPr>
                <w:rFonts w:ascii="Calibri" w:hAnsi="Calibri"/>
                <w:sz w:val="16"/>
                <w:szCs w:val="16"/>
              </w:rPr>
            </w:pPr>
            <w:r w:rsidRPr="00F90737">
              <w:rPr>
                <w:rFonts w:ascii="Calibri" w:hAnsi="Calibri"/>
                <w:sz w:val="16"/>
                <w:szCs w:val="16"/>
              </w:rPr>
              <w:t>Unknown: 4.1%</w:t>
            </w:r>
          </w:p>
        </w:tc>
        <w:tc>
          <w:tcPr>
            <w:tcW w:w="2915" w:type="dxa"/>
          </w:tcPr>
          <w:p w:rsidR="00B454FB" w:rsidRPr="00F90737" w:rsidRDefault="00B454FB" w:rsidP="00B454FB">
            <w:pPr>
              <w:rPr>
                <w:rFonts w:ascii="Calibri" w:hAnsi="Calibri"/>
                <w:i/>
                <w:sz w:val="16"/>
                <w:szCs w:val="16"/>
              </w:rPr>
            </w:pPr>
            <w:r w:rsidRPr="00F90737">
              <w:rPr>
                <w:rFonts w:ascii="Calibri" w:hAnsi="Calibri"/>
                <w:i/>
                <w:sz w:val="16"/>
                <w:szCs w:val="16"/>
              </w:rPr>
              <w:t>Of 70 casualties:</w:t>
            </w:r>
          </w:p>
          <w:p w:rsidR="00B454FB" w:rsidRPr="00F90737" w:rsidRDefault="00B454FB" w:rsidP="00B454FB">
            <w:pPr>
              <w:rPr>
                <w:rFonts w:ascii="Calibri" w:hAnsi="Calibri"/>
                <w:sz w:val="16"/>
                <w:szCs w:val="16"/>
              </w:rPr>
            </w:pPr>
            <w:r w:rsidRPr="00F90737">
              <w:rPr>
                <w:rFonts w:ascii="Calibri" w:hAnsi="Calibri"/>
                <w:sz w:val="16"/>
                <w:szCs w:val="16"/>
              </w:rPr>
              <w:t>Did not receive: 88.6%</w:t>
            </w:r>
          </w:p>
          <w:p w:rsidR="00B454FB" w:rsidRPr="00F90737" w:rsidRDefault="00B454FB" w:rsidP="00B454FB">
            <w:pPr>
              <w:rPr>
                <w:rFonts w:ascii="Calibri" w:hAnsi="Calibri"/>
                <w:sz w:val="16"/>
                <w:szCs w:val="16"/>
              </w:rPr>
            </w:pPr>
            <w:r w:rsidRPr="00F90737">
              <w:rPr>
                <w:rFonts w:ascii="Calibri" w:hAnsi="Calibri"/>
                <w:sz w:val="16"/>
                <w:szCs w:val="16"/>
              </w:rPr>
              <w:t>Unknown: 11.4%</w:t>
            </w:r>
          </w:p>
        </w:tc>
      </w:tr>
    </w:tbl>
    <w:p w:rsidR="00B454FB" w:rsidRPr="00745161" w:rsidRDefault="00B454FB" w:rsidP="00B454FB">
      <w:pPr>
        <w:rPr>
          <w:rFonts w:ascii="Calibri" w:hAnsi="Calibri"/>
          <w:sz w:val="16"/>
          <w:szCs w:val="16"/>
        </w:rPr>
      </w:pPr>
      <w:r w:rsidRPr="00745161">
        <w:rPr>
          <w:rFonts w:ascii="Calibri" w:hAnsi="Calibri"/>
          <w:sz w:val="16"/>
          <w:szCs w:val="16"/>
        </w:rPr>
        <w:t>*20 Terai districts: Banke, Bara, Bardiya, Chitwan, Dang, Dhanusha, Jhapa, Kailali, Kanchanpur, Kapilbastu, Mahottari, Morang, Nawalparasi, Parsa, Rautahat, Rupandehi, Saptari, Sarlahi, Siraha, Sunsari.</w:t>
      </w:r>
    </w:p>
    <w:p w:rsidR="00B454FB" w:rsidRDefault="00B454FB" w:rsidP="00B454FB"/>
    <w:p w:rsidR="00B454FB" w:rsidRPr="00745DE7" w:rsidRDefault="00B454FB" w:rsidP="00B454FB">
      <w:pPr>
        <w:rPr>
          <w:rFonts w:ascii="Calibri" w:hAnsi="Calibri"/>
          <w:sz w:val="20"/>
          <w:szCs w:val="20"/>
        </w:rPr>
      </w:pPr>
    </w:p>
    <w:p w:rsidR="00B454FB"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sectPr w:rsidR="00B454FB" w:rsidSect="00B454FB">
          <w:footerReference w:type="default" r:id="rId70"/>
          <w:footnotePr>
            <w:numFmt w:val="lowerRoman"/>
          </w:footnotePr>
          <w:endnotePr>
            <w:numFmt w:val="decimal"/>
          </w:endnotePr>
          <w:pgSz w:w="12240" w:h="15840"/>
          <w:pgMar w:top="720" w:right="720" w:bottom="720" w:left="720" w:header="720" w:footer="720" w:gutter="0"/>
          <w:cols w:space="720"/>
          <w:docGrid w:linePitch="360"/>
        </w:sectPr>
      </w:pPr>
    </w:p>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A.2  </w:t>
      </w:r>
      <w:r w:rsidRPr="00D61C8A">
        <w:rPr>
          <w:rFonts w:ascii="Calibri" w:hAnsi="Calibri"/>
          <w:sz w:val="20"/>
          <w:szCs w:val="20"/>
        </w:rPr>
        <w:t>INSEC visual representation of VAEISS</w:t>
      </w:r>
      <w:r>
        <w:rPr>
          <w:rFonts w:ascii="Calibri" w:hAnsi="Calibri"/>
          <w:sz w:val="20"/>
          <w:szCs w:val="20"/>
        </w:rPr>
        <w:t xml:space="preserve"> </w:t>
      </w:r>
    </w:p>
    <w:p w:rsidR="00B454FB" w:rsidRPr="003A6629" w:rsidRDefault="00B454FB" w:rsidP="00B454FB">
      <w:pPr>
        <w:pStyle w:val="Heading3"/>
        <w:numPr>
          <w:ilvl w:val="0"/>
          <w:numId w:val="0"/>
        </w:numPr>
        <w:spacing w:before="0"/>
        <w:ind w:left="144" w:firstLine="144"/>
        <w:rPr>
          <w:rFonts w:ascii="Calibri" w:hAnsi="Calibri"/>
          <w:sz w:val="20"/>
          <w:szCs w:val="20"/>
        </w:rPr>
      </w:pPr>
    </w:p>
    <w:p w:rsidR="00B454FB" w:rsidRPr="001C74B7" w:rsidRDefault="00B454FB" w:rsidP="00B454FB">
      <w:pPr>
        <w:rPr>
          <w:rFonts w:ascii="Calibri" w:hAnsi="Calibri"/>
          <w:i/>
          <w:sz w:val="20"/>
          <w:szCs w:val="20"/>
        </w:rPr>
      </w:pPr>
      <w:r w:rsidRPr="003A6629">
        <w:rPr>
          <w:rFonts w:ascii="Calibri" w:hAnsi="Calibri"/>
          <w:i/>
          <w:sz w:val="20"/>
          <w:szCs w:val="20"/>
        </w:rPr>
        <w:t>Th</w:t>
      </w:r>
      <w:r>
        <w:rPr>
          <w:rFonts w:ascii="Calibri" w:hAnsi="Calibri"/>
          <w:i/>
          <w:sz w:val="20"/>
          <w:szCs w:val="20"/>
        </w:rPr>
        <w:t>is visual representation of data flow within the VAE injury surveillance system is available in INSEC’s 2006 annual report on VAE injuries.</w:t>
      </w:r>
      <w:r>
        <w:rPr>
          <w:rStyle w:val="EndnoteReference"/>
          <w:rFonts w:ascii="Calibri" w:hAnsi="Calibri"/>
          <w:i/>
          <w:sz w:val="20"/>
          <w:szCs w:val="20"/>
        </w:rPr>
        <w:endnoteReference w:id="365"/>
      </w:r>
    </w:p>
    <w:p w:rsidR="00B454FB" w:rsidRDefault="00407A28" w:rsidP="00B454FB">
      <w:pPr>
        <w:pStyle w:val="Heading3"/>
        <w:numPr>
          <w:ilvl w:val="0"/>
          <w:numId w:val="0"/>
        </w:numPr>
        <w:spacing w:before="0"/>
        <w:ind w:left="144" w:firstLine="144"/>
        <w:rPr>
          <w:rFonts w:ascii="Calibri" w:hAnsi="Calibri"/>
          <w:sz w:val="20"/>
          <w:szCs w:val="20"/>
        </w:rPr>
      </w:pPr>
      <w:r>
        <w:rPr>
          <w:rFonts w:ascii="Calibri" w:hAnsi="Calibri"/>
          <w:noProof/>
          <w:sz w:val="20"/>
          <w:szCs w:val="20"/>
        </w:rPr>
        <w:drawing>
          <wp:inline distT="0" distB="0" distL="0" distR="0">
            <wp:extent cx="7216775" cy="5810885"/>
            <wp:effectExtent l="19050" t="0" r="317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srcRect/>
                    <a:stretch>
                      <a:fillRect/>
                    </a:stretch>
                  </pic:blipFill>
                  <pic:spPr bwMode="auto">
                    <a:xfrm>
                      <a:off x="0" y="0"/>
                      <a:ext cx="7216775" cy="5810885"/>
                    </a:xfrm>
                    <a:prstGeom prst="rect">
                      <a:avLst/>
                    </a:prstGeom>
                    <a:noFill/>
                    <a:ln w="9525">
                      <a:noFill/>
                      <a:miter lim="800000"/>
                      <a:headEnd/>
                      <a:tailEnd/>
                    </a:ln>
                  </pic:spPr>
                </pic:pic>
              </a:graphicData>
            </a:graphic>
          </wp:inline>
        </w:drawing>
      </w:r>
    </w:p>
    <w:p w:rsidR="00B454FB" w:rsidRPr="003A6629" w:rsidRDefault="00B454FB" w:rsidP="00B454FB"/>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A.3  </w:t>
      </w:r>
      <w:r w:rsidRPr="00D61C8A">
        <w:rPr>
          <w:rFonts w:ascii="Calibri" w:hAnsi="Calibri"/>
          <w:sz w:val="20"/>
          <w:szCs w:val="20"/>
        </w:rPr>
        <w:t>Data collection form for VAEISS (Nepali version)</w:t>
      </w:r>
      <w:r>
        <w:rPr>
          <w:rFonts w:ascii="Calibri" w:hAnsi="Calibri"/>
          <w:sz w:val="20"/>
          <w:szCs w:val="20"/>
        </w:rPr>
        <w:t xml:space="preserve"> </w:t>
      </w:r>
    </w:p>
    <w:p w:rsidR="00B454FB" w:rsidRDefault="00B454FB" w:rsidP="00B454FB">
      <w:pPr>
        <w:pStyle w:val="Heading3"/>
        <w:numPr>
          <w:ilvl w:val="0"/>
          <w:numId w:val="0"/>
        </w:numPr>
        <w:spacing w:before="0"/>
        <w:ind w:left="144" w:firstLine="144"/>
        <w:rPr>
          <w:rFonts w:ascii="Calibri" w:hAnsi="Calibri"/>
          <w:sz w:val="20"/>
          <w:szCs w:val="20"/>
        </w:rPr>
      </w:pPr>
    </w:p>
    <w:p w:rsidR="00B454FB" w:rsidRDefault="00B454FB" w:rsidP="00B454FB">
      <w:pPr>
        <w:rPr>
          <w:noProof/>
        </w:rPr>
        <w:sectPr w:rsidR="00B454FB" w:rsidSect="00B454FB">
          <w:footnotePr>
            <w:numFmt w:val="lowerRoman"/>
          </w:footnotePr>
          <w:endnotePr>
            <w:numFmt w:val="decimal"/>
          </w:endnotePr>
          <w:pgSz w:w="15840" w:h="12240" w:orient="landscape"/>
          <w:pgMar w:top="720" w:right="720" w:bottom="720" w:left="720" w:header="720" w:footer="720" w:gutter="0"/>
          <w:cols w:space="720"/>
          <w:docGrid w:linePitch="360"/>
        </w:sectPr>
      </w:pPr>
    </w:p>
    <w:p w:rsidR="00B454FB" w:rsidRDefault="00B454FB" w:rsidP="00B454FB"/>
    <w:p w:rsidR="00B454FB" w:rsidRDefault="00B454FB" w:rsidP="00B454FB">
      <w:pPr>
        <w:sectPr w:rsidR="00B454FB" w:rsidSect="00B454FB">
          <w:footnotePr>
            <w:numFmt w:val="lowerRoman"/>
          </w:footnotePr>
          <w:endnotePr>
            <w:numFmt w:val="decimal"/>
          </w:endnotePr>
          <w:pgSz w:w="12240" w:h="15840"/>
          <w:pgMar w:top="720" w:right="720" w:bottom="720" w:left="720" w:header="720" w:footer="720" w:gutter="0"/>
          <w:cols w:space="720"/>
          <w:docGrid w:linePitch="360"/>
        </w:sectPr>
      </w:pPr>
    </w:p>
    <w:p w:rsidR="00B454FB" w:rsidRPr="001C74B7" w:rsidRDefault="00B454FB" w:rsidP="00B454FB"/>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A.4  </w:t>
      </w:r>
      <w:r w:rsidRPr="00D61C8A">
        <w:rPr>
          <w:rFonts w:ascii="Calibri" w:hAnsi="Calibri"/>
          <w:sz w:val="20"/>
          <w:szCs w:val="20"/>
        </w:rPr>
        <w:t>Data collection form for VAEISS (English version)</w:t>
      </w:r>
      <w:r>
        <w:rPr>
          <w:rFonts w:ascii="Calibri" w:hAnsi="Calibri"/>
          <w:sz w:val="20"/>
          <w:szCs w:val="20"/>
        </w:rPr>
        <w:t xml:space="preserve"> </w:t>
      </w:r>
    </w:p>
    <w:p w:rsidR="00B454FB" w:rsidRDefault="00B454FB" w:rsidP="00B454FB">
      <w:pPr>
        <w:pStyle w:val="Heading3"/>
        <w:numPr>
          <w:ilvl w:val="0"/>
          <w:numId w:val="0"/>
        </w:numPr>
        <w:spacing w:before="0"/>
        <w:ind w:left="144" w:firstLine="144"/>
        <w:rPr>
          <w:rFonts w:ascii="Calibri" w:hAnsi="Calibri"/>
          <w:sz w:val="20"/>
          <w:szCs w:val="20"/>
        </w:rPr>
      </w:pPr>
    </w:p>
    <w:p w:rsidR="00B454FB" w:rsidRDefault="00B454FB" w:rsidP="00B454FB"/>
    <w:p w:rsidR="00B454FB" w:rsidRDefault="00B454FB" w:rsidP="00B454FB"/>
    <w:p w:rsidR="00B454FB" w:rsidRPr="001930AB" w:rsidRDefault="00B454FB" w:rsidP="00B454FB"/>
    <w:p w:rsidR="00B454FB"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sectPr w:rsidR="00B454FB" w:rsidSect="00B454FB">
          <w:footnotePr>
            <w:numFmt w:val="lowerRoman"/>
          </w:footnotePr>
          <w:endnotePr>
            <w:numFmt w:val="decimal"/>
          </w:endnotePr>
          <w:pgSz w:w="15840" w:h="12240" w:orient="landscape"/>
          <w:pgMar w:top="720" w:right="720" w:bottom="720" w:left="720" w:header="720" w:footer="720" w:gutter="0"/>
          <w:cols w:space="720"/>
          <w:docGrid w:linePitch="360"/>
        </w:sectPr>
      </w:pPr>
    </w:p>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A.5  </w:t>
      </w:r>
      <w:r w:rsidRPr="00D61C8A">
        <w:rPr>
          <w:rFonts w:ascii="Calibri" w:hAnsi="Calibri"/>
          <w:sz w:val="20"/>
          <w:szCs w:val="20"/>
        </w:rPr>
        <w:t>Case study from VAEISS 2009 annual report</w:t>
      </w:r>
      <w:r>
        <w:rPr>
          <w:rFonts w:ascii="Calibri" w:hAnsi="Calibri"/>
          <w:sz w:val="20"/>
          <w:szCs w:val="20"/>
        </w:rPr>
        <w:t xml:space="preserve"> </w:t>
      </w:r>
    </w:p>
    <w:p w:rsidR="00B454FB" w:rsidRPr="003A6629" w:rsidRDefault="00B454FB" w:rsidP="00B454FB">
      <w:pPr>
        <w:pStyle w:val="Heading3"/>
        <w:numPr>
          <w:ilvl w:val="0"/>
          <w:numId w:val="0"/>
        </w:numPr>
        <w:spacing w:before="0"/>
        <w:rPr>
          <w:rFonts w:ascii="Calibri" w:hAnsi="Calibri"/>
          <w:sz w:val="20"/>
          <w:szCs w:val="20"/>
        </w:rPr>
      </w:pPr>
    </w:p>
    <w:p w:rsidR="00B454FB" w:rsidRPr="001C74B7" w:rsidRDefault="00B454FB" w:rsidP="00B454FB">
      <w:pPr>
        <w:rPr>
          <w:rFonts w:ascii="Calibri" w:hAnsi="Calibri"/>
          <w:i/>
          <w:sz w:val="20"/>
          <w:szCs w:val="20"/>
        </w:rPr>
      </w:pPr>
      <w:r>
        <w:rPr>
          <w:rFonts w:ascii="Calibri" w:hAnsi="Calibri"/>
          <w:i/>
          <w:sz w:val="20"/>
          <w:szCs w:val="20"/>
        </w:rPr>
        <w:t>This case study was published in INSEC’s 2009 annual report on VAE injuries.</w:t>
      </w:r>
      <w:r>
        <w:rPr>
          <w:rStyle w:val="EndnoteReference"/>
          <w:rFonts w:ascii="Calibri" w:hAnsi="Calibri"/>
          <w:i/>
          <w:sz w:val="20"/>
          <w:szCs w:val="20"/>
        </w:rPr>
        <w:endnoteReference w:id="366"/>
      </w:r>
    </w:p>
    <w:p w:rsidR="00B454FB" w:rsidRDefault="00B454FB" w:rsidP="00B454FB"/>
    <w:p w:rsidR="00B454FB" w:rsidRPr="001930AB" w:rsidRDefault="00B454FB" w:rsidP="00B454FB"/>
    <w:p w:rsidR="00B454FB" w:rsidRPr="00760E57"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A.6  </w:t>
      </w:r>
      <w:r w:rsidRPr="00D61C8A">
        <w:rPr>
          <w:rFonts w:ascii="Calibri" w:hAnsi="Calibri"/>
          <w:sz w:val="20"/>
          <w:szCs w:val="20"/>
        </w:rPr>
        <w:t>March 2010 VAEISS monthly flash report</w:t>
      </w:r>
      <w:r>
        <w:rPr>
          <w:rFonts w:ascii="Calibri" w:hAnsi="Calibri"/>
          <w:sz w:val="20"/>
          <w:szCs w:val="20"/>
        </w:rPr>
        <w:t xml:space="preserve"> </w:t>
      </w:r>
    </w:p>
    <w:p w:rsidR="00B454FB" w:rsidRDefault="00B454FB" w:rsidP="00B454FB">
      <w:pPr>
        <w:spacing w:line="276" w:lineRule="auto"/>
        <w:rPr>
          <w:rFonts w:ascii="Calibri" w:hAnsi="Calibri"/>
          <w:sz w:val="20"/>
          <w:szCs w:val="20"/>
        </w:rPr>
      </w:pPr>
    </w:p>
    <w:p w:rsidR="00B454FB" w:rsidRDefault="00B454FB" w:rsidP="00B454FB">
      <w:pPr>
        <w:spacing w:line="276" w:lineRule="auto"/>
        <w:rPr>
          <w:rFonts w:ascii="Calibri" w:hAnsi="Calibri"/>
          <w:i/>
          <w:sz w:val="20"/>
          <w:szCs w:val="20"/>
        </w:rPr>
      </w:pPr>
      <w:r>
        <w:rPr>
          <w:rFonts w:ascii="Calibri" w:hAnsi="Calibri"/>
          <w:i/>
          <w:sz w:val="20"/>
          <w:szCs w:val="20"/>
        </w:rPr>
        <w:t>The following is an example of an INSEC monthly flash report, from March 2010.</w:t>
      </w:r>
      <w:r>
        <w:rPr>
          <w:rStyle w:val="EndnoteReference"/>
          <w:rFonts w:ascii="Calibri" w:hAnsi="Calibri"/>
          <w:i/>
          <w:sz w:val="20"/>
          <w:szCs w:val="20"/>
        </w:rPr>
        <w:endnoteReference w:id="367"/>
      </w:r>
    </w:p>
    <w:p w:rsidR="00B454FB" w:rsidRDefault="00B454FB" w:rsidP="00B454FB">
      <w:pPr>
        <w:spacing w:line="276" w:lineRule="auto"/>
        <w:rPr>
          <w:rFonts w:ascii="Calibri" w:hAnsi="Calibri"/>
          <w:i/>
          <w:sz w:val="20"/>
          <w:szCs w:val="20"/>
        </w:rPr>
      </w:pPr>
    </w:p>
    <w:p w:rsidR="00B454FB" w:rsidRDefault="00B454FB" w:rsidP="00B454FB">
      <w:pPr>
        <w:spacing w:line="276" w:lineRule="auto"/>
        <w:rPr>
          <w:rFonts w:ascii="Calibri" w:hAnsi="Calibri"/>
          <w:sz w:val="20"/>
          <w:szCs w:val="20"/>
        </w:rPr>
      </w:pPr>
    </w:p>
    <w:p w:rsidR="00B454FB" w:rsidRDefault="00B454FB" w:rsidP="00B454FB">
      <w:pPr>
        <w:spacing w:line="276" w:lineRule="auto"/>
        <w:rPr>
          <w:rFonts w:ascii="Calibri" w:hAnsi="Calibri"/>
          <w:sz w:val="20"/>
          <w:szCs w:val="20"/>
        </w:rPr>
      </w:pPr>
    </w:p>
    <w:p w:rsidR="00B454FB" w:rsidRDefault="00B454FB" w:rsidP="00B454FB">
      <w:pPr>
        <w:pStyle w:val="Heading2"/>
        <w:numPr>
          <w:ilvl w:val="0"/>
          <w:numId w:val="0"/>
        </w:numPr>
        <w:spacing w:before="0"/>
      </w:pPr>
      <w:r>
        <w:t>APPENDIX B. DOCUMENTS RELATED TO EVALUATION OF MRE ACTIVITIES</w:t>
      </w:r>
    </w:p>
    <w:p w:rsidR="00B454FB" w:rsidRDefault="00B454FB" w:rsidP="00B454FB">
      <w:pPr>
        <w:pStyle w:val="Heading4"/>
        <w:numPr>
          <w:ilvl w:val="0"/>
          <w:numId w:val="0"/>
        </w:numPr>
        <w:spacing w:before="0"/>
        <w:rPr>
          <w:rFonts w:ascii="Calibri" w:hAnsi="Calibri"/>
          <w:sz w:val="20"/>
          <w:szCs w:val="20"/>
        </w:rPr>
      </w:pP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Appendix B.1.a  MAJWG</w:t>
      </w:r>
      <w:r w:rsidRPr="00D61C8A">
        <w:rPr>
          <w:rFonts w:ascii="Calibri" w:hAnsi="Calibri"/>
          <w:sz w:val="20"/>
          <w:szCs w:val="20"/>
        </w:rPr>
        <w:t xml:space="preserve"> MRE leaflet</w:t>
      </w:r>
    </w:p>
    <w:p w:rsidR="00B454FB" w:rsidRDefault="00B454FB" w:rsidP="00B454FB">
      <w:pPr>
        <w:pStyle w:val="Heading4"/>
        <w:numPr>
          <w:ilvl w:val="0"/>
          <w:numId w:val="0"/>
        </w:numPr>
        <w:spacing w:before="0"/>
        <w:rPr>
          <w:rFonts w:ascii="Calibri" w:hAnsi="Calibri"/>
          <w:sz w:val="20"/>
          <w:szCs w:val="20"/>
        </w:rPr>
      </w:pPr>
    </w:p>
    <w:p w:rsidR="00B454FB" w:rsidRDefault="00B454FB" w:rsidP="00B454FB"/>
    <w:p w:rsidR="00B454FB" w:rsidRDefault="00B454FB" w:rsidP="00B454FB"/>
    <w:p w:rsidR="00B454FB" w:rsidRDefault="00B454FB" w:rsidP="00B454FB"/>
    <w:p w:rsidR="00B454FB" w:rsidRPr="007144CA" w:rsidRDefault="00B454FB" w:rsidP="00B454FB"/>
    <w:p w:rsidR="00B454FB" w:rsidRDefault="00B454FB" w:rsidP="00B454FB">
      <w:pPr>
        <w:spacing w:after="200" w:line="276" w:lineRule="auto"/>
        <w:rPr>
          <w:rFonts w:ascii="Calibri" w:hAnsi="Calibri"/>
          <w:b/>
          <w:bCs/>
          <w:i/>
          <w:iCs/>
          <w:color w:val="4F81BD"/>
          <w:sz w:val="20"/>
          <w:szCs w:val="20"/>
        </w:rPr>
      </w:pPr>
      <w:r>
        <w:rPr>
          <w:rFonts w:ascii="Calibri" w:hAnsi="Calibri"/>
          <w:sz w:val="20"/>
          <w:szCs w:val="20"/>
        </w:rPr>
        <w:br w:type="page"/>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Appendix B.1.b  MAJWG</w:t>
      </w:r>
      <w:r w:rsidRPr="00D61C8A">
        <w:rPr>
          <w:rFonts w:ascii="Calibri" w:hAnsi="Calibri"/>
          <w:sz w:val="20"/>
          <w:szCs w:val="20"/>
        </w:rPr>
        <w:t xml:space="preserve"> MRE flipcharts</w:t>
      </w:r>
    </w:p>
    <w:p w:rsidR="00B454FB" w:rsidRDefault="00B454FB" w:rsidP="00B454FB">
      <w:pPr>
        <w:rPr>
          <w:b/>
          <w:sz w:val="20"/>
          <w:szCs w:val="20"/>
          <w:lang w:val="en-GB"/>
        </w:rPr>
      </w:pPr>
    </w:p>
    <w:p w:rsidR="00B454FB" w:rsidRDefault="00B454FB" w:rsidP="00B454FB">
      <w:pPr>
        <w:rPr>
          <w:b/>
          <w:sz w:val="20"/>
          <w:szCs w:val="20"/>
          <w:lang w:val="en-GB"/>
        </w:rPr>
      </w:pPr>
    </w:p>
    <w:p w:rsidR="00B454FB" w:rsidRPr="009E67A9" w:rsidRDefault="00B454FB" w:rsidP="00B454FB">
      <w:pPr>
        <w:rPr>
          <w:rFonts w:ascii="Calibri" w:hAnsi="Calibri"/>
          <w:i/>
          <w:sz w:val="20"/>
          <w:szCs w:val="20"/>
        </w:rPr>
      </w:pPr>
      <w:r w:rsidRPr="009E67A9">
        <w:rPr>
          <w:rFonts w:ascii="Calibri" w:hAnsi="Calibri"/>
          <w:i/>
          <w:sz w:val="20"/>
          <w:szCs w:val="20"/>
          <w:lang w:val="en-GB"/>
        </w:rPr>
        <w:t>Use of MRE flipcharts during emergency MRE session</w:t>
      </w:r>
      <w:r w:rsidRPr="009E67A9">
        <w:rPr>
          <w:rFonts w:ascii="Calibri" w:hAnsi="Calibri"/>
          <w:i/>
          <w:sz w:val="20"/>
          <w:szCs w:val="20"/>
        </w:rPr>
        <w:t xml:space="preserve"> (source: UNICEF PPT presentation “Landmines Safety Briefing”).</w:t>
      </w:r>
    </w:p>
    <w:p w:rsidR="00B454FB" w:rsidRDefault="00B454FB" w:rsidP="00B454FB">
      <w:pPr>
        <w:rPr>
          <w:b/>
          <w:sz w:val="20"/>
          <w:szCs w:val="20"/>
        </w:rPr>
      </w:pPr>
    </w:p>
    <w:p w:rsidR="00B454FB" w:rsidRDefault="00B454FB" w:rsidP="00B454FB">
      <w:pPr>
        <w:rPr>
          <w:b/>
          <w:sz w:val="20"/>
          <w:szCs w:val="20"/>
        </w:rPr>
      </w:pPr>
    </w:p>
    <w:p w:rsidR="00B454FB" w:rsidRPr="009E67A9" w:rsidRDefault="00B454FB" w:rsidP="00B454FB">
      <w:pPr>
        <w:rPr>
          <w:rFonts w:ascii="Calibri" w:hAnsi="Calibri"/>
          <w:i/>
          <w:sz w:val="20"/>
          <w:szCs w:val="20"/>
        </w:rPr>
      </w:pPr>
      <w:r w:rsidRPr="009E67A9">
        <w:rPr>
          <w:rFonts w:ascii="Calibri" w:hAnsi="Calibri"/>
          <w:i/>
          <w:sz w:val="20"/>
          <w:szCs w:val="20"/>
          <w:lang w:val="en-GB"/>
        </w:rPr>
        <w:t xml:space="preserve">Use of MRE flipcharts during </w:t>
      </w:r>
      <w:r>
        <w:rPr>
          <w:rFonts w:ascii="Calibri" w:hAnsi="Calibri"/>
          <w:i/>
          <w:sz w:val="20"/>
          <w:szCs w:val="20"/>
          <w:lang w:val="en-GB"/>
        </w:rPr>
        <w:t>regular</w:t>
      </w:r>
      <w:r w:rsidRPr="009E67A9">
        <w:rPr>
          <w:rFonts w:ascii="Calibri" w:hAnsi="Calibri"/>
          <w:i/>
          <w:sz w:val="20"/>
          <w:szCs w:val="20"/>
          <w:lang w:val="en-GB"/>
        </w:rPr>
        <w:t xml:space="preserve"> MRE session</w:t>
      </w:r>
      <w:r w:rsidRPr="009E67A9">
        <w:rPr>
          <w:rFonts w:ascii="Calibri" w:hAnsi="Calibri"/>
          <w:i/>
          <w:sz w:val="20"/>
          <w:szCs w:val="20"/>
        </w:rPr>
        <w:t xml:space="preserve"> (source: UNICEF PPT presentation “</w:t>
      </w:r>
      <w:r>
        <w:rPr>
          <w:rFonts w:ascii="Calibri" w:hAnsi="Calibri"/>
          <w:i/>
          <w:sz w:val="20"/>
          <w:szCs w:val="20"/>
        </w:rPr>
        <w:t>MRE and surveillance system evaluation in Nepal</w:t>
      </w:r>
      <w:r w:rsidRPr="009E67A9">
        <w:rPr>
          <w:rFonts w:ascii="Calibri" w:hAnsi="Calibri"/>
          <w:i/>
          <w:sz w:val="20"/>
          <w:szCs w:val="20"/>
        </w:rPr>
        <w:t>”).</w:t>
      </w:r>
    </w:p>
    <w:p w:rsidR="00B454FB" w:rsidRDefault="00B454FB" w:rsidP="00B454FB"/>
    <w:p w:rsidR="00B454FB" w:rsidRDefault="00B454FB" w:rsidP="00B454FB"/>
    <w:p w:rsidR="00B454FB" w:rsidRPr="009E67A9" w:rsidRDefault="00B454FB" w:rsidP="00B454FB">
      <w:pPr>
        <w:rPr>
          <w:rFonts w:ascii="Calibri" w:hAnsi="Calibri"/>
          <w:i/>
          <w:sz w:val="20"/>
          <w:szCs w:val="20"/>
        </w:rPr>
      </w:pPr>
      <w:r w:rsidRPr="009E67A9">
        <w:rPr>
          <w:rFonts w:ascii="Calibri" w:hAnsi="Calibri"/>
          <w:i/>
          <w:sz w:val="20"/>
          <w:szCs w:val="20"/>
          <w:lang w:val="en-GB"/>
        </w:rPr>
        <w:t xml:space="preserve">Use of MRE flipcharts during </w:t>
      </w:r>
      <w:r>
        <w:rPr>
          <w:rFonts w:ascii="Calibri" w:hAnsi="Calibri"/>
          <w:i/>
          <w:sz w:val="20"/>
          <w:szCs w:val="20"/>
          <w:lang w:val="en-GB"/>
        </w:rPr>
        <w:t>systematic</w:t>
      </w:r>
      <w:r w:rsidRPr="009E67A9">
        <w:rPr>
          <w:rFonts w:ascii="Calibri" w:hAnsi="Calibri"/>
          <w:i/>
          <w:sz w:val="20"/>
          <w:szCs w:val="20"/>
          <w:lang w:val="en-GB"/>
        </w:rPr>
        <w:t xml:space="preserve"> MRE session</w:t>
      </w:r>
      <w:r w:rsidRPr="009E67A9">
        <w:rPr>
          <w:rFonts w:ascii="Calibri" w:hAnsi="Calibri"/>
          <w:i/>
          <w:sz w:val="20"/>
          <w:szCs w:val="20"/>
        </w:rPr>
        <w:t xml:space="preserve"> (source: </w:t>
      </w:r>
      <w:r>
        <w:rPr>
          <w:rFonts w:ascii="Calibri" w:hAnsi="Calibri"/>
          <w:i/>
          <w:sz w:val="20"/>
          <w:szCs w:val="20"/>
        </w:rPr>
        <w:t>CDC evaluation team)</w:t>
      </w:r>
      <w:r w:rsidRPr="009E67A9">
        <w:rPr>
          <w:rFonts w:ascii="Calibri" w:hAnsi="Calibri"/>
          <w:i/>
          <w:sz w:val="20"/>
          <w:szCs w:val="20"/>
        </w:rPr>
        <w:t>.</w:t>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Appendix B.1.c  MAJWG</w:t>
      </w:r>
      <w:r w:rsidRPr="00D61C8A">
        <w:rPr>
          <w:rFonts w:ascii="Calibri" w:hAnsi="Calibri"/>
          <w:sz w:val="20"/>
          <w:szCs w:val="20"/>
        </w:rPr>
        <w:t xml:space="preserve"> MRE user guide</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 w:rsidR="00B454FB" w:rsidRDefault="00B454FB" w:rsidP="00B454FB"/>
    <w:p w:rsidR="00B454FB" w:rsidRDefault="00B454FB" w:rsidP="00B454FB"/>
    <w:p w:rsidR="00B454FB" w:rsidRPr="007144CA" w:rsidRDefault="00B454FB" w:rsidP="00B454FB"/>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Appendix B.1.d  MAJWG</w:t>
      </w:r>
      <w:r w:rsidRPr="00D61C8A">
        <w:rPr>
          <w:rFonts w:ascii="Calibri" w:hAnsi="Calibri"/>
          <w:sz w:val="20"/>
          <w:szCs w:val="20"/>
        </w:rPr>
        <w:t xml:space="preserve"> emergency MRE kit user guide</w:t>
      </w:r>
    </w:p>
    <w:p w:rsidR="00B454FB" w:rsidRDefault="00B454FB" w:rsidP="00B454FB">
      <w:pPr>
        <w:pStyle w:val="Heading4"/>
        <w:numPr>
          <w:ilvl w:val="0"/>
          <w:numId w:val="0"/>
        </w:numPr>
        <w:spacing w:before="0"/>
        <w:ind w:left="288" w:firstLine="144"/>
        <w:rPr>
          <w:rFonts w:ascii="Calibri" w:hAnsi="Calibri"/>
          <w:sz w:val="20"/>
          <w:szCs w:val="20"/>
        </w:rPr>
      </w:pPr>
    </w:p>
    <w:p w:rsidR="00B454FB" w:rsidRPr="007144CA" w:rsidRDefault="00B454FB" w:rsidP="00B454FB"/>
    <w:p w:rsidR="00B454FB" w:rsidRDefault="00B454FB" w:rsidP="00B454FB"/>
    <w:p w:rsidR="00B454FB" w:rsidRDefault="00B454FB" w:rsidP="00B454FB"/>
    <w:p w:rsidR="00B454FB" w:rsidRPr="007144CA" w:rsidRDefault="00B454FB" w:rsidP="00B454FB"/>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Appendix B.1.e  MAJWG</w:t>
      </w:r>
      <w:r w:rsidRPr="00D61C8A">
        <w:rPr>
          <w:rFonts w:ascii="Calibri" w:hAnsi="Calibri"/>
          <w:sz w:val="20"/>
          <w:szCs w:val="20"/>
        </w:rPr>
        <w:t xml:space="preserve"> MRE poster</w:t>
      </w:r>
    </w:p>
    <w:p w:rsidR="00B454FB" w:rsidRDefault="00B454FB" w:rsidP="00B454FB">
      <w:pPr>
        <w:pStyle w:val="Heading4"/>
        <w:numPr>
          <w:ilvl w:val="0"/>
          <w:numId w:val="0"/>
        </w:numPr>
        <w:spacing w:before="0"/>
        <w:ind w:left="288" w:firstLine="144"/>
        <w:rPr>
          <w:rFonts w:ascii="Calibri" w:hAnsi="Calibri"/>
          <w:sz w:val="20"/>
          <w:szCs w:val="20"/>
        </w:rPr>
      </w:pPr>
    </w:p>
    <w:p w:rsidR="00B454FB" w:rsidRPr="007144CA" w:rsidRDefault="00B454FB" w:rsidP="00B454FB"/>
    <w:p w:rsidR="00B454FB" w:rsidRDefault="00B454FB" w:rsidP="00B454FB">
      <w:pPr>
        <w:spacing w:after="200" w:line="276" w:lineRule="auto"/>
        <w:rPr>
          <w:rFonts w:ascii="Calibri" w:hAnsi="Calibri"/>
          <w:b/>
          <w:bCs/>
          <w:i/>
          <w:iCs/>
          <w:color w:val="4F81BD"/>
          <w:sz w:val="20"/>
          <w:szCs w:val="20"/>
        </w:rPr>
      </w:pPr>
      <w:r>
        <w:rPr>
          <w:rFonts w:ascii="Calibri" w:hAnsi="Calibri"/>
          <w:sz w:val="20"/>
          <w:szCs w:val="20"/>
        </w:rPr>
        <w:br w:type="page"/>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B.1.f  </w:t>
      </w:r>
      <w:r w:rsidRPr="00D61C8A">
        <w:rPr>
          <w:rFonts w:ascii="Calibri" w:hAnsi="Calibri"/>
          <w:sz w:val="20"/>
          <w:szCs w:val="20"/>
        </w:rPr>
        <w:t xml:space="preserve">Summary of messages in </w:t>
      </w:r>
      <w:r>
        <w:rPr>
          <w:rFonts w:ascii="Calibri" w:hAnsi="Calibri"/>
          <w:sz w:val="20"/>
          <w:szCs w:val="20"/>
        </w:rPr>
        <w:t>MAJWG</w:t>
      </w:r>
      <w:r w:rsidRPr="00D61C8A">
        <w:rPr>
          <w:rFonts w:ascii="Calibri" w:hAnsi="Calibri"/>
          <w:sz w:val="20"/>
          <w:szCs w:val="20"/>
        </w:rPr>
        <w:t xml:space="preserve"> MRE flipcharts</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Pr>
        <w:rPr>
          <w:rFonts w:ascii="Calibri" w:hAnsi="Calibri"/>
          <w:sz w:val="20"/>
          <w:szCs w:val="20"/>
          <w:lang w:val="en-GB"/>
        </w:rPr>
      </w:pPr>
      <w:r>
        <w:rPr>
          <w:rFonts w:ascii="Calibri" w:hAnsi="Calibri"/>
          <w:sz w:val="20"/>
          <w:szCs w:val="20"/>
          <w:lang w:val="en-GB"/>
        </w:rPr>
        <w:t>The following describes flipchart images and accompanying texts according to a translation provided by UNICEF.</w:t>
      </w:r>
    </w:p>
    <w:p w:rsidR="00B454FB" w:rsidRPr="00F727E1" w:rsidRDefault="00B454FB" w:rsidP="00B454FB">
      <w:pPr>
        <w:rPr>
          <w:rFonts w:ascii="Calibri" w:hAnsi="Calibri"/>
          <w:sz w:val="20"/>
          <w:szCs w:val="20"/>
          <w:lang w:val="en-GB"/>
        </w:rPr>
      </w:pPr>
    </w:p>
    <w:p w:rsidR="00B454FB" w:rsidRPr="00F727E1" w:rsidRDefault="00B454FB" w:rsidP="00B454FB">
      <w:pPr>
        <w:pStyle w:val="ColorfulList-Accent11"/>
        <w:numPr>
          <w:ilvl w:val="0"/>
          <w:numId w:val="89"/>
        </w:numPr>
        <w:rPr>
          <w:rFonts w:ascii="Calibri" w:hAnsi="Calibri"/>
          <w:bCs/>
          <w:sz w:val="20"/>
          <w:szCs w:val="20"/>
          <w:lang w:val="en-GB"/>
        </w:rPr>
      </w:pPr>
      <w:r w:rsidRPr="00F727E1">
        <w:rPr>
          <w:rFonts w:ascii="Calibri" w:hAnsi="Calibri"/>
          <w:b/>
          <w:sz w:val="20"/>
          <w:szCs w:val="20"/>
          <w:lang w:val="en-GB"/>
        </w:rPr>
        <w:t xml:space="preserve">Image </w:t>
      </w:r>
      <w:r>
        <w:rPr>
          <w:rFonts w:ascii="Calibri" w:hAnsi="Calibri"/>
          <w:b/>
          <w:sz w:val="20"/>
          <w:szCs w:val="20"/>
          <w:lang w:val="en-GB"/>
        </w:rPr>
        <w:t>1.</w:t>
      </w:r>
      <w:r w:rsidRPr="00F727E1">
        <w:rPr>
          <w:rFonts w:ascii="Calibri" w:hAnsi="Calibri"/>
          <w:b/>
          <w:sz w:val="20"/>
          <w:szCs w:val="20"/>
          <w:lang w:val="en-GB"/>
        </w:rPr>
        <w:t xml:space="preserve"> </w:t>
      </w:r>
      <w:r w:rsidRPr="00F727E1">
        <w:rPr>
          <w:rFonts w:ascii="Calibri" w:hAnsi="Calibri"/>
          <w:sz w:val="20"/>
          <w:szCs w:val="20"/>
          <w:lang w:val="en-GB"/>
        </w:rPr>
        <w:t xml:space="preserve">Explanation of the </w:t>
      </w:r>
      <w:r>
        <w:rPr>
          <w:rFonts w:ascii="Calibri" w:hAnsi="Calibri"/>
          <w:sz w:val="20"/>
          <w:szCs w:val="20"/>
          <w:lang w:val="en-GB"/>
        </w:rPr>
        <w:t>civil</w:t>
      </w:r>
      <w:r w:rsidRPr="00F727E1">
        <w:rPr>
          <w:rFonts w:ascii="Calibri" w:hAnsi="Calibri"/>
          <w:sz w:val="20"/>
          <w:szCs w:val="20"/>
          <w:lang w:val="en-GB"/>
        </w:rPr>
        <w:t xml:space="preserve"> conf</w:t>
      </w:r>
      <w:r>
        <w:rPr>
          <w:rFonts w:ascii="Calibri" w:hAnsi="Calibri"/>
          <w:sz w:val="20"/>
          <w:szCs w:val="20"/>
          <w:lang w:val="en-GB"/>
        </w:rPr>
        <w:t xml:space="preserve">lict that led to </w:t>
      </w:r>
      <w:r w:rsidRPr="00F727E1">
        <w:rPr>
          <w:rFonts w:ascii="Calibri" w:hAnsi="Calibri"/>
          <w:sz w:val="20"/>
          <w:szCs w:val="20"/>
          <w:lang w:val="en-GB"/>
        </w:rPr>
        <w:t>ED contamination in Nepal</w:t>
      </w:r>
      <w:r>
        <w:rPr>
          <w:rFonts w:ascii="Calibri" w:hAnsi="Calibri"/>
          <w:sz w:val="20"/>
          <w:szCs w:val="20"/>
          <w:lang w:val="en-GB"/>
        </w:rPr>
        <w:t>.</w:t>
      </w:r>
    </w:p>
    <w:p w:rsidR="00B454FB" w:rsidRDefault="00B454FB" w:rsidP="00B454FB">
      <w:pPr>
        <w:pStyle w:val="ColorfulList-Accent11"/>
        <w:numPr>
          <w:ilvl w:val="0"/>
          <w:numId w:val="89"/>
        </w:numPr>
        <w:rPr>
          <w:rFonts w:ascii="Calibri" w:hAnsi="Calibri"/>
          <w:bCs/>
          <w:sz w:val="20"/>
          <w:szCs w:val="20"/>
          <w:lang w:val="en-GB"/>
        </w:rPr>
      </w:pPr>
      <w:r>
        <w:rPr>
          <w:rFonts w:ascii="Calibri" w:hAnsi="Calibri"/>
          <w:b/>
          <w:sz w:val="20"/>
          <w:szCs w:val="20"/>
          <w:lang w:val="en-GB"/>
        </w:rPr>
        <w:t>Image 2.</w:t>
      </w:r>
      <w:r>
        <w:rPr>
          <w:rFonts w:ascii="Calibri" w:hAnsi="Calibri"/>
          <w:bCs/>
          <w:sz w:val="20"/>
          <w:szCs w:val="20"/>
          <w:lang w:val="en-GB"/>
        </w:rPr>
        <w:t xml:space="preserve"> Explanation of c</w:t>
      </w:r>
      <w:r w:rsidRPr="00F727E1">
        <w:rPr>
          <w:rFonts w:ascii="Calibri" w:hAnsi="Calibri"/>
          <w:bCs/>
          <w:sz w:val="20"/>
          <w:szCs w:val="20"/>
          <w:lang w:val="en-GB"/>
        </w:rPr>
        <w:t xml:space="preserve">ontamination following the conflict and warnings about the </w:t>
      </w:r>
      <w:r>
        <w:rPr>
          <w:rFonts w:ascii="Calibri" w:hAnsi="Calibri"/>
          <w:bCs/>
          <w:sz w:val="20"/>
          <w:szCs w:val="20"/>
          <w:lang w:val="en-GB"/>
        </w:rPr>
        <w:t>longevity of UXO and new ED</w:t>
      </w:r>
      <w:r w:rsidRPr="00F727E1">
        <w:rPr>
          <w:rFonts w:ascii="Calibri" w:hAnsi="Calibri"/>
          <w:bCs/>
          <w:sz w:val="20"/>
          <w:szCs w:val="20"/>
          <w:lang w:val="en-GB"/>
        </w:rPr>
        <w:t xml:space="preserve"> being used by </w:t>
      </w:r>
      <w:r>
        <w:rPr>
          <w:rFonts w:ascii="Calibri" w:hAnsi="Calibri"/>
          <w:bCs/>
          <w:sz w:val="20"/>
          <w:szCs w:val="20"/>
          <w:lang w:val="en-GB"/>
        </w:rPr>
        <w:t>NSAG</w:t>
      </w:r>
      <w:r w:rsidRPr="00F727E1">
        <w:rPr>
          <w:rFonts w:ascii="Calibri" w:hAnsi="Calibri"/>
          <w:bCs/>
          <w:sz w:val="20"/>
          <w:szCs w:val="20"/>
          <w:lang w:val="en-GB"/>
        </w:rPr>
        <w:t>s in the Terai</w:t>
      </w:r>
      <w:r>
        <w:rPr>
          <w:rFonts w:ascii="Calibri" w:hAnsi="Calibri"/>
          <w:bCs/>
          <w:sz w:val="20"/>
          <w:szCs w:val="20"/>
          <w:lang w:val="en-GB"/>
        </w:rPr>
        <w:t>.</w:t>
      </w:r>
    </w:p>
    <w:p w:rsidR="00B454FB" w:rsidRDefault="00B454FB" w:rsidP="00B454FB">
      <w:pPr>
        <w:pStyle w:val="ColorfulList-Accent11"/>
        <w:numPr>
          <w:ilvl w:val="0"/>
          <w:numId w:val="89"/>
        </w:numPr>
        <w:rPr>
          <w:rFonts w:ascii="Calibri" w:hAnsi="Calibri"/>
          <w:bCs/>
          <w:sz w:val="20"/>
          <w:szCs w:val="20"/>
          <w:lang w:val="en-GB"/>
        </w:rPr>
      </w:pPr>
      <w:r>
        <w:rPr>
          <w:rFonts w:ascii="Calibri" w:hAnsi="Calibri"/>
          <w:b/>
          <w:sz w:val="20"/>
          <w:szCs w:val="20"/>
          <w:lang w:val="en-GB"/>
        </w:rPr>
        <w:t>Images 3-8.</w:t>
      </w:r>
      <w:r>
        <w:rPr>
          <w:rFonts w:ascii="Calibri" w:hAnsi="Calibri"/>
          <w:sz w:val="20"/>
          <w:szCs w:val="20"/>
          <w:lang w:val="en-GB"/>
        </w:rPr>
        <w:t xml:space="preserve"> Images show a socket bomb, sutali bomb, unattended bag, </w:t>
      </w:r>
      <w:r>
        <w:rPr>
          <w:rFonts w:ascii="Calibri" w:hAnsi="Calibri"/>
          <w:bCs/>
          <w:sz w:val="20"/>
          <w:szCs w:val="20"/>
          <w:lang w:val="en-GB"/>
        </w:rPr>
        <w:t>l</w:t>
      </w:r>
      <w:r w:rsidRPr="00F727E1">
        <w:rPr>
          <w:rFonts w:ascii="Calibri" w:hAnsi="Calibri"/>
          <w:bCs/>
          <w:sz w:val="20"/>
          <w:szCs w:val="20"/>
          <w:lang w:val="en-GB"/>
        </w:rPr>
        <w:t>arge explosive devices (bucket, pressure cooker, directional and pipe bombs)</w:t>
      </w:r>
      <w:r>
        <w:rPr>
          <w:rFonts w:ascii="Calibri" w:hAnsi="Calibri"/>
          <w:bCs/>
          <w:sz w:val="20"/>
          <w:szCs w:val="20"/>
          <w:lang w:val="en-GB"/>
        </w:rPr>
        <w:t xml:space="preserve">, </w:t>
      </w:r>
      <w:r w:rsidRPr="00F727E1">
        <w:rPr>
          <w:rFonts w:ascii="Calibri" w:hAnsi="Calibri"/>
          <w:bCs/>
          <w:sz w:val="20"/>
          <w:szCs w:val="20"/>
          <w:lang w:val="en-GB"/>
        </w:rPr>
        <w:t xml:space="preserve"> </w:t>
      </w:r>
      <w:r>
        <w:rPr>
          <w:rFonts w:ascii="Calibri" w:hAnsi="Calibri"/>
          <w:sz w:val="20"/>
          <w:szCs w:val="20"/>
          <w:lang w:val="en-GB"/>
        </w:rPr>
        <w:t>ED</w:t>
      </w:r>
      <w:r w:rsidRPr="00F727E1">
        <w:rPr>
          <w:rFonts w:ascii="Calibri" w:hAnsi="Calibri"/>
          <w:sz w:val="20"/>
          <w:szCs w:val="20"/>
          <w:lang w:val="en-GB"/>
        </w:rPr>
        <w:t xml:space="preserve"> inside </w:t>
      </w:r>
      <w:r>
        <w:rPr>
          <w:rFonts w:ascii="Calibri" w:hAnsi="Calibri"/>
          <w:sz w:val="20"/>
          <w:szCs w:val="20"/>
          <w:lang w:val="en-GB"/>
        </w:rPr>
        <w:t>government security f</w:t>
      </w:r>
      <w:r w:rsidRPr="00F727E1">
        <w:rPr>
          <w:rFonts w:ascii="Calibri" w:hAnsi="Calibri"/>
          <w:sz w:val="20"/>
          <w:szCs w:val="20"/>
          <w:lang w:val="en-GB"/>
        </w:rPr>
        <w:t>orces positions (blast, fragmentation and command-detonated mines)</w:t>
      </w:r>
      <w:r>
        <w:rPr>
          <w:rFonts w:ascii="Calibri" w:hAnsi="Calibri"/>
          <w:sz w:val="20"/>
          <w:szCs w:val="20"/>
          <w:lang w:val="en-GB"/>
        </w:rPr>
        <w:t xml:space="preserve">; and small bombs and bullets </w:t>
      </w:r>
      <w:r w:rsidRPr="00F727E1">
        <w:rPr>
          <w:rFonts w:ascii="Calibri" w:hAnsi="Calibri"/>
          <w:bCs/>
          <w:sz w:val="20"/>
          <w:szCs w:val="20"/>
          <w:lang w:val="en-GB"/>
        </w:rPr>
        <w:t xml:space="preserve">(incendiary bomb, hand grenade, sutali bomb, rifle and pistol bullets, </w:t>
      </w:r>
      <w:r>
        <w:rPr>
          <w:rFonts w:ascii="Calibri" w:hAnsi="Calibri"/>
          <w:bCs/>
          <w:sz w:val="20"/>
          <w:szCs w:val="20"/>
          <w:lang w:val="en-GB"/>
        </w:rPr>
        <w:t xml:space="preserve">and </w:t>
      </w:r>
      <w:r w:rsidRPr="00F727E1">
        <w:rPr>
          <w:rFonts w:ascii="Calibri" w:hAnsi="Calibri"/>
          <w:bCs/>
          <w:sz w:val="20"/>
          <w:szCs w:val="20"/>
          <w:lang w:val="en-GB"/>
        </w:rPr>
        <w:t>a cloth-wrapped ED</w:t>
      </w:r>
      <w:r>
        <w:rPr>
          <w:rFonts w:ascii="Calibri" w:hAnsi="Calibri"/>
          <w:bCs/>
          <w:sz w:val="20"/>
          <w:szCs w:val="20"/>
          <w:lang w:val="en-GB"/>
        </w:rPr>
        <w:t>).  The following information is given for each of these:</w:t>
      </w:r>
    </w:p>
    <w:p w:rsidR="00B454FB" w:rsidRDefault="00B454FB" w:rsidP="00B454FB">
      <w:pPr>
        <w:pStyle w:val="ColorfulList-Accent11"/>
        <w:numPr>
          <w:ilvl w:val="1"/>
          <w:numId w:val="89"/>
        </w:numPr>
        <w:rPr>
          <w:rFonts w:ascii="Calibri" w:hAnsi="Calibri"/>
          <w:bCs/>
          <w:sz w:val="20"/>
          <w:szCs w:val="20"/>
          <w:lang w:val="en-GB"/>
        </w:rPr>
      </w:pPr>
      <w:r w:rsidRPr="004D0A8F">
        <w:rPr>
          <w:rFonts w:ascii="Calibri" w:hAnsi="Calibri"/>
          <w:bCs/>
          <w:sz w:val="20"/>
          <w:szCs w:val="20"/>
          <w:lang w:val="en-GB"/>
        </w:rPr>
        <w:t>Explanation of contents, appearance and size</w:t>
      </w:r>
      <w:r>
        <w:rPr>
          <w:rFonts w:ascii="Calibri" w:hAnsi="Calibri"/>
          <w:bCs/>
          <w:sz w:val="20"/>
          <w:szCs w:val="20"/>
          <w:lang w:val="en-GB"/>
        </w:rPr>
        <w:t>;</w:t>
      </w:r>
    </w:p>
    <w:p w:rsidR="00B454FB" w:rsidRDefault="00B454FB" w:rsidP="00B454FB">
      <w:pPr>
        <w:pStyle w:val="ColorfulList-Accent11"/>
        <w:numPr>
          <w:ilvl w:val="1"/>
          <w:numId w:val="89"/>
        </w:numPr>
        <w:rPr>
          <w:rFonts w:ascii="Calibri" w:hAnsi="Calibri"/>
          <w:bCs/>
          <w:sz w:val="20"/>
          <w:szCs w:val="20"/>
          <w:lang w:val="en-GB"/>
        </w:rPr>
      </w:pPr>
      <w:r>
        <w:rPr>
          <w:rFonts w:ascii="Calibri" w:hAnsi="Calibri"/>
          <w:bCs/>
          <w:sz w:val="20"/>
          <w:szCs w:val="20"/>
          <w:lang w:val="en-GB"/>
        </w:rPr>
        <w:t>Capacity to cause fatal and nonfatal i</w:t>
      </w:r>
      <w:r w:rsidRPr="004D0A8F">
        <w:rPr>
          <w:rFonts w:ascii="Calibri" w:hAnsi="Calibri"/>
          <w:bCs/>
          <w:sz w:val="20"/>
          <w:szCs w:val="20"/>
          <w:lang w:val="en-GB"/>
        </w:rPr>
        <w:t>njury</w:t>
      </w:r>
      <w:r>
        <w:rPr>
          <w:rFonts w:ascii="Calibri" w:hAnsi="Calibri"/>
          <w:bCs/>
          <w:sz w:val="20"/>
          <w:szCs w:val="20"/>
          <w:lang w:val="en-GB"/>
        </w:rPr>
        <w:t>;</w:t>
      </w:r>
    </w:p>
    <w:p w:rsidR="00B454FB" w:rsidRDefault="00B454FB" w:rsidP="00B454FB">
      <w:pPr>
        <w:pStyle w:val="ColorfulList-Accent11"/>
        <w:numPr>
          <w:ilvl w:val="1"/>
          <w:numId w:val="89"/>
        </w:numPr>
        <w:rPr>
          <w:rFonts w:ascii="Calibri" w:hAnsi="Calibri"/>
          <w:bCs/>
          <w:sz w:val="20"/>
          <w:szCs w:val="20"/>
          <w:lang w:val="en-GB"/>
        </w:rPr>
      </w:pPr>
      <w:r>
        <w:rPr>
          <w:rFonts w:ascii="Calibri" w:hAnsi="Calibri"/>
          <w:bCs/>
          <w:sz w:val="20"/>
          <w:szCs w:val="20"/>
          <w:lang w:val="en-GB"/>
        </w:rPr>
        <w:t xml:space="preserve">Locations where ED </w:t>
      </w:r>
      <w:r w:rsidRPr="004D0A8F">
        <w:rPr>
          <w:rFonts w:ascii="Calibri" w:hAnsi="Calibri"/>
          <w:bCs/>
          <w:sz w:val="20"/>
          <w:szCs w:val="20"/>
          <w:lang w:val="en-GB"/>
        </w:rPr>
        <w:t>can be found</w:t>
      </w:r>
      <w:r>
        <w:rPr>
          <w:rFonts w:ascii="Calibri" w:hAnsi="Calibri"/>
          <w:bCs/>
          <w:sz w:val="20"/>
          <w:szCs w:val="20"/>
          <w:lang w:val="en-GB"/>
        </w:rPr>
        <w:t>;</w:t>
      </w:r>
    </w:p>
    <w:p w:rsidR="00B454FB" w:rsidRDefault="00B454FB" w:rsidP="00B454FB">
      <w:pPr>
        <w:pStyle w:val="ColorfulList-Accent11"/>
        <w:numPr>
          <w:ilvl w:val="1"/>
          <w:numId w:val="89"/>
        </w:numPr>
        <w:rPr>
          <w:rFonts w:ascii="Calibri" w:hAnsi="Calibri"/>
          <w:bCs/>
          <w:sz w:val="20"/>
          <w:szCs w:val="20"/>
          <w:lang w:val="en-GB"/>
        </w:rPr>
      </w:pPr>
      <w:r w:rsidRPr="004D0A8F">
        <w:rPr>
          <w:rFonts w:ascii="Calibri" w:hAnsi="Calibri"/>
          <w:bCs/>
          <w:sz w:val="20"/>
          <w:szCs w:val="20"/>
          <w:lang w:val="en-GB"/>
        </w:rPr>
        <w:t xml:space="preserve">Sensitivity to </w:t>
      </w:r>
      <w:r>
        <w:rPr>
          <w:rFonts w:ascii="Calibri" w:hAnsi="Calibri"/>
          <w:bCs/>
          <w:sz w:val="20"/>
          <w:szCs w:val="20"/>
          <w:lang w:val="en-GB"/>
        </w:rPr>
        <w:t>touch;</w:t>
      </w:r>
    </w:p>
    <w:p w:rsidR="00B454FB" w:rsidRDefault="00B454FB" w:rsidP="00B454FB">
      <w:pPr>
        <w:pStyle w:val="ColorfulList-Accent11"/>
        <w:numPr>
          <w:ilvl w:val="1"/>
          <w:numId w:val="89"/>
        </w:numPr>
        <w:rPr>
          <w:rFonts w:ascii="Calibri" w:hAnsi="Calibri"/>
          <w:bCs/>
          <w:sz w:val="20"/>
          <w:szCs w:val="20"/>
          <w:lang w:val="en-GB"/>
        </w:rPr>
      </w:pPr>
      <w:r>
        <w:rPr>
          <w:rFonts w:ascii="Calibri" w:hAnsi="Calibri"/>
          <w:bCs/>
          <w:sz w:val="20"/>
          <w:szCs w:val="20"/>
          <w:lang w:val="en-GB"/>
        </w:rPr>
        <w:t>Methods of detonation;</w:t>
      </w:r>
    </w:p>
    <w:p w:rsidR="00B454FB" w:rsidRDefault="00B454FB" w:rsidP="00B454FB">
      <w:pPr>
        <w:pStyle w:val="ColorfulList-Accent11"/>
        <w:numPr>
          <w:ilvl w:val="1"/>
          <w:numId w:val="89"/>
        </w:numPr>
        <w:rPr>
          <w:rFonts w:ascii="Calibri" w:hAnsi="Calibri"/>
          <w:bCs/>
          <w:sz w:val="20"/>
          <w:szCs w:val="20"/>
          <w:lang w:val="en-GB"/>
        </w:rPr>
      </w:pPr>
      <w:r w:rsidRPr="004D0A8F">
        <w:rPr>
          <w:rFonts w:ascii="Calibri" w:hAnsi="Calibri"/>
          <w:bCs/>
          <w:sz w:val="20"/>
          <w:szCs w:val="20"/>
          <w:lang w:val="en-GB"/>
        </w:rPr>
        <w:t xml:space="preserve">Explanation of </w:t>
      </w:r>
      <w:r>
        <w:rPr>
          <w:rFonts w:ascii="Calibri" w:hAnsi="Calibri"/>
          <w:bCs/>
          <w:sz w:val="20"/>
          <w:szCs w:val="20"/>
          <w:lang w:val="en-GB"/>
        </w:rPr>
        <w:t xml:space="preserve">pen used to show scale of pictures and note that ED are not </w:t>
      </w:r>
      <w:r w:rsidRPr="004D0A8F">
        <w:rPr>
          <w:rFonts w:ascii="Calibri" w:hAnsi="Calibri"/>
          <w:bCs/>
          <w:sz w:val="20"/>
          <w:szCs w:val="20"/>
          <w:lang w:val="en-GB"/>
        </w:rPr>
        <w:t>usually accompanied by pen</w:t>
      </w:r>
      <w:r>
        <w:rPr>
          <w:rFonts w:ascii="Calibri" w:hAnsi="Calibri"/>
          <w:bCs/>
          <w:sz w:val="20"/>
          <w:szCs w:val="20"/>
          <w:lang w:val="en-GB"/>
        </w:rPr>
        <w:t>s;</w:t>
      </w:r>
    </w:p>
    <w:p w:rsidR="00B454FB" w:rsidRDefault="00B454FB" w:rsidP="00B454FB">
      <w:pPr>
        <w:pStyle w:val="ColorfulList-Accent11"/>
        <w:numPr>
          <w:ilvl w:val="1"/>
          <w:numId w:val="89"/>
        </w:numPr>
        <w:rPr>
          <w:rFonts w:ascii="Calibri" w:hAnsi="Calibri"/>
          <w:bCs/>
          <w:sz w:val="20"/>
          <w:szCs w:val="20"/>
          <w:lang w:val="en-GB"/>
        </w:rPr>
      </w:pPr>
      <w:r>
        <w:rPr>
          <w:rFonts w:ascii="Calibri" w:hAnsi="Calibri"/>
          <w:bCs/>
          <w:sz w:val="20"/>
          <w:szCs w:val="20"/>
          <w:lang w:val="en-GB"/>
        </w:rPr>
        <w:t>Encouragement to s</w:t>
      </w:r>
      <w:r w:rsidRPr="004D0A8F">
        <w:rPr>
          <w:rFonts w:ascii="Calibri" w:hAnsi="Calibri"/>
          <w:bCs/>
          <w:sz w:val="20"/>
          <w:szCs w:val="20"/>
          <w:lang w:val="en-GB"/>
        </w:rPr>
        <w:t xml:space="preserve">tay away </w:t>
      </w:r>
      <w:r>
        <w:rPr>
          <w:rFonts w:ascii="Calibri" w:hAnsi="Calibri"/>
          <w:bCs/>
          <w:sz w:val="20"/>
          <w:szCs w:val="20"/>
          <w:lang w:val="en-GB"/>
        </w:rPr>
        <w:t xml:space="preserve">from ED </w:t>
      </w:r>
      <w:r w:rsidRPr="004D0A8F">
        <w:rPr>
          <w:rFonts w:ascii="Calibri" w:hAnsi="Calibri"/>
          <w:bCs/>
          <w:sz w:val="20"/>
          <w:szCs w:val="20"/>
          <w:lang w:val="en-GB"/>
        </w:rPr>
        <w:t>and inform adults</w:t>
      </w:r>
      <w:r>
        <w:rPr>
          <w:rFonts w:ascii="Calibri" w:hAnsi="Calibri"/>
          <w:bCs/>
          <w:sz w:val="20"/>
          <w:szCs w:val="20"/>
          <w:lang w:val="en-GB"/>
        </w:rPr>
        <w:t xml:space="preserve"> and</w:t>
      </w:r>
      <w:r w:rsidRPr="004D0A8F">
        <w:rPr>
          <w:rFonts w:ascii="Calibri" w:hAnsi="Calibri"/>
          <w:bCs/>
          <w:sz w:val="20"/>
          <w:szCs w:val="20"/>
          <w:lang w:val="en-GB"/>
        </w:rPr>
        <w:t xml:space="preserve"> authorities </w:t>
      </w:r>
      <w:r>
        <w:rPr>
          <w:rFonts w:ascii="Calibri" w:hAnsi="Calibri"/>
          <w:bCs/>
          <w:sz w:val="20"/>
          <w:szCs w:val="20"/>
          <w:lang w:val="en-GB"/>
        </w:rPr>
        <w:t>upon finding ED; and</w:t>
      </w:r>
    </w:p>
    <w:p w:rsidR="00B454FB" w:rsidRDefault="00B454FB" w:rsidP="00B454FB">
      <w:pPr>
        <w:pStyle w:val="ColorfulList-Accent11"/>
        <w:numPr>
          <w:ilvl w:val="1"/>
          <w:numId w:val="89"/>
        </w:numPr>
        <w:rPr>
          <w:rFonts w:ascii="Calibri" w:hAnsi="Calibri"/>
          <w:bCs/>
          <w:sz w:val="20"/>
          <w:szCs w:val="20"/>
          <w:lang w:val="en-GB"/>
        </w:rPr>
      </w:pPr>
      <w:r>
        <w:rPr>
          <w:rFonts w:ascii="Calibri" w:hAnsi="Calibri"/>
          <w:bCs/>
          <w:sz w:val="20"/>
          <w:szCs w:val="20"/>
          <w:lang w:val="en-GB"/>
        </w:rPr>
        <w:t>Explanation of red danger logo.</w:t>
      </w:r>
    </w:p>
    <w:p w:rsidR="00B454FB" w:rsidRPr="004D0A8F" w:rsidRDefault="00B454FB" w:rsidP="00B454FB">
      <w:pPr>
        <w:pStyle w:val="ColorfulList-Accent11"/>
        <w:numPr>
          <w:ilvl w:val="0"/>
          <w:numId w:val="89"/>
        </w:numPr>
        <w:rPr>
          <w:rFonts w:ascii="Calibri" w:hAnsi="Calibri"/>
          <w:bCs/>
          <w:sz w:val="20"/>
          <w:szCs w:val="20"/>
          <w:lang w:val="en-GB"/>
        </w:rPr>
      </w:pPr>
      <w:r w:rsidRPr="004D0A8F">
        <w:rPr>
          <w:rFonts w:ascii="Calibri" w:hAnsi="Calibri"/>
          <w:b/>
          <w:bCs/>
          <w:sz w:val="20"/>
          <w:szCs w:val="20"/>
          <w:lang w:val="en-GB"/>
        </w:rPr>
        <w:t xml:space="preserve">Image 9: </w:t>
      </w:r>
      <w:r w:rsidRPr="004D0A8F">
        <w:rPr>
          <w:rFonts w:ascii="Calibri" w:hAnsi="Calibri"/>
          <w:b/>
          <w:sz w:val="20"/>
          <w:szCs w:val="20"/>
          <w:lang w:val="en-GB"/>
        </w:rPr>
        <w:t>Dangerous Behaviour #1</w:t>
      </w:r>
      <w:r>
        <w:rPr>
          <w:rFonts w:ascii="Calibri" w:hAnsi="Calibri"/>
          <w:sz w:val="20"/>
          <w:szCs w:val="20"/>
          <w:lang w:val="en-GB"/>
        </w:rPr>
        <w:t>.</w:t>
      </w:r>
      <w:r w:rsidRPr="004D0A8F">
        <w:rPr>
          <w:rFonts w:ascii="Calibri" w:hAnsi="Calibri"/>
          <w:sz w:val="20"/>
          <w:szCs w:val="20"/>
          <w:lang w:val="en-GB"/>
        </w:rPr>
        <w:t xml:space="preserve"> </w:t>
      </w:r>
      <w:r>
        <w:rPr>
          <w:rFonts w:ascii="Calibri" w:hAnsi="Calibri"/>
          <w:sz w:val="20"/>
          <w:szCs w:val="20"/>
          <w:lang w:val="en-GB"/>
        </w:rPr>
        <w:t xml:space="preserve"> T</w:t>
      </w:r>
      <w:r w:rsidRPr="004D0A8F">
        <w:rPr>
          <w:rFonts w:ascii="Calibri" w:hAnsi="Calibri"/>
          <w:sz w:val="20"/>
          <w:szCs w:val="20"/>
          <w:lang w:val="en-GB"/>
        </w:rPr>
        <w:t xml:space="preserve">hree children </w:t>
      </w:r>
      <w:r>
        <w:rPr>
          <w:rFonts w:ascii="Calibri" w:hAnsi="Calibri"/>
          <w:sz w:val="20"/>
          <w:szCs w:val="20"/>
          <w:lang w:val="en-GB"/>
        </w:rPr>
        <w:t xml:space="preserve">are </w:t>
      </w:r>
      <w:r w:rsidRPr="004D0A8F">
        <w:rPr>
          <w:rFonts w:ascii="Calibri" w:hAnsi="Calibri"/>
          <w:sz w:val="20"/>
          <w:szCs w:val="20"/>
          <w:lang w:val="en-GB"/>
        </w:rPr>
        <w:t>tampering or playing with an ED wrapped in cloth in the home</w:t>
      </w:r>
      <w:r>
        <w:rPr>
          <w:rFonts w:ascii="Calibri" w:hAnsi="Calibri"/>
          <w:sz w:val="20"/>
          <w:szCs w:val="20"/>
          <w:lang w:val="en-GB"/>
        </w:rPr>
        <w:t xml:space="preserve">.  An explosion occurs and the </w:t>
      </w:r>
      <w:r w:rsidRPr="004D0A8F">
        <w:rPr>
          <w:rFonts w:ascii="Calibri" w:hAnsi="Calibri"/>
          <w:sz w:val="20"/>
          <w:szCs w:val="20"/>
          <w:lang w:val="en-GB"/>
        </w:rPr>
        <w:t>children are killed or injured severely</w:t>
      </w:r>
      <w:r>
        <w:rPr>
          <w:rFonts w:ascii="Calibri" w:hAnsi="Calibri"/>
          <w:sz w:val="20"/>
          <w:szCs w:val="20"/>
          <w:lang w:val="en-GB"/>
        </w:rPr>
        <w:t>.  The text explains that injuries may result in amputation, and that one explosion can kill three children.</w:t>
      </w:r>
    </w:p>
    <w:p w:rsidR="00B454FB" w:rsidRPr="008E0AEC" w:rsidRDefault="00B454FB" w:rsidP="00B454FB">
      <w:pPr>
        <w:pStyle w:val="ColorfulList-Accent11"/>
        <w:numPr>
          <w:ilvl w:val="0"/>
          <w:numId w:val="89"/>
        </w:numPr>
        <w:rPr>
          <w:rFonts w:ascii="Calibri" w:hAnsi="Calibri"/>
          <w:bCs/>
          <w:sz w:val="20"/>
          <w:szCs w:val="20"/>
          <w:lang w:val="en-GB"/>
        </w:rPr>
      </w:pPr>
      <w:r>
        <w:rPr>
          <w:rFonts w:ascii="Calibri" w:hAnsi="Calibri"/>
          <w:b/>
          <w:bCs/>
          <w:sz w:val="20"/>
          <w:szCs w:val="20"/>
          <w:lang w:val="en-GB"/>
        </w:rPr>
        <w:t>Image 10</w:t>
      </w:r>
      <w:r w:rsidRPr="004D0A8F">
        <w:rPr>
          <w:rFonts w:ascii="Calibri" w:hAnsi="Calibri"/>
          <w:bCs/>
          <w:sz w:val="20"/>
          <w:szCs w:val="20"/>
          <w:lang w:val="en-GB"/>
        </w:rPr>
        <w:t>. Photograph</w:t>
      </w:r>
      <w:r w:rsidRPr="004D0A8F">
        <w:rPr>
          <w:rFonts w:ascii="Calibri" w:hAnsi="Calibri"/>
          <w:sz w:val="20"/>
          <w:szCs w:val="20"/>
          <w:lang w:val="en-GB"/>
        </w:rPr>
        <w:t xml:space="preserve"> of </w:t>
      </w:r>
      <w:r>
        <w:rPr>
          <w:rFonts w:ascii="Calibri" w:hAnsi="Calibri"/>
          <w:sz w:val="20"/>
          <w:szCs w:val="20"/>
          <w:lang w:val="en-GB"/>
        </w:rPr>
        <w:t xml:space="preserve">a </w:t>
      </w:r>
      <w:r w:rsidRPr="004D0A8F">
        <w:rPr>
          <w:rFonts w:ascii="Calibri" w:hAnsi="Calibri"/>
          <w:sz w:val="20"/>
          <w:szCs w:val="20"/>
          <w:lang w:val="en-GB"/>
        </w:rPr>
        <w:t xml:space="preserve">boy who lost </w:t>
      </w:r>
      <w:r>
        <w:rPr>
          <w:rFonts w:ascii="Calibri" w:hAnsi="Calibri"/>
          <w:sz w:val="20"/>
          <w:szCs w:val="20"/>
          <w:lang w:val="en-GB"/>
        </w:rPr>
        <w:t>two</w:t>
      </w:r>
      <w:r w:rsidRPr="004D0A8F">
        <w:rPr>
          <w:rFonts w:ascii="Calibri" w:hAnsi="Calibri"/>
          <w:sz w:val="20"/>
          <w:szCs w:val="20"/>
          <w:lang w:val="en-GB"/>
        </w:rPr>
        <w:t xml:space="preserve"> fingers and was injured by dozens of metal fragments when playing with a socket bomb in his house.  </w:t>
      </w:r>
      <w:r>
        <w:rPr>
          <w:rFonts w:ascii="Calibri" w:hAnsi="Calibri"/>
          <w:sz w:val="20"/>
          <w:szCs w:val="20"/>
          <w:lang w:val="en-GB"/>
        </w:rPr>
        <w:t>The text provides the following:</w:t>
      </w:r>
    </w:p>
    <w:p w:rsidR="00B454FB" w:rsidRPr="008E0AEC" w:rsidRDefault="00B454FB" w:rsidP="00B454FB">
      <w:pPr>
        <w:pStyle w:val="ColorfulList-Accent11"/>
        <w:numPr>
          <w:ilvl w:val="1"/>
          <w:numId w:val="89"/>
        </w:numPr>
        <w:rPr>
          <w:rFonts w:ascii="Calibri" w:hAnsi="Calibri"/>
          <w:bCs/>
          <w:sz w:val="20"/>
          <w:szCs w:val="20"/>
          <w:lang w:val="en-GB"/>
        </w:rPr>
      </w:pPr>
      <w:r w:rsidRPr="008E0AEC">
        <w:rPr>
          <w:rFonts w:ascii="Calibri" w:hAnsi="Calibri"/>
          <w:bCs/>
          <w:sz w:val="20"/>
          <w:szCs w:val="20"/>
          <w:lang w:val="en-GB"/>
        </w:rPr>
        <w:t xml:space="preserve">An </w:t>
      </w:r>
      <w:r>
        <w:rPr>
          <w:rFonts w:ascii="Calibri" w:hAnsi="Calibri"/>
          <w:sz w:val="20"/>
          <w:szCs w:val="20"/>
          <w:lang w:val="en-GB"/>
        </w:rPr>
        <w:t xml:space="preserve">explanation that the boy </w:t>
      </w:r>
      <w:r w:rsidRPr="004D0A8F">
        <w:rPr>
          <w:rFonts w:ascii="Calibri" w:hAnsi="Calibri"/>
          <w:sz w:val="20"/>
          <w:szCs w:val="20"/>
          <w:lang w:val="en-GB"/>
        </w:rPr>
        <w:t xml:space="preserve">was lucky </w:t>
      </w:r>
      <w:r>
        <w:rPr>
          <w:rFonts w:ascii="Calibri" w:hAnsi="Calibri"/>
          <w:sz w:val="20"/>
          <w:szCs w:val="20"/>
          <w:lang w:val="en-GB"/>
        </w:rPr>
        <w:t>(</w:t>
      </w:r>
      <w:r w:rsidRPr="004D0A8F">
        <w:rPr>
          <w:rFonts w:ascii="Calibri" w:hAnsi="Calibri"/>
          <w:sz w:val="20"/>
          <w:szCs w:val="20"/>
          <w:lang w:val="en-GB"/>
        </w:rPr>
        <w:t>he could have lost his arms or died</w:t>
      </w:r>
      <w:r>
        <w:rPr>
          <w:rFonts w:ascii="Calibri" w:hAnsi="Calibri"/>
          <w:sz w:val="20"/>
          <w:szCs w:val="20"/>
          <w:lang w:val="en-GB"/>
        </w:rPr>
        <w:t>);</w:t>
      </w:r>
    </w:p>
    <w:p w:rsidR="00B454FB" w:rsidRPr="008E0AEC" w:rsidRDefault="00B454FB" w:rsidP="00B454FB">
      <w:pPr>
        <w:pStyle w:val="ColorfulList-Accent11"/>
        <w:numPr>
          <w:ilvl w:val="1"/>
          <w:numId w:val="89"/>
        </w:numPr>
        <w:rPr>
          <w:rFonts w:ascii="Calibri" w:hAnsi="Calibri"/>
          <w:bCs/>
          <w:sz w:val="20"/>
          <w:szCs w:val="20"/>
          <w:lang w:val="en-GB"/>
        </w:rPr>
      </w:pPr>
      <w:r>
        <w:rPr>
          <w:rFonts w:ascii="Calibri" w:hAnsi="Calibri"/>
          <w:sz w:val="20"/>
          <w:szCs w:val="20"/>
          <w:lang w:val="en-GB"/>
        </w:rPr>
        <w:t xml:space="preserve">The number of individuals injured </w:t>
      </w:r>
      <w:r w:rsidRPr="004D0A8F">
        <w:rPr>
          <w:rFonts w:ascii="Calibri" w:hAnsi="Calibri"/>
          <w:sz w:val="20"/>
          <w:szCs w:val="20"/>
          <w:lang w:val="en-GB"/>
        </w:rPr>
        <w:t>in 2008, including children</w:t>
      </w:r>
      <w:r>
        <w:rPr>
          <w:rFonts w:ascii="Calibri" w:hAnsi="Calibri"/>
          <w:sz w:val="20"/>
          <w:szCs w:val="20"/>
          <w:lang w:val="en-GB"/>
        </w:rPr>
        <w:t>;</w:t>
      </w:r>
    </w:p>
    <w:p w:rsidR="00B454FB" w:rsidRPr="008E0AEC" w:rsidRDefault="00B454FB" w:rsidP="00B454FB">
      <w:pPr>
        <w:pStyle w:val="ColorfulList-Accent11"/>
        <w:numPr>
          <w:ilvl w:val="1"/>
          <w:numId w:val="89"/>
        </w:numPr>
        <w:rPr>
          <w:rFonts w:ascii="Calibri" w:hAnsi="Calibri"/>
          <w:bCs/>
          <w:sz w:val="20"/>
          <w:szCs w:val="20"/>
          <w:lang w:val="en-GB"/>
        </w:rPr>
      </w:pPr>
      <w:r>
        <w:rPr>
          <w:rFonts w:ascii="Calibri" w:hAnsi="Calibri"/>
          <w:sz w:val="20"/>
          <w:szCs w:val="20"/>
          <w:lang w:val="en-GB"/>
        </w:rPr>
        <w:t>An explanation</w:t>
      </w:r>
      <w:r w:rsidRPr="004D0A8F">
        <w:rPr>
          <w:rFonts w:ascii="Calibri" w:hAnsi="Calibri"/>
          <w:sz w:val="20"/>
          <w:szCs w:val="20"/>
          <w:lang w:val="en-GB"/>
        </w:rPr>
        <w:t xml:space="preserve"> of physical consequences</w:t>
      </w:r>
      <w:r>
        <w:rPr>
          <w:rFonts w:ascii="Calibri" w:hAnsi="Calibri"/>
          <w:sz w:val="20"/>
          <w:szCs w:val="20"/>
          <w:lang w:val="en-GB"/>
        </w:rPr>
        <w:t xml:space="preserve"> (</w:t>
      </w:r>
      <w:r w:rsidRPr="004D0A8F">
        <w:rPr>
          <w:rFonts w:ascii="Calibri" w:hAnsi="Calibri"/>
          <w:sz w:val="20"/>
          <w:szCs w:val="20"/>
          <w:lang w:val="en-GB"/>
        </w:rPr>
        <w:t xml:space="preserve">loss of limbs and genital parts, blindness, sterility, eye and skin burns, deafness, lung damage, </w:t>
      </w:r>
      <w:r>
        <w:rPr>
          <w:rFonts w:ascii="Calibri" w:hAnsi="Calibri"/>
          <w:sz w:val="20"/>
          <w:szCs w:val="20"/>
          <w:lang w:val="en-GB"/>
        </w:rPr>
        <w:t xml:space="preserve">and </w:t>
      </w:r>
      <w:r w:rsidRPr="004D0A8F">
        <w:rPr>
          <w:rFonts w:ascii="Calibri" w:hAnsi="Calibri"/>
          <w:sz w:val="20"/>
          <w:szCs w:val="20"/>
          <w:lang w:val="en-GB"/>
        </w:rPr>
        <w:t>other trauma</w:t>
      </w:r>
      <w:r>
        <w:rPr>
          <w:rFonts w:ascii="Calibri" w:hAnsi="Calibri"/>
          <w:sz w:val="20"/>
          <w:szCs w:val="20"/>
          <w:lang w:val="en-GB"/>
        </w:rPr>
        <w:t>);</w:t>
      </w:r>
    </w:p>
    <w:p w:rsidR="00B454FB" w:rsidRPr="00F933FE" w:rsidRDefault="00B454FB" w:rsidP="00B454FB">
      <w:pPr>
        <w:pStyle w:val="ColorfulList-Accent11"/>
        <w:numPr>
          <w:ilvl w:val="1"/>
          <w:numId w:val="89"/>
        </w:numPr>
        <w:rPr>
          <w:rFonts w:ascii="Calibri" w:hAnsi="Calibri"/>
          <w:bCs/>
          <w:sz w:val="20"/>
          <w:szCs w:val="20"/>
          <w:lang w:val="en-GB"/>
        </w:rPr>
      </w:pPr>
      <w:r>
        <w:rPr>
          <w:rFonts w:ascii="Calibri" w:hAnsi="Calibri"/>
          <w:sz w:val="20"/>
          <w:szCs w:val="20"/>
          <w:lang w:val="en-GB"/>
        </w:rPr>
        <w:t xml:space="preserve">An explanation that injured individuals require </w:t>
      </w:r>
      <w:r w:rsidRPr="004D0A8F">
        <w:rPr>
          <w:rFonts w:ascii="Calibri" w:hAnsi="Calibri"/>
          <w:sz w:val="20"/>
          <w:szCs w:val="20"/>
          <w:lang w:val="en-GB"/>
        </w:rPr>
        <w:t>rehab</w:t>
      </w:r>
      <w:r>
        <w:rPr>
          <w:rFonts w:ascii="Calibri" w:hAnsi="Calibri"/>
          <w:sz w:val="20"/>
          <w:szCs w:val="20"/>
          <w:lang w:val="en-GB"/>
        </w:rPr>
        <w:t>ilitation</w:t>
      </w:r>
      <w:r w:rsidRPr="004D0A8F">
        <w:rPr>
          <w:rFonts w:ascii="Calibri" w:hAnsi="Calibri"/>
          <w:sz w:val="20"/>
          <w:szCs w:val="20"/>
          <w:lang w:val="en-GB"/>
        </w:rPr>
        <w:t xml:space="preserve"> throughout life, </w:t>
      </w:r>
      <w:r>
        <w:rPr>
          <w:rFonts w:ascii="Calibri" w:hAnsi="Calibri"/>
          <w:sz w:val="20"/>
          <w:szCs w:val="20"/>
          <w:lang w:val="en-GB"/>
        </w:rPr>
        <w:t xml:space="preserve">that </w:t>
      </w:r>
      <w:r w:rsidRPr="004D0A8F">
        <w:rPr>
          <w:rFonts w:ascii="Calibri" w:hAnsi="Calibri"/>
          <w:sz w:val="20"/>
          <w:szCs w:val="20"/>
          <w:lang w:val="en-GB"/>
        </w:rPr>
        <w:t xml:space="preserve">prosthetics must be changed as children grow, </w:t>
      </w:r>
      <w:r>
        <w:rPr>
          <w:rFonts w:ascii="Calibri" w:hAnsi="Calibri"/>
          <w:sz w:val="20"/>
          <w:szCs w:val="20"/>
          <w:lang w:val="en-GB"/>
        </w:rPr>
        <w:t xml:space="preserve">and that </w:t>
      </w:r>
      <w:r w:rsidRPr="004D0A8F">
        <w:rPr>
          <w:rFonts w:ascii="Calibri" w:hAnsi="Calibri"/>
          <w:sz w:val="20"/>
          <w:szCs w:val="20"/>
          <w:lang w:val="en-GB"/>
        </w:rPr>
        <w:t>injuries affect ability to move, stand, eat, sleep, work, play, write, etc</w:t>
      </w:r>
      <w:r>
        <w:rPr>
          <w:rFonts w:ascii="Calibri" w:hAnsi="Calibri"/>
          <w:sz w:val="20"/>
          <w:szCs w:val="20"/>
          <w:lang w:val="en-GB"/>
        </w:rPr>
        <w:t>;</w:t>
      </w:r>
    </w:p>
    <w:p w:rsidR="00B454FB" w:rsidRPr="00F933FE" w:rsidRDefault="00B454FB" w:rsidP="00B454FB">
      <w:pPr>
        <w:pStyle w:val="ColorfulList-Accent11"/>
        <w:numPr>
          <w:ilvl w:val="1"/>
          <w:numId w:val="89"/>
        </w:numPr>
        <w:rPr>
          <w:rFonts w:ascii="Calibri" w:hAnsi="Calibri"/>
          <w:bCs/>
          <w:sz w:val="20"/>
          <w:szCs w:val="20"/>
          <w:lang w:val="en-GB"/>
        </w:rPr>
      </w:pPr>
      <w:r>
        <w:rPr>
          <w:rFonts w:ascii="Calibri" w:hAnsi="Calibri"/>
          <w:sz w:val="20"/>
          <w:szCs w:val="20"/>
          <w:lang w:val="en-GB"/>
        </w:rPr>
        <w:t xml:space="preserve">An explanation of other injury </w:t>
      </w:r>
      <w:r w:rsidRPr="004D0A8F">
        <w:rPr>
          <w:rFonts w:ascii="Calibri" w:hAnsi="Calibri"/>
          <w:sz w:val="20"/>
          <w:szCs w:val="20"/>
          <w:lang w:val="en-GB"/>
        </w:rPr>
        <w:t>consequences</w:t>
      </w:r>
      <w:r>
        <w:rPr>
          <w:rFonts w:ascii="Calibri" w:hAnsi="Calibri"/>
          <w:sz w:val="20"/>
          <w:szCs w:val="20"/>
          <w:lang w:val="en-GB"/>
        </w:rPr>
        <w:t xml:space="preserve"> (</w:t>
      </w:r>
      <w:r w:rsidRPr="004D0A8F">
        <w:rPr>
          <w:rFonts w:ascii="Calibri" w:hAnsi="Calibri"/>
          <w:sz w:val="20"/>
          <w:szCs w:val="20"/>
          <w:lang w:val="en-GB"/>
        </w:rPr>
        <w:t>feelings of fear/guilt/depression, trouble being accepted by families and communities, trouble helping famil</w:t>
      </w:r>
      <w:r>
        <w:rPr>
          <w:rFonts w:ascii="Calibri" w:hAnsi="Calibri"/>
          <w:sz w:val="20"/>
          <w:szCs w:val="20"/>
          <w:lang w:val="en-GB"/>
        </w:rPr>
        <w:t>ies</w:t>
      </w:r>
      <w:r w:rsidRPr="004D0A8F">
        <w:rPr>
          <w:rFonts w:ascii="Calibri" w:hAnsi="Calibri"/>
          <w:sz w:val="20"/>
          <w:szCs w:val="20"/>
          <w:lang w:val="en-GB"/>
        </w:rPr>
        <w:t xml:space="preserve"> survive </w:t>
      </w:r>
      <w:r>
        <w:rPr>
          <w:rFonts w:ascii="Calibri" w:hAnsi="Calibri"/>
          <w:sz w:val="20"/>
          <w:szCs w:val="20"/>
          <w:lang w:val="en-GB"/>
        </w:rPr>
        <w:t>due to</w:t>
      </w:r>
      <w:r w:rsidRPr="004D0A8F">
        <w:rPr>
          <w:rFonts w:ascii="Calibri" w:hAnsi="Calibri"/>
          <w:sz w:val="20"/>
          <w:szCs w:val="20"/>
          <w:lang w:val="en-GB"/>
        </w:rPr>
        <w:t xml:space="preserve"> loss of income</w:t>
      </w:r>
      <w:r>
        <w:rPr>
          <w:rFonts w:ascii="Calibri" w:hAnsi="Calibri"/>
          <w:sz w:val="20"/>
          <w:szCs w:val="20"/>
          <w:lang w:val="en-GB"/>
        </w:rPr>
        <w:t>); and</w:t>
      </w:r>
    </w:p>
    <w:p w:rsidR="00B454FB" w:rsidRPr="00F933FE" w:rsidRDefault="00B454FB" w:rsidP="00B454FB">
      <w:pPr>
        <w:pStyle w:val="ColorfulList-Accent11"/>
        <w:numPr>
          <w:ilvl w:val="1"/>
          <w:numId w:val="89"/>
        </w:numPr>
        <w:rPr>
          <w:rFonts w:ascii="Calibri" w:hAnsi="Calibri"/>
          <w:bCs/>
          <w:sz w:val="20"/>
          <w:szCs w:val="20"/>
          <w:lang w:val="en-GB"/>
        </w:rPr>
      </w:pPr>
      <w:r>
        <w:rPr>
          <w:rFonts w:ascii="Calibri" w:hAnsi="Calibri"/>
          <w:sz w:val="20"/>
          <w:szCs w:val="20"/>
          <w:lang w:val="en-GB"/>
        </w:rPr>
        <w:t>Reminder that all incidents can be prevented: “I</w:t>
      </w:r>
      <w:r w:rsidRPr="004D0A8F">
        <w:rPr>
          <w:rFonts w:ascii="Calibri" w:hAnsi="Calibri"/>
          <w:sz w:val="20"/>
          <w:szCs w:val="20"/>
          <w:lang w:val="en-GB"/>
        </w:rPr>
        <w:t>t depends a lot on you!</w:t>
      </w:r>
      <w:r>
        <w:rPr>
          <w:rFonts w:ascii="Calibri" w:hAnsi="Calibri"/>
          <w:sz w:val="20"/>
          <w:szCs w:val="20"/>
          <w:lang w:val="en-GB"/>
        </w:rPr>
        <w:t>”</w:t>
      </w:r>
    </w:p>
    <w:p w:rsidR="00B454FB" w:rsidRPr="00F933FE" w:rsidRDefault="00B454FB" w:rsidP="00B454FB">
      <w:pPr>
        <w:pStyle w:val="ColorfulList-Accent11"/>
        <w:numPr>
          <w:ilvl w:val="0"/>
          <w:numId w:val="89"/>
        </w:numPr>
        <w:rPr>
          <w:rFonts w:ascii="Calibri" w:hAnsi="Calibri"/>
          <w:bCs/>
          <w:sz w:val="20"/>
          <w:szCs w:val="20"/>
          <w:lang w:val="en-GB"/>
        </w:rPr>
      </w:pPr>
      <w:r w:rsidRPr="00F933FE">
        <w:rPr>
          <w:rFonts w:ascii="Calibri" w:hAnsi="Calibri"/>
          <w:b/>
          <w:sz w:val="20"/>
          <w:szCs w:val="20"/>
          <w:lang w:val="en-GB"/>
        </w:rPr>
        <w:t xml:space="preserve">Image 11: Dangerous Behavior #2.  </w:t>
      </w:r>
      <w:r>
        <w:rPr>
          <w:rFonts w:ascii="Calibri" w:hAnsi="Calibri"/>
          <w:sz w:val="20"/>
          <w:szCs w:val="20"/>
          <w:lang w:val="en-GB"/>
        </w:rPr>
        <w:t xml:space="preserve">A </w:t>
      </w:r>
      <w:r w:rsidRPr="00F933FE">
        <w:rPr>
          <w:rFonts w:ascii="Calibri" w:hAnsi="Calibri"/>
          <w:sz w:val="20"/>
          <w:szCs w:val="20"/>
          <w:lang w:val="en-GB"/>
        </w:rPr>
        <w:t xml:space="preserve">boy is poking a </w:t>
      </w:r>
      <w:r>
        <w:rPr>
          <w:rFonts w:ascii="Calibri" w:hAnsi="Calibri"/>
          <w:sz w:val="20"/>
          <w:szCs w:val="20"/>
          <w:lang w:val="en-GB"/>
        </w:rPr>
        <w:t xml:space="preserve">sutali bomb with a bamboo stick; he is using the stick because he knows that the bomb is dangerous.  The bomb explodes and the boy is </w:t>
      </w:r>
      <w:r w:rsidRPr="00F933FE">
        <w:rPr>
          <w:rFonts w:ascii="Calibri" w:hAnsi="Calibri"/>
          <w:sz w:val="20"/>
          <w:szCs w:val="20"/>
          <w:lang w:val="en-GB"/>
        </w:rPr>
        <w:t>killed immediately.</w:t>
      </w:r>
    </w:p>
    <w:p w:rsidR="00B454FB" w:rsidRDefault="00B454FB" w:rsidP="00B454FB">
      <w:pPr>
        <w:pStyle w:val="ColorfulList-Accent11"/>
        <w:numPr>
          <w:ilvl w:val="0"/>
          <w:numId w:val="89"/>
        </w:numPr>
        <w:rPr>
          <w:rFonts w:ascii="Calibri" w:hAnsi="Calibri"/>
          <w:sz w:val="20"/>
          <w:szCs w:val="20"/>
          <w:lang w:val="en-GB"/>
        </w:rPr>
      </w:pPr>
      <w:r w:rsidRPr="00F933FE">
        <w:rPr>
          <w:rFonts w:ascii="Calibri" w:hAnsi="Calibri"/>
          <w:b/>
          <w:sz w:val="20"/>
          <w:szCs w:val="20"/>
          <w:lang w:val="en-GB"/>
        </w:rPr>
        <w:t>Image 12:</w:t>
      </w:r>
      <w:r w:rsidRPr="00F933FE">
        <w:rPr>
          <w:rFonts w:ascii="Calibri" w:hAnsi="Calibri"/>
          <w:b/>
          <w:bCs/>
          <w:sz w:val="20"/>
          <w:szCs w:val="20"/>
          <w:lang w:val="en-GB"/>
        </w:rPr>
        <w:t xml:space="preserve"> Dangerous Behavior #3.  </w:t>
      </w:r>
      <w:r>
        <w:rPr>
          <w:rFonts w:ascii="Calibri" w:hAnsi="Calibri"/>
          <w:bCs/>
          <w:sz w:val="20"/>
          <w:szCs w:val="20"/>
          <w:lang w:val="en-GB"/>
        </w:rPr>
        <w:t xml:space="preserve">A family is keeping a pressure cooker bomb in their house, and an </w:t>
      </w:r>
      <w:r w:rsidRPr="00F727E1">
        <w:rPr>
          <w:rFonts w:ascii="Calibri" w:hAnsi="Calibri"/>
          <w:sz w:val="20"/>
          <w:szCs w:val="20"/>
          <w:lang w:val="en-GB"/>
        </w:rPr>
        <w:t>elder is telling the owner</w:t>
      </w:r>
      <w:r>
        <w:rPr>
          <w:rFonts w:ascii="Calibri" w:hAnsi="Calibri"/>
          <w:sz w:val="20"/>
          <w:szCs w:val="20"/>
          <w:lang w:val="en-GB"/>
        </w:rPr>
        <w:t xml:space="preserve"> of the house</w:t>
      </w:r>
      <w:r w:rsidRPr="00F727E1">
        <w:rPr>
          <w:rFonts w:ascii="Calibri" w:hAnsi="Calibri"/>
          <w:sz w:val="20"/>
          <w:szCs w:val="20"/>
          <w:lang w:val="en-GB"/>
        </w:rPr>
        <w:t xml:space="preserve"> that this is very dangerous.  The bomb could h</w:t>
      </w:r>
      <w:r>
        <w:rPr>
          <w:rFonts w:ascii="Calibri" w:hAnsi="Calibri"/>
          <w:sz w:val="20"/>
          <w:szCs w:val="20"/>
          <w:lang w:val="en-GB"/>
        </w:rPr>
        <w:t>ave been left by an armed group;</w:t>
      </w:r>
      <w:r w:rsidRPr="00F727E1">
        <w:rPr>
          <w:rFonts w:ascii="Calibri" w:hAnsi="Calibri"/>
          <w:sz w:val="20"/>
          <w:szCs w:val="20"/>
          <w:lang w:val="en-GB"/>
        </w:rPr>
        <w:t xml:space="preserve"> kept by the family for use for road construction, hunting, fishing, </w:t>
      </w:r>
      <w:r>
        <w:rPr>
          <w:rFonts w:ascii="Calibri" w:hAnsi="Calibri"/>
          <w:sz w:val="20"/>
          <w:szCs w:val="20"/>
          <w:lang w:val="en-GB"/>
        </w:rPr>
        <w:t>or selling</w:t>
      </w:r>
      <w:r w:rsidRPr="00F727E1">
        <w:rPr>
          <w:rFonts w:ascii="Calibri" w:hAnsi="Calibri"/>
          <w:sz w:val="20"/>
          <w:szCs w:val="20"/>
          <w:lang w:val="en-GB"/>
        </w:rPr>
        <w:t xml:space="preserve">; kept as a souvenir of the conflict; or </w:t>
      </w:r>
      <w:r>
        <w:rPr>
          <w:rFonts w:ascii="Calibri" w:hAnsi="Calibri"/>
          <w:sz w:val="20"/>
          <w:szCs w:val="20"/>
          <w:lang w:val="en-GB"/>
        </w:rPr>
        <w:t xml:space="preserve">kept because the </w:t>
      </w:r>
      <w:r w:rsidRPr="00F727E1">
        <w:rPr>
          <w:rFonts w:ascii="Calibri" w:hAnsi="Calibri"/>
          <w:sz w:val="20"/>
          <w:szCs w:val="20"/>
          <w:lang w:val="en-GB"/>
        </w:rPr>
        <w:t xml:space="preserve">family fears </w:t>
      </w:r>
      <w:r>
        <w:rPr>
          <w:rFonts w:ascii="Calibri" w:hAnsi="Calibri"/>
          <w:sz w:val="20"/>
          <w:szCs w:val="20"/>
          <w:lang w:val="en-GB"/>
        </w:rPr>
        <w:t>repercussions</w:t>
      </w:r>
      <w:r w:rsidRPr="00F727E1">
        <w:rPr>
          <w:rFonts w:ascii="Calibri" w:hAnsi="Calibri"/>
          <w:sz w:val="20"/>
          <w:szCs w:val="20"/>
          <w:lang w:val="en-GB"/>
        </w:rPr>
        <w:t xml:space="preserve"> if they report the bomb.  </w:t>
      </w:r>
      <w:r>
        <w:rPr>
          <w:rFonts w:ascii="Calibri" w:hAnsi="Calibri"/>
          <w:sz w:val="20"/>
          <w:szCs w:val="20"/>
          <w:lang w:val="en-GB"/>
        </w:rPr>
        <w:t>The text explains the following:</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Regardless</w:t>
      </w:r>
      <w:r>
        <w:rPr>
          <w:rFonts w:ascii="Calibri" w:hAnsi="Calibri"/>
          <w:sz w:val="20"/>
          <w:szCs w:val="20"/>
          <w:lang w:val="en-GB"/>
        </w:rPr>
        <w:t xml:space="preserve"> of reasons for being kept, ED are </w:t>
      </w:r>
      <w:r w:rsidRPr="00F727E1">
        <w:rPr>
          <w:rFonts w:ascii="Calibri" w:hAnsi="Calibri"/>
          <w:sz w:val="20"/>
          <w:szCs w:val="20"/>
          <w:lang w:val="en-GB"/>
        </w:rPr>
        <w:t>dangerous and can explode</w:t>
      </w:r>
      <w:r>
        <w:rPr>
          <w:rFonts w:ascii="Calibri" w:hAnsi="Calibri"/>
          <w:sz w:val="20"/>
          <w:szCs w:val="20"/>
          <w:lang w:val="en-GB"/>
        </w:rPr>
        <w:t>;</w:t>
      </w:r>
    </w:p>
    <w:p w:rsidR="00B454FB" w:rsidRDefault="00B454FB" w:rsidP="00B454FB">
      <w:pPr>
        <w:pStyle w:val="ColorfulList-Accent11"/>
        <w:numPr>
          <w:ilvl w:val="1"/>
          <w:numId w:val="89"/>
        </w:numPr>
        <w:rPr>
          <w:rFonts w:ascii="Calibri" w:hAnsi="Calibri"/>
          <w:sz w:val="20"/>
          <w:szCs w:val="20"/>
          <w:lang w:val="en-GB"/>
        </w:rPr>
      </w:pPr>
      <w:r>
        <w:rPr>
          <w:rFonts w:ascii="Calibri" w:hAnsi="Calibri"/>
          <w:sz w:val="20"/>
          <w:szCs w:val="20"/>
          <w:lang w:val="en-GB"/>
        </w:rPr>
        <w:t xml:space="preserve">People should </w:t>
      </w:r>
      <w:r w:rsidRPr="00F727E1">
        <w:rPr>
          <w:rFonts w:ascii="Calibri" w:hAnsi="Calibri"/>
          <w:sz w:val="20"/>
          <w:szCs w:val="20"/>
          <w:lang w:val="en-GB"/>
        </w:rPr>
        <w:t>tell local authorities</w:t>
      </w:r>
      <w:r>
        <w:rPr>
          <w:rFonts w:ascii="Calibri" w:hAnsi="Calibri"/>
          <w:sz w:val="20"/>
          <w:szCs w:val="20"/>
          <w:lang w:val="en-GB"/>
        </w:rPr>
        <w:t xml:space="preserve">, </w:t>
      </w:r>
      <w:r w:rsidRPr="00F727E1">
        <w:rPr>
          <w:rFonts w:ascii="Calibri" w:hAnsi="Calibri"/>
          <w:sz w:val="20"/>
          <w:szCs w:val="20"/>
          <w:lang w:val="en-GB"/>
        </w:rPr>
        <w:t>NRCS or NGOs like INSEC</w:t>
      </w:r>
      <w:r>
        <w:rPr>
          <w:rFonts w:ascii="Calibri" w:hAnsi="Calibri"/>
          <w:sz w:val="20"/>
          <w:szCs w:val="20"/>
          <w:lang w:val="en-GB"/>
        </w:rPr>
        <w:t xml:space="preserve"> if they are keeping ED in the home;</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 xml:space="preserve">Only an </w:t>
      </w:r>
      <w:r>
        <w:rPr>
          <w:rFonts w:ascii="Calibri" w:hAnsi="Calibri"/>
          <w:sz w:val="20"/>
          <w:szCs w:val="20"/>
          <w:lang w:val="en-GB"/>
        </w:rPr>
        <w:t xml:space="preserve">explosive ordnance disposal (EOD) </w:t>
      </w:r>
      <w:r w:rsidRPr="00F727E1">
        <w:rPr>
          <w:rFonts w:ascii="Calibri" w:hAnsi="Calibri"/>
          <w:sz w:val="20"/>
          <w:szCs w:val="20"/>
          <w:lang w:val="en-GB"/>
        </w:rPr>
        <w:t>team can safely neutralize ED</w:t>
      </w:r>
      <w:r>
        <w:rPr>
          <w:rFonts w:ascii="Calibri" w:hAnsi="Calibri"/>
          <w:sz w:val="20"/>
          <w:szCs w:val="20"/>
          <w:lang w:val="en-GB"/>
        </w:rPr>
        <w:t>;</w:t>
      </w:r>
    </w:p>
    <w:p w:rsidR="00B454FB" w:rsidRDefault="00B454FB" w:rsidP="00B454FB">
      <w:pPr>
        <w:pStyle w:val="ColorfulList-Accent11"/>
        <w:numPr>
          <w:ilvl w:val="1"/>
          <w:numId w:val="89"/>
        </w:numPr>
        <w:rPr>
          <w:rFonts w:ascii="Calibri" w:hAnsi="Calibri"/>
          <w:sz w:val="20"/>
          <w:szCs w:val="20"/>
          <w:lang w:val="en-GB"/>
        </w:rPr>
      </w:pPr>
      <w:r>
        <w:rPr>
          <w:rFonts w:ascii="Calibri" w:hAnsi="Calibri"/>
          <w:sz w:val="20"/>
          <w:szCs w:val="20"/>
          <w:lang w:val="en-GB"/>
        </w:rPr>
        <w:t xml:space="preserve">People will not be prosecuted for reporting ED, </w:t>
      </w:r>
      <w:r w:rsidRPr="00F727E1">
        <w:rPr>
          <w:rFonts w:ascii="Calibri" w:hAnsi="Calibri"/>
          <w:sz w:val="20"/>
          <w:szCs w:val="20"/>
          <w:lang w:val="en-GB"/>
        </w:rPr>
        <w:t xml:space="preserve">even if </w:t>
      </w:r>
      <w:r>
        <w:rPr>
          <w:rFonts w:ascii="Calibri" w:hAnsi="Calibri"/>
          <w:sz w:val="20"/>
          <w:szCs w:val="20"/>
          <w:lang w:val="en-GB"/>
        </w:rPr>
        <w:t>the ED are</w:t>
      </w:r>
      <w:r w:rsidRPr="00F727E1">
        <w:rPr>
          <w:rFonts w:ascii="Calibri" w:hAnsi="Calibri"/>
          <w:sz w:val="20"/>
          <w:szCs w:val="20"/>
          <w:lang w:val="en-GB"/>
        </w:rPr>
        <w:t xml:space="preserve"> in their homes</w:t>
      </w:r>
      <w:r>
        <w:rPr>
          <w:rFonts w:ascii="Calibri" w:hAnsi="Calibri"/>
          <w:sz w:val="20"/>
          <w:szCs w:val="20"/>
          <w:lang w:val="en-GB"/>
        </w:rPr>
        <w:t>;</w:t>
      </w:r>
    </w:p>
    <w:p w:rsidR="00B454FB" w:rsidRDefault="00B454FB" w:rsidP="00B454FB">
      <w:pPr>
        <w:pStyle w:val="ColorfulList-Accent11"/>
        <w:numPr>
          <w:ilvl w:val="1"/>
          <w:numId w:val="89"/>
        </w:numPr>
        <w:rPr>
          <w:rFonts w:ascii="Calibri" w:hAnsi="Calibri"/>
          <w:sz w:val="20"/>
          <w:szCs w:val="20"/>
          <w:lang w:val="en-GB"/>
        </w:rPr>
      </w:pPr>
      <w:r>
        <w:rPr>
          <w:rFonts w:ascii="Calibri" w:hAnsi="Calibri"/>
          <w:sz w:val="20"/>
          <w:szCs w:val="20"/>
          <w:lang w:val="en-GB"/>
        </w:rPr>
        <w:t>In</w:t>
      </w:r>
      <w:r w:rsidRPr="00F727E1">
        <w:rPr>
          <w:rFonts w:ascii="Calibri" w:hAnsi="Calibri"/>
          <w:sz w:val="20"/>
          <w:szCs w:val="20"/>
          <w:lang w:val="en-GB"/>
        </w:rPr>
        <w:t xml:space="preserve"> 2007</w:t>
      </w:r>
      <w:r>
        <w:rPr>
          <w:rFonts w:ascii="Calibri" w:hAnsi="Calibri"/>
          <w:sz w:val="20"/>
          <w:szCs w:val="20"/>
          <w:lang w:val="en-GB"/>
        </w:rPr>
        <w:t>, a</w:t>
      </w:r>
      <w:r w:rsidRPr="00F727E1">
        <w:rPr>
          <w:rFonts w:ascii="Calibri" w:hAnsi="Calibri"/>
          <w:sz w:val="20"/>
          <w:szCs w:val="20"/>
          <w:lang w:val="en-GB"/>
        </w:rPr>
        <w:t xml:space="preserve"> bucket bomb kept for road construction in a home</w:t>
      </w:r>
      <w:r>
        <w:rPr>
          <w:rFonts w:ascii="Calibri" w:hAnsi="Calibri"/>
          <w:sz w:val="20"/>
          <w:szCs w:val="20"/>
          <w:lang w:val="en-GB"/>
        </w:rPr>
        <w:t xml:space="preserve"> exploded and </w:t>
      </w:r>
      <w:r w:rsidRPr="00F727E1">
        <w:rPr>
          <w:rFonts w:ascii="Calibri" w:hAnsi="Calibri"/>
          <w:sz w:val="20"/>
          <w:szCs w:val="20"/>
          <w:lang w:val="en-GB"/>
        </w:rPr>
        <w:t xml:space="preserve">killed </w:t>
      </w:r>
      <w:r>
        <w:rPr>
          <w:rFonts w:ascii="Calibri" w:hAnsi="Calibri"/>
          <w:sz w:val="20"/>
          <w:szCs w:val="20"/>
          <w:lang w:val="en-GB"/>
        </w:rPr>
        <w:t>nine</w:t>
      </w:r>
      <w:r w:rsidRPr="00F727E1">
        <w:rPr>
          <w:rFonts w:ascii="Calibri" w:hAnsi="Calibri"/>
          <w:sz w:val="20"/>
          <w:szCs w:val="20"/>
          <w:lang w:val="en-GB"/>
        </w:rPr>
        <w:t xml:space="preserve"> civilians including </w:t>
      </w:r>
      <w:r>
        <w:rPr>
          <w:rFonts w:ascii="Calibri" w:hAnsi="Calibri"/>
          <w:sz w:val="20"/>
          <w:szCs w:val="20"/>
          <w:lang w:val="en-GB"/>
        </w:rPr>
        <w:t>three</w:t>
      </w:r>
      <w:r w:rsidRPr="00F727E1">
        <w:rPr>
          <w:rFonts w:ascii="Calibri" w:hAnsi="Calibri"/>
          <w:sz w:val="20"/>
          <w:szCs w:val="20"/>
          <w:lang w:val="en-GB"/>
        </w:rPr>
        <w:t xml:space="preserve"> children</w:t>
      </w:r>
      <w:r>
        <w:rPr>
          <w:rFonts w:ascii="Calibri" w:hAnsi="Calibri"/>
          <w:sz w:val="20"/>
          <w:szCs w:val="20"/>
          <w:lang w:val="en-GB"/>
        </w:rPr>
        <w:t>; 18 additional children were orphaned by the incident; and</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 xml:space="preserve">Homes used by armed groups may have </w:t>
      </w:r>
      <w:r>
        <w:rPr>
          <w:rFonts w:ascii="Calibri" w:hAnsi="Calibri"/>
          <w:sz w:val="20"/>
          <w:szCs w:val="20"/>
          <w:lang w:val="en-GB"/>
        </w:rPr>
        <w:t>ED</w:t>
      </w:r>
      <w:r w:rsidRPr="00F727E1">
        <w:rPr>
          <w:rFonts w:ascii="Calibri" w:hAnsi="Calibri"/>
          <w:sz w:val="20"/>
          <w:szCs w:val="20"/>
          <w:lang w:val="en-GB"/>
        </w:rPr>
        <w:t xml:space="preserve"> inside </w:t>
      </w:r>
      <w:r>
        <w:rPr>
          <w:rFonts w:ascii="Calibri" w:hAnsi="Calibri"/>
          <w:sz w:val="20"/>
          <w:szCs w:val="20"/>
          <w:lang w:val="en-GB"/>
        </w:rPr>
        <w:t>and returnees should be careful.</w:t>
      </w:r>
    </w:p>
    <w:p w:rsidR="00B454FB" w:rsidRDefault="00B454FB" w:rsidP="00B454FB">
      <w:pPr>
        <w:pStyle w:val="ColorfulList-Accent11"/>
        <w:numPr>
          <w:ilvl w:val="0"/>
          <w:numId w:val="89"/>
        </w:numPr>
        <w:rPr>
          <w:rFonts w:ascii="Calibri" w:hAnsi="Calibri"/>
          <w:sz w:val="20"/>
          <w:szCs w:val="20"/>
          <w:lang w:val="en-GB"/>
        </w:rPr>
      </w:pPr>
      <w:r w:rsidRPr="00F933FE">
        <w:rPr>
          <w:rFonts w:ascii="Calibri" w:hAnsi="Calibri"/>
          <w:b/>
          <w:sz w:val="20"/>
          <w:szCs w:val="20"/>
          <w:lang w:val="en-GB"/>
        </w:rPr>
        <w:t xml:space="preserve">Image 13.  </w:t>
      </w:r>
      <w:r w:rsidRPr="00F933FE">
        <w:rPr>
          <w:rFonts w:ascii="Calibri" w:hAnsi="Calibri"/>
          <w:sz w:val="20"/>
          <w:szCs w:val="20"/>
          <w:lang w:val="en-GB"/>
        </w:rPr>
        <w:t>ED can kill at a great distance; the text provides an explanation of danger of injury and death at distances up to or sometimes exceeding 1000 meters</w:t>
      </w:r>
      <w:r>
        <w:rPr>
          <w:rFonts w:ascii="Calibri" w:hAnsi="Calibri"/>
          <w:sz w:val="20"/>
          <w:szCs w:val="20"/>
          <w:lang w:val="en-GB"/>
        </w:rPr>
        <w:t>.</w:t>
      </w:r>
    </w:p>
    <w:p w:rsidR="00B454FB" w:rsidRDefault="00B454FB" w:rsidP="00B454FB">
      <w:pPr>
        <w:pStyle w:val="ColorfulList-Accent11"/>
        <w:numPr>
          <w:ilvl w:val="0"/>
          <w:numId w:val="89"/>
        </w:numPr>
        <w:rPr>
          <w:rFonts w:ascii="Calibri" w:hAnsi="Calibri"/>
          <w:sz w:val="20"/>
          <w:szCs w:val="20"/>
          <w:lang w:val="en-GB"/>
        </w:rPr>
      </w:pPr>
      <w:r>
        <w:rPr>
          <w:rFonts w:ascii="Calibri" w:hAnsi="Calibri"/>
          <w:b/>
          <w:sz w:val="20"/>
          <w:szCs w:val="20"/>
          <w:lang w:val="en-GB"/>
        </w:rPr>
        <w:t>Images 14</w:t>
      </w:r>
      <w:r w:rsidRPr="00F933FE">
        <w:rPr>
          <w:rFonts w:ascii="Calibri" w:hAnsi="Calibri"/>
          <w:b/>
          <w:sz w:val="20"/>
          <w:szCs w:val="20"/>
          <w:lang w:val="en-GB"/>
        </w:rPr>
        <w:t>-17.</w:t>
      </w:r>
      <w:r>
        <w:rPr>
          <w:rFonts w:ascii="Calibri" w:hAnsi="Calibri"/>
          <w:sz w:val="20"/>
          <w:szCs w:val="20"/>
          <w:lang w:val="en-GB"/>
        </w:rPr>
        <w:t xml:space="preserve">  Explanations of what people should do if they find suspected ED:</w:t>
      </w:r>
    </w:p>
    <w:p w:rsidR="00B454FB" w:rsidRDefault="00B454FB" w:rsidP="00B454FB">
      <w:pPr>
        <w:pStyle w:val="ColorfulList-Accent11"/>
        <w:numPr>
          <w:ilvl w:val="1"/>
          <w:numId w:val="89"/>
        </w:numPr>
        <w:rPr>
          <w:rFonts w:ascii="Calibri" w:hAnsi="Calibri"/>
          <w:sz w:val="20"/>
          <w:szCs w:val="20"/>
          <w:lang w:val="en-GB"/>
        </w:rPr>
      </w:pPr>
      <w:r w:rsidRPr="00F933FE">
        <w:rPr>
          <w:rFonts w:ascii="Calibri" w:hAnsi="Calibri"/>
          <w:sz w:val="20"/>
          <w:szCs w:val="20"/>
          <w:lang w:val="en-GB"/>
        </w:rPr>
        <w:t xml:space="preserve">Step 1. </w:t>
      </w:r>
      <w:r>
        <w:rPr>
          <w:rFonts w:ascii="Calibri" w:hAnsi="Calibri"/>
          <w:sz w:val="20"/>
          <w:szCs w:val="20"/>
          <w:lang w:val="en-GB"/>
        </w:rPr>
        <w:t xml:space="preserve"> </w:t>
      </w:r>
      <w:r w:rsidRPr="00F933FE">
        <w:rPr>
          <w:rFonts w:ascii="Calibri" w:hAnsi="Calibri"/>
          <w:sz w:val="20"/>
          <w:szCs w:val="20"/>
          <w:lang w:val="en-GB"/>
        </w:rPr>
        <w:t>STOP!  Keep calm, do not approach</w:t>
      </w:r>
      <w:r>
        <w:rPr>
          <w:rFonts w:ascii="Calibri" w:hAnsi="Calibri"/>
          <w:sz w:val="20"/>
          <w:szCs w:val="20"/>
          <w:lang w:val="en-GB"/>
        </w:rPr>
        <w:t xml:space="preserve"> or touch</w:t>
      </w:r>
      <w:r w:rsidRPr="00F933FE">
        <w:rPr>
          <w:rFonts w:ascii="Calibri" w:hAnsi="Calibri"/>
          <w:sz w:val="20"/>
          <w:szCs w:val="20"/>
          <w:lang w:val="en-GB"/>
        </w:rPr>
        <w:t xml:space="preserve">, </w:t>
      </w:r>
      <w:r>
        <w:rPr>
          <w:rFonts w:ascii="Calibri" w:hAnsi="Calibri"/>
          <w:sz w:val="20"/>
          <w:szCs w:val="20"/>
          <w:lang w:val="en-GB"/>
        </w:rPr>
        <w:t xml:space="preserve">and </w:t>
      </w:r>
      <w:r w:rsidRPr="00F933FE">
        <w:rPr>
          <w:rFonts w:ascii="Calibri" w:hAnsi="Calibri"/>
          <w:sz w:val="20"/>
          <w:szCs w:val="20"/>
          <w:lang w:val="en-GB"/>
        </w:rPr>
        <w:t>warn others.</w:t>
      </w:r>
    </w:p>
    <w:p w:rsidR="00B454FB" w:rsidRDefault="00B454FB" w:rsidP="00B454FB">
      <w:pPr>
        <w:pStyle w:val="ColorfulList-Accent11"/>
        <w:numPr>
          <w:ilvl w:val="1"/>
          <w:numId w:val="89"/>
        </w:numPr>
        <w:rPr>
          <w:rFonts w:ascii="Calibri" w:hAnsi="Calibri"/>
          <w:sz w:val="20"/>
          <w:szCs w:val="20"/>
          <w:lang w:val="en-GB"/>
        </w:rPr>
      </w:pPr>
      <w:r w:rsidRPr="00F933FE">
        <w:rPr>
          <w:rFonts w:ascii="Calibri" w:hAnsi="Calibri"/>
          <w:sz w:val="20"/>
          <w:szCs w:val="20"/>
          <w:lang w:val="en-GB"/>
        </w:rPr>
        <w:t>Step 2.</w:t>
      </w:r>
      <w:r>
        <w:rPr>
          <w:rFonts w:ascii="Calibri" w:hAnsi="Calibri"/>
          <w:sz w:val="20"/>
          <w:szCs w:val="20"/>
          <w:lang w:val="en-GB"/>
        </w:rPr>
        <w:t xml:space="preserve"> </w:t>
      </w:r>
      <w:r w:rsidRPr="00F933FE">
        <w:rPr>
          <w:rFonts w:ascii="Calibri" w:hAnsi="Calibri"/>
          <w:sz w:val="20"/>
          <w:szCs w:val="20"/>
          <w:lang w:val="en-GB"/>
        </w:rPr>
        <w:t xml:space="preserve"> MEMORIZE!  </w:t>
      </w:r>
      <w:r>
        <w:rPr>
          <w:rFonts w:ascii="Calibri" w:hAnsi="Calibri"/>
          <w:sz w:val="20"/>
          <w:szCs w:val="20"/>
          <w:lang w:val="en-GB"/>
        </w:rPr>
        <w:t xml:space="preserve"> </w:t>
      </w:r>
      <w:r w:rsidRPr="00F933FE">
        <w:rPr>
          <w:rFonts w:ascii="Calibri" w:hAnsi="Calibri"/>
          <w:sz w:val="20"/>
          <w:szCs w:val="20"/>
          <w:lang w:val="en-GB"/>
        </w:rPr>
        <w:t>Look around</w:t>
      </w:r>
      <w:r>
        <w:rPr>
          <w:rFonts w:ascii="Calibri" w:hAnsi="Calibri"/>
          <w:sz w:val="20"/>
          <w:szCs w:val="20"/>
          <w:lang w:val="en-GB"/>
        </w:rPr>
        <w:t xml:space="preserve"> but</w:t>
      </w:r>
      <w:r w:rsidRPr="00F933FE">
        <w:rPr>
          <w:rFonts w:ascii="Calibri" w:hAnsi="Calibri"/>
          <w:sz w:val="20"/>
          <w:szCs w:val="20"/>
          <w:lang w:val="en-GB"/>
        </w:rPr>
        <w:t xml:space="preserve"> do not move or approach</w:t>
      </w:r>
      <w:r>
        <w:rPr>
          <w:rFonts w:ascii="Calibri" w:hAnsi="Calibri"/>
          <w:sz w:val="20"/>
          <w:szCs w:val="20"/>
          <w:lang w:val="en-GB"/>
        </w:rPr>
        <w:t xml:space="preserve">; </w:t>
      </w:r>
      <w:r w:rsidRPr="00F933FE">
        <w:rPr>
          <w:rFonts w:ascii="Calibri" w:hAnsi="Calibri"/>
          <w:sz w:val="20"/>
          <w:szCs w:val="20"/>
          <w:lang w:val="en-GB"/>
        </w:rPr>
        <w:t>try to remember</w:t>
      </w:r>
      <w:r>
        <w:rPr>
          <w:rFonts w:ascii="Calibri" w:hAnsi="Calibri"/>
          <w:sz w:val="20"/>
          <w:szCs w:val="20"/>
          <w:lang w:val="en-GB"/>
        </w:rPr>
        <w:t xml:space="preserve"> surrounding benchmarks like specific rocks and trees.</w:t>
      </w:r>
    </w:p>
    <w:p w:rsidR="00B454FB" w:rsidRDefault="00B454FB" w:rsidP="00B454FB">
      <w:pPr>
        <w:pStyle w:val="ColorfulList-Accent11"/>
        <w:numPr>
          <w:ilvl w:val="1"/>
          <w:numId w:val="89"/>
        </w:numPr>
        <w:rPr>
          <w:rFonts w:ascii="Calibri" w:hAnsi="Calibri"/>
          <w:sz w:val="20"/>
          <w:szCs w:val="20"/>
          <w:lang w:val="en-GB"/>
        </w:rPr>
      </w:pPr>
      <w:r w:rsidRPr="00456D38">
        <w:rPr>
          <w:rFonts w:ascii="Calibri" w:hAnsi="Calibri"/>
          <w:sz w:val="20"/>
          <w:szCs w:val="20"/>
          <w:lang w:val="en-GB"/>
        </w:rPr>
        <w:t xml:space="preserve">Step 3. </w:t>
      </w:r>
      <w:r>
        <w:rPr>
          <w:rFonts w:ascii="Calibri" w:hAnsi="Calibri"/>
          <w:sz w:val="20"/>
          <w:szCs w:val="20"/>
          <w:lang w:val="en-GB"/>
        </w:rPr>
        <w:t xml:space="preserve"> </w:t>
      </w:r>
      <w:r w:rsidRPr="00456D38">
        <w:rPr>
          <w:rFonts w:ascii="Calibri" w:hAnsi="Calibri"/>
          <w:sz w:val="20"/>
          <w:szCs w:val="20"/>
          <w:lang w:val="en-GB"/>
        </w:rPr>
        <w:t>STEP BACK!  Go back to your house</w:t>
      </w:r>
      <w:r>
        <w:rPr>
          <w:rFonts w:ascii="Calibri" w:hAnsi="Calibri"/>
          <w:sz w:val="20"/>
          <w:szCs w:val="20"/>
          <w:lang w:val="en-GB"/>
        </w:rPr>
        <w:t xml:space="preserve">, </w:t>
      </w:r>
      <w:r w:rsidRPr="00456D38">
        <w:rPr>
          <w:rFonts w:ascii="Calibri" w:hAnsi="Calibri"/>
          <w:sz w:val="20"/>
          <w:szCs w:val="20"/>
          <w:lang w:val="en-GB"/>
        </w:rPr>
        <w:t>village</w:t>
      </w:r>
      <w:r>
        <w:rPr>
          <w:rFonts w:ascii="Calibri" w:hAnsi="Calibri"/>
          <w:sz w:val="20"/>
          <w:szCs w:val="20"/>
          <w:lang w:val="en-GB"/>
        </w:rPr>
        <w:t xml:space="preserve">, </w:t>
      </w:r>
      <w:r w:rsidRPr="00456D38">
        <w:rPr>
          <w:rFonts w:ascii="Calibri" w:hAnsi="Calibri"/>
          <w:sz w:val="20"/>
          <w:szCs w:val="20"/>
          <w:lang w:val="en-GB"/>
        </w:rPr>
        <w:t>family</w:t>
      </w:r>
      <w:r>
        <w:rPr>
          <w:rFonts w:ascii="Calibri" w:hAnsi="Calibri"/>
          <w:sz w:val="20"/>
          <w:szCs w:val="20"/>
          <w:lang w:val="en-GB"/>
        </w:rPr>
        <w:t xml:space="preserve"> or </w:t>
      </w:r>
      <w:r w:rsidRPr="00456D38">
        <w:rPr>
          <w:rFonts w:ascii="Calibri" w:hAnsi="Calibri"/>
          <w:sz w:val="20"/>
          <w:szCs w:val="20"/>
          <w:lang w:val="en-GB"/>
        </w:rPr>
        <w:t>school.</w:t>
      </w:r>
    </w:p>
    <w:p w:rsidR="00B454FB" w:rsidRDefault="00B454FB" w:rsidP="00B454FB">
      <w:pPr>
        <w:pStyle w:val="ColorfulList-Accent11"/>
        <w:numPr>
          <w:ilvl w:val="1"/>
          <w:numId w:val="89"/>
        </w:numPr>
        <w:rPr>
          <w:rFonts w:ascii="Calibri" w:hAnsi="Calibri"/>
          <w:sz w:val="20"/>
          <w:szCs w:val="20"/>
          <w:lang w:val="en-GB"/>
        </w:rPr>
      </w:pPr>
      <w:r w:rsidRPr="00456D38">
        <w:rPr>
          <w:rFonts w:ascii="Calibri" w:hAnsi="Calibri"/>
          <w:sz w:val="20"/>
          <w:szCs w:val="20"/>
          <w:lang w:val="en-GB"/>
        </w:rPr>
        <w:t>Step 4.</w:t>
      </w:r>
      <w:r>
        <w:rPr>
          <w:rFonts w:ascii="Calibri" w:hAnsi="Calibri"/>
          <w:sz w:val="20"/>
          <w:szCs w:val="20"/>
          <w:lang w:val="en-GB"/>
        </w:rPr>
        <w:t xml:space="preserve"> </w:t>
      </w:r>
      <w:r w:rsidRPr="00456D38">
        <w:rPr>
          <w:rFonts w:ascii="Calibri" w:hAnsi="Calibri"/>
          <w:sz w:val="20"/>
          <w:szCs w:val="20"/>
          <w:lang w:val="en-GB"/>
        </w:rPr>
        <w:t xml:space="preserve"> INFORM!  Children should tell adults (parents, teachers, etc.) and adults should tell community</w:t>
      </w:r>
      <w:r>
        <w:rPr>
          <w:rFonts w:ascii="Calibri" w:hAnsi="Calibri"/>
          <w:sz w:val="20"/>
          <w:szCs w:val="20"/>
          <w:lang w:val="en-GB"/>
        </w:rPr>
        <w:t xml:space="preserve"> members</w:t>
      </w:r>
      <w:r w:rsidRPr="00456D38">
        <w:rPr>
          <w:rFonts w:ascii="Calibri" w:hAnsi="Calibri"/>
          <w:sz w:val="20"/>
          <w:szCs w:val="20"/>
          <w:lang w:val="en-GB"/>
        </w:rPr>
        <w:t xml:space="preserve">, NGOs, </w:t>
      </w:r>
      <w:r>
        <w:rPr>
          <w:rFonts w:ascii="Calibri" w:hAnsi="Calibri"/>
          <w:sz w:val="20"/>
          <w:szCs w:val="20"/>
          <w:lang w:val="en-GB"/>
        </w:rPr>
        <w:t xml:space="preserve">and </w:t>
      </w:r>
      <w:r w:rsidRPr="00456D38">
        <w:rPr>
          <w:rFonts w:ascii="Calibri" w:hAnsi="Calibri"/>
          <w:sz w:val="20"/>
          <w:szCs w:val="20"/>
          <w:lang w:val="en-GB"/>
        </w:rPr>
        <w:t>authorities</w:t>
      </w:r>
      <w:r>
        <w:rPr>
          <w:rFonts w:ascii="Calibri" w:hAnsi="Calibri"/>
          <w:sz w:val="20"/>
          <w:szCs w:val="20"/>
          <w:lang w:val="en-GB"/>
        </w:rPr>
        <w:t xml:space="preserve">.  At this time they </w:t>
      </w:r>
      <w:r w:rsidRPr="00456D38">
        <w:rPr>
          <w:rFonts w:ascii="Calibri" w:hAnsi="Calibri"/>
          <w:sz w:val="20"/>
          <w:szCs w:val="20"/>
          <w:lang w:val="en-GB"/>
        </w:rPr>
        <w:t xml:space="preserve">should describe the </w:t>
      </w:r>
      <w:r>
        <w:rPr>
          <w:rFonts w:ascii="Calibri" w:hAnsi="Calibri"/>
          <w:sz w:val="20"/>
          <w:szCs w:val="20"/>
          <w:lang w:val="en-GB"/>
        </w:rPr>
        <w:t xml:space="preserve">area around the </w:t>
      </w:r>
      <w:r w:rsidRPr="00456D38">
        <w:rPr>
          <w:rFonts w:ascii="Calibri" w:hAnsi="Calibri"/>
          <w:sz w:val="20"/>
          <w:szCs w:val="20"/>
          <w:lang w:val="en-GB"/>
        </w:rPr>
        <w:t>suspect</w:t>
      </w:r>
      <w:r>
        <w:rPr>
          <w:rFonts w:ascii="Calibri" w:hAnsi="Calibri"/>
          <w:sz w:val="20"/>
          <w:szCs w:val="20"/>
          <w:lang w:val="en-GB"/>
        </w:rPr>
        <w:t>ed ED to assist with location of the ED.</w:t>
      </w:r>
    </w:p>
    <w:p w:rsidR="00B454FB" w:rsidRPr="00456D38" w:rsidRDefault="00B454FB" w:rsidP="00B454FB">
      <w:pPr>
        <w:pStyle w:val="ColorfulList-Accent11"/>
        <w:numPr>
          <w:ilvl w:val="0"/>
          <w:numId w:val="89"/>
        </w:numPr>
        <w:rPr>
          <w:rFonts w:ascii="Calibri" w:hAnsi="Calibri"/>
          <w:sz w:val="20"/>
          <w:szCs w:val="20"/>
          <w:lang w:val="en-GB"/>
        </w:rPr>
      </w:pPr>
      <w:r w:rsidRPr="00456D38">
        <w:rPr>
          <w:rFonts w:ascii="Calibri" w:hAnsi="Calibri"/>
          <w:b/>
          <w:sz w:val="20"/>
          <w:szCs w:val="20"/>
          <w:lang w:val="en-GB"/>
        </w:rPr>
        <w:lastRenderedPageBreak/>
        <w:t xml:space="preserve">Image 18. </w:t>
      </w:r>
      <w:r w:rsidRPr="00456D38">
        <w:rPr>
          <w:rFonts w:ascii="Calibri" w:hAnsi="Calibri"/>
          <w:sz w:val="20"/>
          <w:szCs w:val="20"/>
          <w:lang w:val="en-GB"/>
        </w:rPr>
        <w:t xml:space="preserve">Description of steps taken after an ED is reported.  </w:t>
      </w:r>
      <w:r>
        <w:rPr>
          <w:rFonts w:ascii="Calibri" w:hAnsi="Calibri"/>
          <w:bCs/>
          <w:sz w:val="20"/>
          <w:szCs w:val="20"/>
          <w:lang w:val="en-GB"/>
        </w:rPr>
        <w:t>An a</w:t>
      </w:r>
      <w:r w:rsidRPr="00456D38">
        <w:rPr>
          <w:rFonts w:ascii="Calibri" w:hAnsi="Calibri"/>
          <w:bCs/>
          <w:sz w:val="20"/>
          <w:szCs w:val="20"/>
          <w:lang w:val="en-GB"/>
        </w:rPr>
        <w:t xml:space="preserve">dult gives information to </w:t>
      </w:r>
      <w:r>
        <w:rPr>
          <w:rFonts w:ascii="Calibri" w:hAnsi="Calibri"/>
          <w:bCs/>
          <w:sz w:val="20"/>
          <w:szCs w:val="20"/>
          <w:lang w:val="en-GB"/>
        </w:rPr>
        <w:t xml:space="preserve">a </w:t>
      </w:r>
      <w:r w:rsidRPr="00456D38">
        <w:rPr>
          <w:rFonts w:ascii="Calibri" w:hAnsi="Calibri"/>
          <w:bCs/>
          <w:sz w:val="20"/>
          <w:szCs w:val="20"/>
          <w:lang w:val="en-GB"/>
        </w:rPr>
        <w:t xml:space="preserve">member of the police, NGO, </w:t>
      </w:r>
      <w:r>
        <w:rPr>
          <w:rFonts w:ascii="Calibri" w:hAnsi="Calibri"/>
          <w:bCs/>
          <w:sz w:val="20"/>
          <w:szCs w:val="20"/>
          <w:lang w:val="en-GB"/>
        </w:rPr>
        <w:t>community-based organization</w:t>
      </w:r>
      <w:r w:rsidRPr="00456D38">
        <w:rPr>
          <w:rFonts w:ascii="Calibri" w:hAnsi="Calibri"/>
          <w:bCs/>
          <w:sz w:val="20"/>
          <w:szCs w:val="20"/>
          <w:lang w:val="en-GB"/>
        </w:rPr>
        <w:t xml:space="preserve"> or local authorities, who mark the area with red paint, stones etc. without approaching the devices.  The</w:t>
      </w:r>
      <w:r>
        <w:rPr>
          <w:rFonts w:ascii="Calibri" w:hAnsi="Calibri"/>
          <w:bCs/>
          <w:sz w:val="20"/>
          <w:szCs w:val="20"/>
          <w:lang w:val="en-GB"/>
        </w:rPr>
        <w:t>se individuals</w:t>
      </w:r>
      <w:r w:rsidRPr="00456D38">
        <w:rPr>
          <w:rFonts w:ascii="Calibri" w:hAnsi="Calibri"/>
          <w:bCs/>
          <w:sz w:val="20"/>
          <w:szCs w:val="20"/>
          <w:lang w:val="en-GB"/>
        </w:rPr>
        <w:t xml:space="preserve"> tell an EOD team, who neutralize or remove the ED.</w:t>
      </w:r>
    </w:p>
    <w:p w:rsidR="00B454FB" w:rsidRDefault="00B454FB" w:rsidP="00B454FB">
      <w:pPr>
        <w:pStyle w:val="ColorfulList-Accent11"/>
        <w:numPr>
          <w:ilvl w:val="0"/>
          <w:numId w:val="89"/>
        </w:numPr>
        <w:rPr>
          <w:rFonts w:ascii="Calibri" w:hAnsi="Calibri"/>
          <w:sz w:val="20"/>
          <w:szCs w:val="20"/>
          <w:lang w:val="en-GB"/>
        </w:rPr>
      </w:pPr>
      <w:r w:rsidRPr="00456D38">
        <w:rPr>
          <w:rFonts w:ascii="Calibri" w:hAnsi="Calibri"/>
          <w:b/>
          <w:sz w:val="20"/>
          <w:szCs w:val="20"/>
          <w:lang w:val="en-GB"/>
        </w:rPr>
        <w:t>Image 19: Dangerous place #1.</w:t>
      </w:r>
      <w:r>
        <w:rPr>
          <w:rFonts w:ascii="Calibri" w:hAnsi="Calibri"/>
          <w:sz w:val="20"/>
          <w:szCs w:val="20"/>
          <w:lang w:val="en-GB"/>
        </w:rPr>
        <w:t xml:space="preserve">  </w:t>
      </w:r>
      <w:r w:rsidRPr="00456D38">
        <w:rPr>
          <w:rFonts w:ascii="Calibri" w:hAnsi="Calibri"/>
          <w:sz w:val="20"/>
          <w:szCs w:val="20"/>
          <w:lang w:val="en-GB"/>
        </w:rPr>
        <w:t xml:space="preserve">Boys are collecting metal or rags or perhaps just playing </w:t>
      </w:r>
      <w:r>
        <w:rPr>
          <w:rFonts w:ascii="Calibri" w:hAnsi="Calibri"/>
          <w:sz w:val="20"/>
          <w:szCs w:val="20"/>
          <w:lang w:val="en-GB"/>
        </w:rPr>
        <w:t xml:space="preserve">in a garbage dump </w:t>
      </w:r>
      <w:r w:rsidRPr="00456D38">
        <w:rPr>
          <w:rFonts w:ascii="Calibri" w:hAnsi="Calibri"/>
          <w:sz w:val="20"/>
          <w:szCs w:val="20"/>
          <w:lang w:val="en-GB"/>
        </w:rPr>
        <w:t>and they</w:t>
      </w:r>
      <w:r>
        <w:rPr>
          <w:rFonts w:ascii="Calibri" w:hAnsi="Calibri"/>
          <w:sz w:val="20"/>
          <w:szCs w:val="20"/>
          <w:lang w:val="en-GB"/>
        </w:rPr>
        <w:t xml:space="preserve"> find a pressure cooker bomb.  People may throw ED</w:t>
      </w:r>
      <w:r w:rsidRPr="00456D38">
        <w:rPr>
          <w:rFonts w:ascii="Calibri" w:hAnsi="Calibri"/>
          <w:sz w:val="20"/>
          <w:szCs w:val="20"/>
          <w:lang w:val="en-GB"/>
        </w:rPr>
        <w:t xml:space="preserve"> in garbage dumps to get rid of them quickly.</w:t>
      </w:r>
    </w:p>
    <w:p w:rsidR="00B454FB" w:rsidRDefault="00B454FB" w:rsidP="00B454FB">
      <w:pPr>
        <w:pStyle w:val="ColorfulList-Accent11"/>
        <w:numPr>
          <w:ilvl w:val="0"/>
          <w:numId w:val="89"/>
        </w:numPr>
        <w:rPr>
          <w:rFonts w:ascii="Calibri" w:hAnsi="Calibri"/>
          <w:sz w:val="20"/>
          <w:szCs w:val="20"/>
          <w:lang w:val="en-GB"/>
        </w:rPr>
      </w:pPr>
      <w:r>
        <w:rPr>
          <w:rFonts w:ascii="Calibri" w:hAnsi="Calibri"/>
          <w:b/>
          <w:sz w:val="20"/>
          <w:szCs w:val="20"/>
          <w:lang w:val="en-GB"/>
        </w:rPr>
        <w:t>Image 20:</w:t>
      </w:r>
      <w:r w:rsidRPr="00C6668B">
        <w:rPr>
          <w:rFonts w:ascii="Calibri" w:hAnsi="Calibri"/>
          <w:b/>
          <w:sz w:val="20"/>
          <w:szCs w:val="20"/>
          <w:lang w:val="en-GB"/>
        </w:rPr>
        <w:t xml:space="preserve"> Dangerous place #2.</w:t>
      </w:r>
      <w:r>
        <w:rPr>
          <w:rFonts w:ascii="Calibri" w:hAnsi="Calibri"/>
          <w:sz w:val="20"/>
          <w:szCs w:val="20"/>
          <w:lang w:val="en-GB"/>
        </w:rPr>
        <w:t xml:space="preserve">  </w:t>
      </w:r>
      <w:r w:rsidRPr="00C6668B">
        <w:rPr>
          <w:rFonts w:ascii="Calibri" w:hAnsi="Calibri"/>
          <w:sz w:val="20"/>
          <w:szCs w:val="20"/>
          <w:lang w:val="en-GB"/>
        </w:rPr>
        <w:t>A boy finds a socket bomb in the water</w:t>
      </w:r>
      <w:r>
        <w:rPr>
          <w:rFonts w:ascii="Calibri" w:hAnsi="Calibri"/>
          <w:sz w:val="20"/>
          <w:szCs w:val="20"/>
          <w:lang w:val="en-GB"/>
        </w:rPr>
        <w:t xml:space="preserve"> along a riverbank</w:t>
      </w:r>
      <w:r w:rsidRPr="00C6668B">
        <w:rPr>
          <w:rFonts w:ascii="Calibri" w:hAnsi="Calibri"/>
          <w:sz w:val="20"/>
          <w:szCs w:val="20"/>
          <w:lang w:val="en-GB"/>
        </w:rPr>
        <w:t xml:space="preserve">.  </w:t>
      </w:r>
      <w:r>
        <w:rPr>
          <w:rFonts w:ascii="Calibri" w:hAnsi="Calibri"/>
          <w:sz w:val="20"/>
          <w:szCs w:val="20"/>
          <w:lang w:val="en-GB"/>
        </w:rPr>
        <w:t>The ED</w:t>
      </w:r>
      <w:r w:rsidRPr="00C6668B">
        <w:rPr>
          <w:rFonts w:ascii="Calibri" w:hAnsi="Calibri"/>
          <w:sz w:val="20"/>
          <w:szCs w:val="20"/>
          <w:lang w:val="en-GB"/>
        </w:rPr>
        <w:t xml:space="preserve"> is still dangerou</w:t>
      </w:r>
      <w:r>
        <w:rPr>
          <w:rFonts w:ascii="Calibri" w:hAnsi="Calibri"/>
          <w:sz w:val="20"/>
          <w:szCs w:val="20"/>
          <w:lang w:val="en-GB"/>
        </w:rPr>
        <w:t>s; water does not neutralize ED</w:t>
      </w:r>
      <w:r w:rsidRPr="00C6668B">
        <w:rPr>
          <w:rFonts w:ascii="Calibri" w:hAnsi="Calibri"/>
          <w:sz w:val="20"/>
          <w:szCs w:val="20"/>
          <w:lang w:val="en-GB"/>
        </w:rPr>
        <w:t xml:space="preserve">.  </w:t>
      </w:r>
      <w:r>
        <w:rPr>
          <w:rFonts w:ascii="Calibri" w:hAnsi="Calibri"/>
          <w:sz w:val="20"/>
          <w:szCs w:val="20"/>
          <w:lang w:val="en-GB"/>
        </w:rPr>
        <w:t>In</w:t>
      </w:r>
      <w:r w:rsidRPr="00C6668B">
        <w:rPr>
          <w:rFonts w:ascii="Calibri" w:hAnsi="Calibri"/>
          <w:sz w:val="20"/>
          <w:szCs w:val="20"/>
          <w:lang w:val="en-GB"/>
        </w:rPr>
        <w:t xml:space="preserve"> 2005</w:t>
      </w:r>
      <w:r>
        <w:rPr>
          <w:rFonts w:ascii="Calibri" w:hAnsi="Calibri"/>
          <w:sz w:val="20"/>
          <w:szCs w:val="20"/>
          <w:lang w:val="en-GB"/>
        </w:rPr>
        <w:t xml:space="preserve">, children playing with a socket bomb found in a river were injured when the bomb exploded.  A soldier who immersed a </w:t>
      </w:r>
      <w:r w:rsidRPr="00C6668B">
        <w:rPr>
          <w:rFonts w:ascii="Calibri" w:hAnsi="Calibri"/>
          <w:sz w:val="20"/>
          <w:szCs w:val="20"/>
          <w:lang w:val="en-GB"/>
        </w:rPr>
        <w:t xml:space="preserve">pressure cooker bomb </w:t>
      </w:r>
      <w:r>
        <w:rPr>
          <w:rFonts w:ascii="Calibri" w:hAnsi="Calibri"/>
          <w:sz w:val="20"/>
          <w:szCs w:val="20"/>
          <w:lang w:val="en-GB"/>
        </w:rPr>
        <w:t>to render it safe lost an eye when the bomb exploded</w:t>
      </w:r>
      <w:r w:rsidRPr="00C6668B">
        <w:rPr>
          <w:rFonts w:ascii="Calibri" w:hAnsi="Calibri"/>
          <w:sz w:val="20"/>
          <w:szCs w:val="20"/>
          <w:lang w:val="en-GB"/>
        </w:rPr>
        <w:t>.</w:t>
      </w:r>
    </w:p>
    <w:p w:rsidR="00B454FB" w:rsidRPr="00B37595" w:rsidRDefault="00B454FB" w:rsidP="00B454FB">
      <w:pPr>
        <w:pStyle w:val="ColorfulList-Accent11"/>
        <w:numPr>
          <w:ilvl w:val="0"/>
          <w:numId w:val="89"/>
        </w:numPr>
        <w:rPr>
          <w:rFonts w:ascii="Calibri" w:hAnsi="Calibri"/>
          <w:sz w:val="20"/>
          <w:szCs w:val="20"/>
          <w:lang w:val="en-GB"/>
        </w:rPr>
      </w:pPr>
      <w:r>
        <w:rPr>
          <w:rFonts w:ascii="Calibri" w:hAnsi="Calibri"/>
          <w:b/>
          <w:sz w:val="20"/>
          <w:szCs w:val="20"/>
          <w:lang w:val="en-GB"/>
        </w:rPr>
        <w:t>Image 21</w:t>
      </w:r>
      <w:r w:rsidRPr="00C6668B">
        <w:rPr>
          <w:rFonts w:ascii="Calibri" w:hAnsi="Calibri"/>
          <w:b/>
          <w:sz w:val="20"/>
          <w:szCs w:val="20"/>
          <w:lang w:val="en-GB"/>
        </w:rPr>
        <w:t>:</w:t>
      </w:r>
      <w:r w:rsidRPr="00C6668B">
        <w:rPr>
          <w:rFonts w:ascii="Calibri" w:hAnsi="Calibri"/>
          <w:b/>
          <w:bCs/>
          <w:sz w:val="20"/>
          <w:szCs w:val="20"/>
          <w:lang w:val="en-GB"/>
        </w:rPr>
        <w:t xml:space="preserve"> Dangerous place #3.</w:t>
      </w:r>
      <w:r>
        <w:rPr>
          <w:rFonts w:ascii="Calibri" w:hAnsi="Calibri"/>
          <w:bCs/>
          <w:sz w:val="20"/>
          <w:szCs w:val="20"/>
          <w:lang w:val="en-GB"/>
        </w:rPr>
        <w:t xml:space="preserve">  </w:t>
      </w:r>
      <w:r w:rsidRPr="00C6668B">
        <w:rPr>
          <w:rFonts w:ascii="Calibri" w:hAnsi="Calibri"/>
          <w:bCs/>
          <w:sz w:val="20"/>
          <w:szCs w:val="20"/>
          <w:lang w:val="en-GB"/>
        </w:rPr>
        <w:t xml:space="preserve">A woman is cutting grass near a </w:t>
      </w:r>
      <w:r>
        <w:rPr>
          <w:rFonts w:ascii="Calibri" w:hAnsi="Calibri"/>
          <w:bCs/>
          <w:sz w:val="20"/>
          <w:szCs w:val="20"/>
          <w:lang w:val="en-GB"/>
        </w:rPr>
        <w:t>restricted NA position</w:t>
      </w:r>
      <w:r w:rsidRPr="00C6668B">
        <w:rPr>
          <w:rFonts w:ascii="Calibri" w:hAnsi="Calibri"/>
          <w:bCs/>
          <w:sz w:val="20"/>
          <w:szCs w:val="20"/>
          <w:lang w:val="en-GB"/>
        </w:rPr>
        <w:t xml:space="preserve"> because the grass around </w:t>
      </w:r>
      <w:r>
        <w:rPr>
          <w:rFonts w:ascii="Calibri" w:hAnsi="Calibri"/>
          <w:bCs/>
          <w:sz w:val="20"/>
          <w:szCs w:val="20"/>
          <w:lang w:val="en-GB"/>
        </w:rPr>
        <w:t>the position</w:t>
      </w:r>
      <w:r w:rsidRPr="00C6668B">
        <w:rPr>
          <w:rFonts w:ascii="Calibri" w:hAnsi="Calibri"/>
          <w:bCs/>
          <w:sz w:val="20"/>
          <w:szCs w:val="20"/>
          <w:lang w:val="en-GB"/>
        </w:rPr>
        <w:t xml:space="preserve"> is taller and untouched.  Many </w:t>
      </w:r>
      <w:r>
        <w:rPr>
          <w:rFonts w:ascii="Calibri" w:hAnsi="Calibri"/>
          <w:bCs/>
          <w:sz w:val="20"/>
          <w:szCs w:val="20"/>
          <w:lang w:val="en-GB"/>
        </w:rPr>
        <w:t>government security forces positions are surrounded by ED</w:t>
      </w:r>
      <w:r w:rsidRPr="00C6668B">
        <w:rPr>
          <w:rFonts w:ascii="Calibri" w:hAnsi="Calibri"/>
          <w:bCs/>
          <w:sz w:val="20"/>
          <w:szCs w:val="20"/>
          <w:lang w:val="en-GB"/>
        </w:rPr>
        <w:t xml:space="preserve"> to protect against attacks.  Do not ever remov</w:t>
      </w:r>
      <w:r>
        <w:rPr>
          <w:rFonts w:ascii="Calibri" w:hAnsi="Calibri"/>
          <w:bCs/>
          <w:sz w:val="20"/>
          <w:szCs w:val="20"/>
          <w:lang w:val="en-GB"/>
        </w:rPr>
        <w:t>e a hazard sign;</w:t>
      </w:r>
      <w:r w:rsidRPr="00C6668B">
        <w:rPr>
          <w:rFonts w:ascii="Calibri" w:hAnsi="Calibri"/>
          <w:bCs/>
          <w:sz w:val="20"/>
          <w:szCs w:val="20"/>
          <w:lang w:val="en-GB"/>
        </w:rPr>
        <w:t xml:space="preserve"> it is dangerous to get close enough to take it, and </w:t>
      </w:r>
      <w:r>
        <w:rPr>
          <w:rFonts w:ascii="Calibri" w:hAnsi="Calibri"/>
          <w:bCs/>
          <w:sz w:val="20"/>
          <w:szCs w:val="20"/>
          <w:lang w:val="en-GB"/>
        </w:rPr>
        <w:t>removal of a sign</w:t>
      </w:r>
      <w:r w:rsidRPr="00C6668B">
        <w:rPr>
          <w:rFonts w:ascii="Calibri" w:hAnsi="Calibri"/>
          <w:bCs/>
          <w:sz w:val="20"/>
          <w:szCs w:val="20"/>
          <w:lang w:val="en-GB"/>
        </w:rPr>
        <w:t xml:space="preserve"> may lead </w:t>
      </w:r>
      <w:r>
        <w:rPr>
          <w:rFonts w:ascii="Calibri" w:hAnsi="Calibri"/>
          <w:bCs/>
          <w:sz w:val="20"/>
          <w:szCs w:val="20"/>
          <w:lang w:val="en-GB"/>
        </w:rPr>
        <w:t>to injuries among others</w:t>
      </w:r>
      <w:r w:rsidRPr="00C6668B">
        <w:rPr>
          <w:rFonts w:ascii="Calibri" w:hAnsi="Calibri"/>
          <w:bCs/>
          <w:sz w:val="20"/>
          <w:szCs w:val="20"/>
          <w:lang w:val="en-GB"/>
        </w:rPr>
        <w:t xml:space="preserve">.  </w:t>
      </w:r>
      <w:r>
        <w:rPr>
          <w:rFonts w:ascii="Calibri" w:hAnsi="Calibri"/>
          <w:bCs/>
          <w:sz w:val="20"/>
          <w:szCs w:val="20"/>
          <w:lang w:val="en-GB"/>
        </w:rPr>
        <w:t xml:space="preserve">Treat </w:t>
      </w:r>
      <w:r w:rsidRPr="00C6668B">
        <w:rPr>
          <w:rFonts w:ascii="Calibri" w:hAnsi="Calibri"/>
          <w:bCs/>
          <w:sz w:val="20"/>
          <w:szCs w:val="20"/>
          <w:lang w:val="en-GB"/>
        </w:rPr>
        <w:t xml:space="preserve">fences and barbed wire as </w:t>
      </w:r>
      <w:r>
        <w:rPr>
          <w:rFonts w:ascii="Calibri" w:hAnsi="Calibri"/>
          <w:bCs/>
          <w:sz w:val="20"/>
          <w:szCs w:val="20"/>
          <w:lang w:val="en-GB"/>
        </w:rPr>
        <w:t xml:space="preserve">though they are </w:t>
      </w:r>
      <w:r w:rsidRPr="00C6668B">
        <w:rPr>
          <w:rFonts w:ascii="Calibri" w:hAnsi="Calibri"/>
          <w:bCs/>
          <w:sz w:val="20"/>
          <w:szCs w:val="20"/>
          <w:lang w:val="en-GB"/>
        </w:rPr>
        <w:t>warning signs</w:t>
      </w:r>
      <w:r>
        <w:rPr>
          <w:rFonts w:ascii="Calibri" w:hAnsi="Calibri"/>
          <w:bCs/>
          <w:sz w:val="20"/>
          <w:szCs w:val="20"/>
          <w:lang w:val="en-GB"/>
        </w:rPr>
        <w:t xml:space="preserve">; </w:t>
      </w:r>
      <w:r w:rsidRPr="00C6668B">
        <w:rPr>
          <w:rFonts w:ascii="Calibri" w:hAnsi="Calibri"/>
          <w:bCs/>
          <w:sz w:val="20"/>
          <w:szCs w:val="20"/>
          <w:lang w:val="en-GB"/>
        </w:rPr>
        <w:t xml:space="preserve">do not approach them even if a sign is not </w:t>
      </w:r>
      <w:r>
        <w:rPr>
          <w:rFonts w:ascii="Calibri" w:hAnsi="Calibri"/>
          <w:bCs/>
          <w:sz w:val="20"/>
          <w:szCs w:val="20"/>
          <w:lang w:val="en-GB"/>
        </w:rPr>
        <w:t xml:space="preserve">posted </w:t>
      </w:r>
      <w:r w:rsidRPr="00C6668B">
        <w:rPr>
          <w:rFonts w:ascii="Calibri" w:hAnsi="Calibri"/>
          <w:bCs/>
          <w:sz w:val="20"/>
          <w:szCs w:val="20"/>
          <w:lang w:val="en-GB"/>
        </w:rPr>
        <w:t xml:space="preserve">on them.  Do not </w:t>
      </w:r>
      <w:r>
        <w:rPr>
          <w:rFonts w:ascii="Calibri" w:hAnsi="Calibri"/>
          <w:bCs/>
          <w:sz w:val="20"/>
          <w:szCs w:val="20"/>
          <w:lang w:val="en-GB"/>
        </w:rPr>
        <w:t xml:space="preserve">approach or </w:t>
      </w:r>
      <w:r w:rsidRPr="00C6668B">
        <w:rPr>
          <w:rFonts w:ascii="Calibri" w:hAnsi="Calibri"/>
          <w:bCs/>
          <w:sz w:val="20"/>
          <w:szCs w:val="20"/>
          <w:lang w:val="en-GB"/>
        </w:rPr>
        <w:t xml:space="preserve">enter </w:t>
      </w:r>
      <w:r>
        <w:rPr>
          <w:rFonts w:ascii="Calibri" w:hAnsi="Calibri"/>
          <w:bCs/>
          <w:sz w:val="20"/>
          <w:szCs w:val="20"/>
          <w:lang w:val="en-GB"/>
        </w:rPr>
        <w:t>government security forces</w:t>
      </w:r>
      <w:r w:rsidRPr="00C6668B">
        <w:rPr>
          <w:rFonts w:ascii="Calibri" w:hAnsi="Calibri"/>
          <w:bCs/>
          <w:sz w:val="20"/>
          <w:szCs w:val="20"/>
          <w:lang w:val="en-GB"/>
        </w:rPr>
        <w:t xml:space="preserve"> positions, touch fences, stick your hand through a fence</w:t>
      </w:r>
      <w:r>
        <w:rPr>
          <w:rFonts w:ascii="Calibri" w:hAnsi="Calibri"/>
          <w:bCs/>
          <w:sz w:val="20"/>
          <w:szCs w:val="20"/>
          <w:lang w:val="en-GB"/>
        </w:rPr>
        <w:t>, or</w:t>
      </w:r>
      <w:r w:rsidRPr="00C6668B">
        <w:rPr>
          <w:rFonts w:ascii="Calibri" w:hAnsi="Calibri"/>
          <w:bCs/>
          <w:sz w:val="20"/>
          <w:szCs w:val="20"/>
          <w:lang w:val="en-GB"/>
        </w:rPr>
        <w:t xml:space="preserve"> herd animals close to a fence.  </w:t>
      </w:r>
      <w:r>
        <w:rPr>
          <w:rFonts w:ascii="Calibri" w:hAnsi="Calibri"/>
          <w:bCs/>
          <w:sz w:val="20"/>
          <w:szCs w:val="20"/>
          <w:lang w:val="en-GB"/>
        </w:rPr>
        <w:t>In</w:t>
      </w:r>
      <w:r w:rsidRPr="00C6668B">
        <w:rPr>
          <w:rFonts w:ascii="Calibri" w:hAnsi="Calibri"/>
          <w:bCs/>
          <w:sz w:val="20"/>
          <w:szCs w:val="20"/>
          <w:lang w:val="en-GB"/>
        </w:rPr>
        <w:t xml:space="preserve"> 2005</w:t>
      </w:r>
      <w:r>
        <w:rPr>
          <w:rFonts w:ascii="Calibri" w:hAnsi="Calibri"/>
          <w:bCs/>
          <w:sz w:val="20"/>
          <w:szCs w:val="20"/>
          <w:lang w:val="en-GB"/>
        </w:rPr>
        <w:t>,</w:t>
      </w:r>
      <w:r w:rsidRPr="00C6668B">
        <w:rPr>
          <w:rFonts w:ascii="Calibri" w:hAnsi="Calibri"/>
          <w:bCs/>
          <w:sz w:val="20"/>
          <w:szCs w:val="20"/>
          <w:lang w:val="en-GB"/>
        </w:rPr>
        <w:t xml:space="preserve"> </w:t>
      </w:r>
      <w:r>
        <w:rPr>
          <w:rFonts w:ascii="Calibri" w:hAnsi="Calibri"/>
          <w:bCs/>
          <w:sz w:val="20"/>
          <w:szCs w:val="20"/>
          <w:lang w:val="en-GB"/>
        </w:rPr>
        <w:t xml:space="preserve">a </w:t>
      </w:r>
      <w:r w:rsidRPr="00C6668B">
        <w:rPr>
          <w:rFonts w:ascii="Calibri" w:hAnsi="Calibri"/>
          <w:bCs/>
          <w:sz w:val="20"/>
          <w:szCs w:val="20"/>
          <w:lang w:val="en-GB"/>
        </w:rPr>
        <w:t>women cut</w:t>
      </w:r>
      <w:r>
        <w:rPr>
          <w:rFonts w:ascii="Calibri" w:hAnsi="Calibri"/>
          <w:bCs/>
          <w:sz w:val="20"/>
          <w:szCs w:val="20"/>
          <w:lang w:val="en-GB"/>
        </w:rPr>
        <w:t>ting</w:t>
      </w:r>
      <w:r w:rsidRPr="00C6668B">
        <w:rPr>
          <w:rFonts w:ascii="Calibri" w:hAnsi="Calibri"/>
          <w:bCs/>
          <w:sz w:val="20"/>
          <w:szCs w:val="20"/>
          <w:lang w:val="en-GB"/>
        </w:rPr>
        <w:t xml:space="preserve"> grass on </w:t>
      </w:r>
      <w:r>
        <w:rPr>
          <w:rFonts w:ascii="Calibri" w:hAnsi="Calibri"/>
          <w:bCs/>
          <w:sz w:val="20"/>
          <w:szCs w:val="20"/>
          <w:lang w:val="en-GB"/>
        </w:rPr>
        <w:t>her</w:t>
      </w:r>
      <w:r w:rsidRPr="00C6668B">
        <w:rPr>
          <w:rFonts w:ascii="Calibri" w:hAnsi="Calibri"/>
          <w:bCs/>
          <w:sz w:val="20"/>
          <w:szCs w:val="20"/>
          <w:lang w:val="en-GB"/>
        </w:rPr>
        <w:t xml:space="preserve"> way home put her hand through </w:t>
      </w:r>
      <w:r>
        <w:rPr>
          <w:rFonts w:ascii="Calibri" w:hAnsi="Calibri"/>
          <w:bCs/>
          <w:sz w:val="20"/>
          <w:szCs w:val="20"/>
          <w:lang w:val="en-GB"/>
        </w:rPr>
        <w:t>a fence, detonated a landmine</w:t>
      </w:r>
      <w:r w:rsidRPr="00C6668B">
        <w:rPr>
          <w:rFonts w:ascii="Calibri" w:hAnsi="Calibri"/>
          <w:bCs/>
          <w:sz w:val="20"/>
          <w:szCs w:val="20"/>
          <w:lang w:val="en-GB"/>
        </w:rPr>
        <w:t xml:space="preserve"> and was severely injured.</w:t>
      </w:r>
    </w:p>
    <w:p w:rsidR="00B454FB" w:rsidRDefault="00B454FB" w:rsidP="00B454FB">
      <w:pPr>
        <w:pStyle w:val="ColorfulList-Accent11"/>
        <w:numPr>
          <w:ilvl w:val="0"/>
          <w:numId w:val="89"/>
        </w:numPr>
        <w:rPr>
          <w:rFonts w:ascii="Calibri" w:hAnsi="Calibri"/>
          <w:sz w:val="20"/>
          <w:szCs w:val="20"/>
          <w:lang w:val="en-GB"/>
        </w:rPr>
      </w:pPr>
      <w:r>
        <w:rPr>
          <w:rFonts w:ascii="Calibri" w:hAnsi="Calibri"/>
          <w:b/>
          <w:sz w:val="20"/>
          <w:szCs w:val="20"/>
          <w:lang w:val="en-GB"/>
        </w:rPr>
        <w:t xml:space="preserve">Images 22-24.  </w:t>
      </w:r>
      <w:r>
        <w:rPr>
          <w:rFonts w:ascii="Calibri" w:hAnsi="Calibri"/>
          <w:sz w:val="20"/>
          <w:szCs w:val="20"/>
          <w:lang w:val="en-GB"/>
        </w:rPr>
        <w:t>An unattended bag has been left at a bus station.</w:t>
      </w:r>
      <w:r w:rsidRPr="00F727E1">
        <w:rPr>
          <w:rFonts w:ascii="Calibri" w:hAnsi="Calibri"/>
          <w:sz w:val="20"/>
          <w:szCs w:val="20"/>
          <w:lang w:val="en-GB"/>
        </w:rPr>
        <w:t xml:space="preserve"> </w:t>
      </w:r>
      <w:r>
        <w:rPr>
          <w:rFonts w:ascii="Calibri" w:hAnsi="Calibri"/>
          <w:sz w:val="20"/>
          <w:szCs w:val="20"/>
          <w:lang w:val="en-GB"/>
        </w:rPr>
        <w:t xml:space="preserve"> </w:t>
      </w:r>
      <w:r w:rsidRPr="00F727E1">
        <w:rPr>
          <w:rFonts w:ascii="Calibri" w:hAnsi="Calibri"/>
          <w:sz w:val="20"/>
          <w:szCs w:val="20"/>
          <w:lang w:val="en-GB"/>
        </w:rPr>
        <w:t xml:space="preserve">The bag in the picture </w:t>
      </w:r>
      <w:r>
        <w:rPr>
          <w:rFonts w:ascii="Calibri" w:hAnsi="Calibri"/>
          <w:sz w:val="20"/>
          <w:szCs w:val="20"/>
          <w:lang w:val="en-GB"/>
        </w:rPr>
        <w:t>contain</w:t>
      </w:r>
      <w:r w:rsidRPr="00F727E1">
        <w:rPr>
          <w:rFonts w:ascii="Calibri" w:hAnsi="Calibri"/>
          <w:sz w:val="20"/>
          <w:szCs w:val="20"/>
          <w:lang w:val="en-GB"/>
        </w:rPr>
        <w:t>s v</w:t>
      </w:r>
      <w:r>
        <w:rPr>
          <w:rFonts w:ascii="Calibri" w:hAnsi="Calibri"/>
          <w:sz w:val="20"/>
          <w:szCs w:val="20"/>
          <w:lang w:val="en-GB"/>
        </w:rPr>
        <w:t>isible metallic parts and wires</w:t>
      </w:r>
      <w:r w:rsidRPr="00F727E1">
        <w:rPr>
          <w:rFonts w:ascii="Calibri" w:hAnsi="Calibri"/>
          <w:sz w:val="20"/>
          <w:szCs w:val="20"/>
          <w:lang w:val="en-GB"/>
        </w:rPr>
        <w:t xml:space="preserve"> but</w:t>
      </w:r>
      <w:r>
        <w:rPr>
          <w:rFonts w:ascii="Calibri" w:hAnsi="Calibri"/>
          <w:sz w:val="20"/>
          <w:szCs w:val="20"/>
          <w:lang w:val="en-GB"/>
        </w:rPr>
        <w:t xml:space="preserve"> the text explains that these parts are not visible</w:t>
      </w:r>
      <w:r w:rsidRPr="00F727E1">
        <w:rPr>
          <w:rFonts w:ascii="Calibri" w:hAnsi="Calibri"/>
          <w:sz w:val="20"/>
          <w:szCs w:val="20"/>
          <w:lang w:val="en-GB"/>
        </w:rPr>
        <w:t xml:space="preserve"> most of the time.  One boy sees </w:t>
      </w:r>
      <w:r>
        <w:rPr>
          <w:rFonts w:ascii="Calibri" w:hAnsi="Calibri"/>
          <w:sz w:val="20"/>
          <w:szCs w:val="20"/>
          <w:lang w:val="en-GB"/>
        </w:rPr>
        <w:t>the bag</w:t>
      </w:r>
      <w:r w:rsidRPr="00F727E1">
        <w:rPr>
          <w:rFonts w:ascii="Calibri" w:hAnsi="Calibri"/>
          <w:sz w:val="20"/>
          <w:szCs w:val="20"/>
          <w:lang w:val="en-GB"/>
        </w:rPr>
        <w:t xml:space="preserve"> and wants to touch it, but another boy holds him back.  The two boys and an adult tell a police officer about </w:t>
      </w:r>
      <w:r>
        <w:rPr>
          <w:rFonts w:ascii="Calibri" w:hAnsi="Calibri"/>
          <w:sz w:val="20"/>
          <w:szCs w:val="20"/>
          <w:lang w:val="en-GB"/>
        </w:rPr>
        <w:t>the bag</w:t>
      </w:r>
      <w:r w:rsidRPr="00F727E1">
        <w:rPr>
          <w:rFonts w:ascii="Calibri" w:hAnsi="Calibri"/>
          <w:sz w:val="20"/>
          <w:szCs w:val="20"/>
          <w:lang w:val="en-GB"/>
        </w:rPr>
        <w:t xml:space="preserve">.  The police officer marks the area with red paint to warn people about the danger and tells an EOD team about the </w:t>
      </w:r>
      <w:r>
        <w:rPr>
          <w:rFonts w:ascii="Calibri" w:hAnsi="Calibri"/>
          <w:sz w:val="20"/>
          <w:szCs w:val="20"/>
          <w:lang w:val="en-GB"/>
        </w:rPr>
        <w:t>bag</w:t>
      </w:r>
      <w:r w:rsidRPr="00F727E1">
        <w:rPr>
          <w:rFonts w:ascii="Calibri" w:hAnsi="Calibri"/>
          <w:sz w:val="20"/>
          <w:szCs w:val="20"/>
          <w:lang w:val="en-GB"/>
        </w:rPr>
        <w:t xml:space="preserve">.  The </w:t>
      </w:r>
      <w:r w:rsidRPr="00F727E1">
        <w:rPr>
          <w:rFonts w:ascii="Calibri" w:hAnsi="Calibri"/>
          <w:sz w:val="20"/>
          <w:szCs w:val="20"/>
        </w:rPr>
        <w:t xml:space="preserve">police officer tells village people to stay at a safe distance while </w:t>
      </w:r>
      <w:r>
        <w:rPr>
          <w:rFonts w:ascii="Calibri" w:hAnsi="Calibri"/>
          <w:sz w:val="20"/>
          <w:szCs w:val="20"/>
        </w:rPr>
        <w:t xml:space="preserve">the </w:t>
      </w:r>
      <w:r w:rsidRPr="00F727E1">
        <w:rPr>
          <w:rFonts w:ascii="Calibri" w:hAnsi="Calibri"/>
          <w:sz w:val="20"/>
          <w:szCs w:val="20"/>
        </w:rPr>
        <w:t xml:space="preserve">EOD team is </w:t>
      </w:r>
      <w:r>
        <w:rPr>
          <w:rFonts w:ascii="Calibri" w:hAnsi="Calibri"/>
          <w:sz w:val="20"/>
          <w:szCs w:val="20"/>
        </w:rPr>
        <w:t>detonating</w:t>
      </w:r>
      <w:r w:rsidRPr="00F727E1">
        <w:rPr>
          <w:rFonts w:ascii="Calibri" w:hAnsi="Calibri"/>
          <w:sz w:val="20"/>
          <w:szCs w:val="20"/>
        </w:rPr>
        <w:t xml:space="preserve"> </w:t>
      </w:r>
      <w:r>
        <w:rPr>
          <w:rFonts w:ascii="Calibri" w:hAnsi="Calibri"/>
          <w:sz w:val="20"/>
          <w:szCs w:val="20"/>
        </w:rPr>
        <w:t>the ED</w:t>
      </w:r>
      <w:r w:rsidRPr="00F727E1">
        <w:rPr>
          <w:rFonts w:ascii="Calibri" w:hAnsi="Calibri"/>
          <w:sz w:val="20"/>
          <w:szCs w:val="20"/>
        </w:rPr>
        <w:t xml:space="preserve"> safely.</w:t>
      </w:r>
      <w:r w:rsidRPr="00F727E1">
        <w:rPr>
          <w:rFonts w:ascii="Calibri" w:hAnsi="Calibri"/>
          <w:sz w:val="20"/>
          <w:szCs w:val="20"/>
          <w:lang w:val="en-GB"/>
        </w:rPr>
        <w:t xml:space="preserve">  </w:t>
      </w:r>
      <w:r>
        <w:rPr>
          <w:rFonts w:ascii="Calibri" w:hAnsi="Calibri"/>
          <w:sz w:val="20"/>
          <w:szCs w:val="20"/>
          <w:lang w:val="en-GB"/>
        </w:rPr>
        <w:t>The text explains the following:</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Do not ever touch a bag that does</w:t>
      </w:r>
      <w:r>
        <w:rPr>
          <w:rFonts w:ascii="Calibri" w:hAnsi="Calibri"/>
          <w:sz w:val="20"/>
          <w:szCs w:val="20"/>
          <w:lang w:val="en-GB"/>
        </w:rPr>
        <w:t xml:space="preserve"> </w:t>
      </w:r>
      <w:r w:rsidRPr="00F727E1">
        <w:rPr>
          <w:rFonts w:ascii="Calibri" w:hAnsi="Calibri"/>
          <w:sz w:val="20"/>
          <w:szCs w:val="20"/>
          <w:lang w:val="en-GB"/>
        </w:rPr>
        <w:t>n</w:t>
      </w:r>
      <w:r>
        <w:rPr>
          <w:rFonts w:ascii="Calibri" w:hAnsi="Calibri"/>
          <w:sz w:val="20"/>
          <w:szCs w:val="20"/>
          <w:lang w:val="en-GB"/>
        </w:rPr>
        <w:t>o</w:t>
      </w:r>
      <w:r w:rsidRPr="00F727E1">
        <w:rPr>
          <w:rFonts w:ascii="Calibri" w:hAnsi="Calibri"/>
          <w:sz w:val="20"/>
          <w:szCs w:val="20"/>
          <w:lang w:val="en-GB"/>
        </w:rPr>
        <w:t>t belong to you</w:t>
      </w:r>
      <w:r>
        <w:rPr>
          <w:rFonts w:ascii="Calibri" w:hAnsi="Calibri"/>
          <w:sz w:val="20"/>
          <w:szCs w:val="20"/>
          <w:lang w:val="en-GB"/>
        </w:rPr>
        <w:t>;</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Not all bags are dangerous, but you should stay away from all unattended bags unless you know that they are safe</w:t>
      </w:r>
      <w:r>
        <w:rPr>
          <w:rFonts w:ascii="Calibri" w:hAnsi="Calibri"/>
          <w:sz w:val="20"/>
          <w:szCs w:val="20"/>
          <w:lang w:val="en-GB"/>
        </w:rPr>
        <w:t>; and</w:t>
      </w:r>
    </w:p>
    <w:p w:rsidR="00B454FB" w:rsidRDefault="00B454FB" w:rsidP="00B454FB">
      <w:pPr>
        <w:pStyle w:val="ColorfulList-Accent11"/>
        <w:numPr>
          <w:ilvl w:val="1"/>
          <w:numId w:val="89"/>
        </w:numPr>
        <w:rPr>
          <w:rFonts w:ascii="Calibri" w:hAnsi="Calibri"/>
          <w:sz w:val="20"/>
          <w:szCs w:val="20"/>
          <w:lang w:val="en-GB"/>
        </w:rPr>
      </w:pPr>
      <w:r w:rsidRPr="00F727E1">
        <w:rPr>
          <w:rFonts w:ascii="Calibri" w:hAnsi="Calibri"/>
          <w:sz w:val="20"/>
          <w:szCs w:val="20"/>
          <w:lang w:val="en-GB"/>
        </w:rPr>
        <w:t xml:space="preserve">If you see unknown people leaving a bag or another object unattended and going away without their belongings, you should stay away from </w:t>
      </w:r>
      <w:r>
        <w:rPr>
          <w:rFonts w:ascii="Calibri" w:hAnsi="Calibri"/>
          <w:sz w:val="20"/>
          <w:szCs w:val="20"/>
          <w:lang w:val="en-GB"/>
        </w:rPr>
        <w:t>it</w:t>
      </w:r>
      <w:r w:rsidRPr="00F727E1">
        <w:rPr>
          <w:rFonts w:ascii="Calibri" w:hAnsi="Calibri"/>
          <w:sz w:val="20"/>
          <w:szCs w:val="20"/>
          <w:lang w:val="en-GB"/>
        </w:rPr>
        <w:t xml:space="preserve"> and inform the police about the suspected ba</w:t>
      </w:r>
      <w:r>
        <w:rPr>
          <w:rFonts w:ascii="Calibri" w:hAnsi="Calibri"/>
          <w:sz w:val="20"/>
          <w:szCs w:val="20"/>
          <w:lang w:val="en-GB"/>
        </w:rPr>
        <w:t>g or object as soon as possible.</w:t>
      </w:r>
    </w:p>
    <w:p w:rsidR="00B454FB" w:rsidRDefault="00B454FB" w:rsidP="00B454FB">
      <w:pPr>
        <w:pStyle w:val="ColorfulList-Accent11"/>
        <w:numPr>
          <w:ilvl w:val="0"/>
          <w:numId w:val="89"/>
        </w:numPr>
        <w:rPr>
          <w:rFonts w:ascii="Calibri" w:hAnsi="Calibri"/>
          <w:sz w:val="20"/>
          <w:szCs w:val="20"/>
          <w:lang w:val="en-GB"/>
        </w:rPr>
      </w:pPr>
      <w:r w:rsidRPr="00160EEC">
        <w:rPr>
          <w:rFonts w:ascii="Calibri" w:hAnsi="Calibri"/>
          <w:b/>
          <w:sz w:val="20"/>
          <w:szCs w:val="20"/>
          <w:lang w:val="en-GB"/>
        </w:rPr>
        <w:t xml:space="preserve">Image 25.  </w:t>
      </w:r>
      <w:r w:rsidRPr="00160EEC">
        <w:rPr>
          <w:rFonts w:ascii="Calibri" w:hAnsi="Calibri"/>
          <w:sz w:val="20"/>
          <w:szCs w:val="20"/>
          <w:lang w:val="en-GB"/>
        </w:rPr>
        <w:t>The risk of encountering an ED is extremely low</w:t>
      </w:r>
      <w:r>
        <w:rPr>
          <w:rFonts w:ascii="Calibri" w:hAnsi="Calibri"/>
          <w:sz w:val="20"/>
          <w:szCs w:val="20"/>
          <w:lang w:val="en-GB"/>
        </w:rPr>
        <w:t xml:space="preserve"> but </w:t>
      </w:r>
      <w:r w:rsidRPr="00160EEC">
        <w:rPr>
          <w:rFonts w:ascii="Calibri" w:hAnsi="Calibri"/>
          <w:sz w:val="20"/>
          <w:szCs w:val="20"/>
          <w:lang w:val="en-GB"/>
        </w:rPr>
        <w:t xml:space="preserve">it is still important to be vigilant </w:t>
      </w:r>
      <w:r>
        <w:rPr>
          <w:rFonts w:ascii="Calibri" w:hAnsi="Calibri"/>
          <w:sz w:val="20"/>
          <w:szCs w:val="20"/>
          <w:lang w:val="en-GB"/>
        </w:rPr>
        <w:t>while</w:t>
      </w:r>
      <w:r w:rsidRPr="00160EEC">
        <w:rPr>
          <w:rFonts w:ascii="Calibri" w:hAnsi="Calibri"/>
          <w:sz w:val="20"/>
          <w:szCs w:val="20"/>
          <w:lang w:val="en-GB"/>
        </w:rPr>
        <w:t xml:space="preserve"> playing, walking, cutting grass, herding, or doing other activities.  In this </w:t>
      </w:r>
      <w:r>
        <w:rPr>
          <w:rFonts w:ascii="Calibri" w:hAnsi="Calibri"/>
          <w:sz w:val="20"/>
          <w:szCs w:val="20"/>
          <w:lang w:val="en-GB"/>
        </w:rPr>
        <w:t>image</w:t>
      </w:r>
      <w:r w:rsidRPr="00160EEC">
        <w:rPr>
          <w:rFonts w:ascii="Calibri" w:hAnsi="Calibri"/>
          <w:sz w:val="20"/>
          <w:szCs w:val="20"/>
          <w:lang w:val="en-GB"/>
        </w:rPr>
        <w:t>, children are telling people in their communities about the MRE messages they have learned.</w:t>
      </w:r>
    </w:p>
    <w:p w:rsidR="00B454FB" w:rsidRPr="00160EEC" w:rsidRDefault="00B454FB" w:rsidP="00B454FB">
      <w:pPr>
        <w:pStyle w:val="ColorfulList-Accent11"/>
        <w:numPr>
          <w:ilvl w:val="0"/>
          <w:numId w:val="89"/>
        </w:numPr>
        <w:rPr>
          <w:rFonts w:ascii="Calibri" w:hAnsi="Calibri"/>
          <w:sz w:val="20"/>
          <w:szCs w:val="20"/>
          <w:lang w:val="en-GB"/>
        </w:rPr>
      </w:pPr>
      <w:r>
        <w:rPr>
          <w:rFonts w:ascii="Calibri" w:hAnsi="Calibri"/>
          <w:b/>
          <w:bCs/>
          <w:sz w:val="20"/>
          <w:szCs w:val="20"/>
          <w:lang w:val="en-GB"/>
        </w:rPr>
        <w:t xml:space="preserve">Image 26.  </w:t>
      </w:r>
      <w:r w:rsidRPr="00160EEC">
        <w:rPr>
          <w:rFonts w:ascii="Calibri" w:hAnsi="Calibri"/>
          <w:bCs/>
          <w:sz w:val="20"/>
          <w:szCs w:val="20"/>
          <w:lang w:val="en-GB"/>
        </w:rPr>
        <w:t xml:space="preserve">Pass on </w:t>
      </w:r>
      <w:r>
        <w:rPr>
          <w:rFonts w:ascii="Calibri" w:hAnsi="Calibri"/>
          <w:bCs/>
          <w:sz w:val="20"/>
          <w:szCs w:val="20"/>
          <w:lang w:val="en-GB"/>
        </w:rPr>
        <w:t xml:space="preserve">MRE messages you have learned.  </w:t>
      </w:r>
      <w:r w:rsidRPr="00160EEC">
        <w:rPr>
          <w:rFonts w:ascii="Calibri" w:hAnsi="Calibri"/>
          <w:bCs/>
          <w:sz w:val="20"/>
          <w:szCs w:val="20"/>
          <w:lang w:val="en-GB"/>
        </w:rPr>
        <w:t>Now that you know how to minimize the risk of explosions, you should pass safety messages along to your family and friends</w:t>
      </w:r>
      <w:r>
        <w:rPr>
          <w:rFonts w:ascii="Calibri" w:hAnsi="Calibri"/>
          <w:bCs/>
          <w:sz w:val="20"/>
          <w:szCs w:val="20"/>
          <w:lang w:val="en-GB"/>
        </w:rPr>
        <w:t xml:space="preserve">; you can use </w:t>
      </w:r>
      <w:r w:rsidRPr="00160EEC">
        <w:rPr>
          <w:rFonts w:ascii="Calibri" w:hAnsi="Calibri"/>
          <w:bCs/>
          <w:sz w:val="20"/>
          <w:szCs w:val="20"/>
          <w:lang w:val="en-GB"/>
        </w:rPr>
        <w:t>the leaflet you receive today to do so.</w:t>
      </w:r>
    </w:p>
    <w:p w:rsidR="00B454FB" w:rsidRPr="00AE6F45" w:rsidRDefault="00B454FB" w:rsidP="00B454FB"/>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B.1.g  </w:t>
      </w:r>
      <w:r w:rsidRPr="00D61C8A">
        <w:rPr>
          <w:rFonts w:ascii="Calibri" w:hAnsi="Calibri"/>
          <w:sz w:val="20"/>
          <w:szCs w:val="20"/>
        </w:rPr>
        <w:t>Ban Landmines Campaign Nepal MRE leaflet</w:t>
      </w:r>
      <w:r>
        <w:rPr>
          <w:rFonts w:ascii="Calibri" w:hAnsi="Calibri"/>
          <w:sz w:val="20"/>
          <w:szCs w:val="20"/>
        </w:rPr>
        <w:t xml:space="preserve"> </w:t>
      </w:r>
    </w:p>
    <w:p w:rsidR="00B454FB" w:rsidRDefault="00B454FB" w:rsidP="00B454FB">
      <w:pPr>
        <w:pStyle w:val="Heading3"/>
        <w:numPr>
          <w:ilvl w:val="0"/>
          <w:numId w:val="0"/>
        </w:numPr>
        <w:spacing w:before="0"/>
        <w:ind w:left="144" w:firstLine="144"/>
        <w:rPr>
          <w:rFonts w:ascii="Calibri" w:hAnsi="Calibri"/>
          <w:sz w:val="20"/>
          <w:szCs w:val="20"/>
        </w:rPr>
      </w:pPr>
    </w:p>
    <w:p w:rsidR="00B454FB" w:rsidRDefault="00B454FB" w:rsidP="00B454FB">
      <w:pPr>
        <w:rPr>
          <w:noProof/>
        </w:rPr>
        <w:sectPr w:rsidR="00B454FB" w:rsidSect="00B454FB">
          <w:footnotePr>
            <w:numFmt w:val="lowerRoman"/>
          </w:footnotePr>
          <w:endnotePr>
            <w:numFmt w:val="decimal"/>
          </w:endnotePr>
          <w:pgSz w:w="12240" w:h="15840"/>
          <w:pgMar w:top="720" w:right="720" w:bottom="720" w:left="720" w:header="720" w:footer="720" w:gutter="0"/>
          <w:cols w:space="720"/>
          <w:docGrid w:linePitch="360"/>
        </w:sectPr>
      </w:pPr>
    </w:p>
    <w:p w:rsidR="00B454FB" w:rsidRPr="007144CA" w:rsidRDefault="00B454FB" w:rsidP="00B454FB"/>
    <w:p w:rsidR="00B454FB" w:rsidRPr="00760E57" w:rsidRDefault="00B454FB" w:rsidP="00B454FB">
      <w:pPr>
        <w:pStyle w:val="Heading3"/>
        <w:numPr>
          <w:ilvl w:val="0"/>
          <w:numId w:val="0"/>
        </w:numPr>
        <w:spacing w:before="0"/>
        <w:rPr>
          <w:rFonts w:ascii="Calibri" w:hAnsi="Calibri"/>
          <w:sz w:val="20"/>
          <w:szCs w:val="20"/>
        </w:rPr>
      </w:pPr>
      <w:r>
        <w:rPr>
          <w:rFonts w:ascii="Calibri" w:hAnsi="Calibri"/>
          <w:sz w:val="20"/>
          <w:szCs w:val="20"/>
        </w:rPr>
        <w:t xml:space="preserve">Appendix B.2  </w:t>
      </w:r>
      <w:r w:rsidRPr="00D61C8A">
        <w:rPr>
          <w:rFonts w:ascii="Calibri" w:hAnsi="Calibri"/>
          <w:sz w:val="20"/>
          <w:szCs w:val="20"/>
        </w:rPr>
        <w:t>MRE monitoring activities</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B.2.a  </w:t>
      </w:r>
      <w:r w:rsidRPr="00D61C8A">
        <w:rPr>
          <w:rFonts w:ascii="Calibri" w:hAnsi="Calibri"/>
          <w:sz w:val="20"/>
          <w:szCs w:val="20"/>
        </w:rPr>
        <w:t>Reporting of emergency/regular MRE activities form</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 w:rsidR="00B454FB" w:rsidRPr="00156C49" w:rsidRDefault="00B454FB" w:rsidP="00B454FB"/>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B.2.b  </w:t>
      </w:r>
      <w:r w:rsidRPr="00D61C8A">
        <w:rPr>
          <w:rFonts w:ascii="Calibri" w:hAnsi="Calibri"/>
          <w:sz w:val="20"/>
          <w:szCs w:val="20"/>
        </w:rPr>
        <w:t>Reporting of MRE activities in school form</w:t>
      </w:r>
    </w:p>
    <w:p w:rsidR="00B454FB" w:rsidRDefault="00B454FB" w:rsidP="00B454FB">
      <w:pPr>
        <w:pStyle w:val="Heading4"/>
        <w:numPr>
          <w:ilvl w:val="0"/>
          <w:numId w:val="0"/>
        </w:numPr>
        <w:spacing w:before="0"/>
        <w:ind w:left="288" w:firstLine="144"/>
        <w:rPr>
          <w:rFonts w:ascii="Calibri" w:hAnsi="Calibri"/>
          <w:sz w:val="20"/>
          <w:szCs w:val="20"/>
        </w:rPr>
      </w:pPr>
    </w:p>
    <w:p w:rsidR="00B454FB" w:rsidRPr="00723B68" w:rsidRDefault="00B454FB" w:rsidP="00B454FB"/>
    <w:p w:rsidR="00B454FB" w:rsidRDefault="00B454FB" w:rsidP="00B454FB">
      <w:pPr>
        <w:spacing w:after="200" w:line="276" w:lineRule="auto"/>
        <w:rPr>
          <w:rFonts w:ascii="Calibri" w:hAnsi="Calibri"/>
          <w:b/>
          <w:bCs/>
          <w:i/>
          <w:iCs/>
          <w:color w:val="4F81BD"/>
          <w:sz w:val="20"/>
          <w:szCs w:val="20"/>
        </w:rPr>
      </w:pPr>
      <w:r>
        <w:rPr>
          <w:rFonts w:ascii="Calibri" w:hAnsi="Calibri"/>
          <w:sz w:val="20"/>
          <w:szCs w:val="20"/>
        </w:rPr>
        <w:br w:type="page"/>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B.2.c  </w:t>
      </w:r>
      <w:r w:rsidRPr="00D61C8A">
        <w:rPr>
          <w:rFonts w:ascii="Calibri" w:hAnsi="Calibri"/>
          <w:sz w:val="20"/>
          <w:szCs w:val="20"/>
        </w:rPr>
        <w:t>Summary sheet: MRE in school</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 w:rsidR="00B454FB" w:rsidRPr="003208FF" w:rsidRDefault="00B454FB" w:rsidP="00B454FB"/>
    <w:p w:rsidR="00B454FB" w:rsidRDefault="00B454FB" w:rsidP="00B454FB">
      <w:pPr>
        <w:spacing w:after="200" w:line="276" w:lineRule="auto"/>
        <w:rPr>
          <w:rFonts w:ascii="Calibri" w:hAnsi="Calibri"/>
          <w:b/>
          <w:bCs/>
          <w:i/>
          <w:iCs/>
          <w:color w:val="4F81BD"/>
          <w:sz w:val="20"/>
          <w:szCs w:val="20"/>
        </w:rPr>
        <w:sectPr w:rsidR="00B454FB" w:rsidSect="00B454FB">
          <w:footnotePr>
            <w:numFmt w:val="lowerRoman"/>
          </w:footnotePr>
          <w:endnotePr>
            <w:numFmt w:val="decimal"/>
          </w:endnotePr>
          <w:pgSz w:w="15840" w:h="12240" w:orient="landscape"/>
          <w:pgMar w:top="720" w:right="720" w:bottom="720" w:left="720" w:header="720" w:footer="720" w:gutter="0"/>
          <w:cols w:space="720"/>
          <w:docGrid w:linePitch="360"/>
        </w:sectPr>
      </w:pPr>
    </w:p>
    <w:p w:rsidR="00B454FB" w:rsidRDefault="00B454FB" w:rsidP="00B454FB">
      <w:pPr>
        <w:spacing w:after="200" w:line="276" w:lineRule="auto"/>
        <w:rPr>
          <w:rFonts w:ascii="Calibri" w:hAnsi="Calibri"/>
          <w:b/>
          <w:bCs/>
          <w:i/>
          <w:iCs/>
          <w:color w:val="4F81BD"/>
          <w:sz w:val="20"/>
          <w:szCs w:val="20"/>
        </w:rPr>
      </w:pP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Appendix B.2.d  Assessment of MRE session form</w:t>
      </w:r>
    </w:p>
    <w:p w:rsidR="00B454FB" w:rsidRDefault="00B454FB" w:rsidP="00B454FB">
      <w:pPr>
        <w:pStyle w:val="Heading4"/>
        <w:numPr>
          <w:ilvl w:val="0"/>
          <w:numId w:val="0"/>
        </w:numPr>
        <w:spacing w:before="0"/>
        <w:ind w:left="288" w:firstLine="144"/>
        <w:rPr>
          <w:rFonts w:ascii="Calibri" w:hAnsi="Calibri"/>
          <w:sz w:val="20"/>
          <w:szCs w:val="20"/>
        </w:rPr>
      </w:pPr>
    </w:p>
    <w:p w:rsidR="00B454FB" w:rsidRDefault="00B454FB" w:rsidP="00B454FB"/>
    <w:p w:rsidR="00B454FB" w:rsidRPr="00CA3A98" w:rsidRDefault="00B454FB" w:rsidP="00B454FB"/>
    <w:p w:rsidR="00B454FB" w:rsidRPr="00CA3A98" w:rsidRDefault="00B454FB" w:rsidP="00B454FB"/>
    <w:p w:rsidR="00B454FB" w:rsidRDefault="00B454FB" w:rsidP="00B454FB">
      <w:pPr>
        <w:spacing w:after="200" w:line="276" w:lineRule="auto"/>
        <w:rPr>
          <w:rFonts w:ascii="Calibri" w:hAnsi="Calibri"/>
          <w:b/>
          <w:bCs/>
          <w:i/>
          <w:iCs/>
          <w:color w:val="4F81BD"/>
          <w:sz w:val="20"/>
          <w:szCs w:val="20"/>
        </w:rPr>
      </w:pPr>
      <w:r>
        <w:rPr>
          <w:rFonts w:ascii="Calibri" w:hAnsi="Calibri"/>
          <w:sz w:val="20"/>
          <w:szCs w:val="20"/>
        </w:rPr>
        <w:br w:type="page"/>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B.2.e  </w:t>
      </w:r>
      <w:r w:rsidRPr="00D61C8A">
        <w:rPr>
          <w:rFonts w:ascii="Calibri" w:hAnsi="Calibri"/>
          <w:sz w:val="20"/>
          <w:szCs w:val="20"/>
        </w:rPr>
        <w:t>Risk education individual test</w:t>
      </w:r>
    </w:p>
    <w:p w:rsidR="00B454FB" w:rsidRDefault="00B454FB" w:rsidP="00B454FB"/>
    <w:p w:rsidR="00B454FB" w:rsidRDefault="00B454FB" w:rsidP="00B454FB"/>
    <w:p w:rsidR="00B454FB" w:rsidRDefault="00B454FB" w:rsidP="00B454FB">
      <w:pPr>
        <w:rPr>
          <w:noProof/>
        </w:rPr>
        <w:sectPr w:rsidR="00B454FB" w:rsidSect="00B454FB">
          <w:footnotePr>
            <w:numFmt w:val="lowerRoman"/>
          </w:footnotePr>
          <w:endnotePr>
            <w:numFmt w:val="decimal"/>
          </w:endnotePr>
          <w:pgSz w:w="12240" w:h="15840"/>
          <w:pgMar w:top="720" w:right="720" w:bottom="720" w:left="720" w:header="720" w:footer="720" w:gutter="0"/>
          <w:cols w:space="720"/>
          <w:docGrid w:linePitch="360"/>
        </w:sectPr>
      </w:pP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B.2.f  </w:t>
      </w:r>
      <w:r w:rsidRPr="00D61C8A">
        <w:rPr>
          <w:rFonts w:ascii="Calibri" w:hAnsi="Calibri"/>
          <w:sz w:val="20"/>
          <w:szCs w:val="20"/>
        </w:rPr>
        <w:t>Emergency/regular MRE monitoring mechanism</w:t>
      </w:r>
    </w:p>
    <w:p w:rsidR="00B454FB" w:rsidRDefault="00B454FB" w:rsidP="00B454FB">
      <w:pPr>
        <w:pStyle w:val="Heading4"/>
        <w:numPr>
          <w:ilvl w:val="0"/>
          <w:numId w:val="0"/>
        </w:numPr>
        <w:spacing w:before="0"/>
        <w:rPr>
          <w:rFonts w:ascii="Calibri" w:hAnsi="Calibri"/>
          <w:b w:val="0"/>
          <w:color w:val="auto"/>
          <w:sz w:val="20"/>
          <w:szCs w:val="20"/>
        </w:rPr>
      </w:pPr>
    </w:p>
    <w:p w:rsidR="00B454FB" w:rsidRPr="00C330EF" w:rsidRDefault="00B454FB" w:rsidP="00B454FB">
      <w:pPr>
        <w:pStyle w:val="Heading4"/>
        <w:numPr>
          <w:ilvl w:val="0"/>
          <w:numId w:val="0"/>
        </w:numPr>
        <w:spacing w:before="0"/>
        <w:rPr>
          <w:rFonts w:ascii="Calibri" w:hAnsi="Calibri"/>
          <w:b w:val="0"/>
          <w:color w:val="auto"/>
          <w:sz w:val="20"/>
          <w:szCs w:val="20"/>
        </w:rPr>
      </w:pPr>
      <w:r>
        <w:rPr>
          <w:rFonts w:ascii="Calibri" w:hAnsi="Calibri"/>
          <w:b w:val="0"/>
          <w:color w:val="auto"/>
          <w:sz w:val="20"/>
          <w:szCs w:val="20"/>
        </w:rPr>
        <w:t>The following figure was provided by UNICEF MA personnel.  Red lines indicate usual lines of communication, and blue lines indicate direct follow-up activities by the UNICEF MRE MO.</w:t>
      </w:r>
    </w:p>
    <w:p w:rsidR="00B454FB" w:rsidRPr="00C330EF" w:rsidRDefault="00B454FB" w:rsidP="00B454FB"/>
    <w:p w:rsidR="00B454FB" w:rsidRPr="005A607B" w:rsidRDefault="00B454FB" w:rsidP="00B454FB">
      <w:pPr>
        <w:rPr>
          <w:sz w:val="20"/>
          <w:szCs w:val="20"/>
        </w:rPr>
      </w:pPr>
    </w:p>
    <w:p w:rsidR="00B454FB" w:rsidRPr="00AE6F45" w:rsidRDefault="00B454FB" w:rsidP="00B454FB"/>
    <w:p w:rsidR="00B454FB" w:rsidRDefault="00B454FB" w:rsidP="00B454FB">
      <w:pPr>
        <w:spacing w:after="200" w:line="276" w:lineRule="auto"/>
        <w:rPr>
          <w:rFonts w:ascii="Calibri" w:hAnsi="Calibri"/>
          <w:b/>
          <w:bCs/>
          <w:i/>
          <w:iCs/>
          <w:color w:val="4F81BD"/>
          <w:sz w:val="20"/>
          <w:szCs w:val="20"/>
        </w:rPr>
      </w:pPr>
      <w:r>
        <w:rPr>
          <w:rFonts w:ascii="Calibri" w:hAnsi="Calibri"/>
          <w:sz w:val="20"/>
          <w:szCs w:val="20"/>
        </w:rPr>
        <w:br w:type="page"/>
      </w: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B.2.g  </w:t>
      </w:r>
      <w:r w:rsidRPr="00D61C8A">
        <w:rPr>
          <w:rFonts w:ascii="Calibri" w:hAnsi="Calibri"/>
          <w:sz w:val="20"/>
          <w:szCs w:val="20"/>
        </w:rPr>
        <w:t>Systematic MRE monitoring mechanism</w:t>
      </w:r>
      <w:r>
        <w:rPr>
          <w:rFonts w:ascii="Calibri" w:hAnsi="Calibri"/>
          <w:sz w:val="20"/>
          <w:szCs w:val="20"/>
        </w:rPr>
        <w:t xml:space="preserve"> </w:t>
      </w:r>
    </w:p>
    <w:p w:rsidR="00B454FB" w:rsidRDefault="00B454FB" w:rsidP="00B454FB">
      <w:pPr>
        <w:pStyle w:val="Heading4"/>
        <w:numPr>
          <w:ilvl w:val="0"/>
          <w:numId w:val="0"/>
        </w:numPr>
        <w:spacing w:before="0"/>
        <w:ind w:left="288" w:firstLine="144"/>
        <w:rPr>
          <w:rFonts w:ascii="Calibri" w:hAnsi="Calibri"/>
          <w:sz w:val="20"/>
          <w:szCs w:val="20"/>
        </w:rPr>
      </w:pPr>
    </w:p>
    <w:p w:rsidR="00B454FB" w:rsidRPr="00C330EF" w:rsidRDefault="00B454FB" w:rsidP="00B454FB">
      <w:pPr>
        <w:pStyle w:val="Heading4"/>
        <w:numPr>
          <w:ilvl w:val="0"/>
          <w:numId w:val="0"/>
        </w:numPr>
        <w:spacing w:before="0"/>
        <w:rPr>
          <w:rFonts w:ascii="Calibri" w:hAnsi="Calibri"/>
          <w:b w:val="0"/>
          <w:color w:val="auto"/>
          <w:sz w:val="20"/>
          <w:szCs w:val="20"/>
        </w:rPr>
      </w:pPr>
      <w:r>
        <w:rPr>
          <w:rFonts w:ascii="Calibri" w:hAnsi="Calibri"/>
          <w:b w:val="0"/>
          <w:color w:val="auto"/>
          <w:sz w:val="20"/>
          <w:szCs w:val="20"/>
        </w:rPr>
        <w:t>The following figure was provided by UNICEF MA personnel.  Red lines indicate usual lines of communication, and blue lines indicate direct follow-up activities by the UNICEF MRE MO.</w:t>
      </w:r>
    </w:p>
    <w:p w:rsidR="00B454FB" w:rsidRPr="005A607B" w:rsidRDefault="00B454FB" w:rsidP="00B454FB">
      <w:pPr>
        <w:rPr>
          <w:sz w:val="20"/>
          <w:szCs w:val="20"/>
        </w:rPr>
      </w:pPr>
    </w:p>
    <w:p w:rsidR="00B454FB" w:rsidRDefault="00B454FB" w:rsidP="00B454FB">
      <w:pPr>
        <w:rPr>
          <w:b/>
          <w:sz w:val="20"/>
          <w:szCs w:val="20"/>
        </w:rPr>
        <w:sectPr w:rsidR="00B454FB" w:rsidSect="00B454FB">
          <w:footnotePr>
            <w:numFmt w:val="lowerRoman"/>
          </w:footnotePr>
          <w:endnotePr>
            <w:numFmt w:val="decimal"/>
          </w:endnotePr>
          <w:pgSz w:w="15840" w:h="12240" w:orient="landscape"/>
          <w:pgMar w:top="720" w:right="720" w:bottom="720" w:left="720" w:header="720" w:footer="720" w:gutter="0"/>
          <w:cols w:space="720"/>
          <w:docGrid w:linePitch="360"/>
        </w:sectPr>
      </w:pPr>
    </w:p>
    <w:p w:rsidR="00B454FB"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lastRenderedPageBreak/>
        <w:t xml:space="preserve">Appendix B.2.h  </w:t>
      </w:r>
      <w:r w:rsidRPr="00D61C8A">
        <w:rPr>
          <w:rFonts w:ascii="Calibri" w:hAnsi="Calibri"/>
          <w:sz w:val="20"/>
          <w:szCs w:val="20"/>
        </w:rPr>
        <w:t>MRE monitoring district maps</w:t>
      </w:r>
    </w:p>
    <w:p w:rsidR="00B454FB" w:rsidRDefault="00B454FB" w:rsidP="00B454FB">
      <w:pPr>
        <w:pStyle w:val="Heading4"/>
        <w:numPr>
          <w:ilvl w:val="0"/>
          <w:numId w:val="0"/>
        </w:numPr>
        <w:spacing w:before="0"/>
        <w:ind w:left="288" w:firstLine="144"/>
        <w:rPr>
          <w:rFonts w:ascii="Calibri" w:hAnsi="Calibri"/>
          <w:sz w:val="20"/>
          <w:szCs w:val="20"/>
        </w:rPr>
      </w:pPr>
    </w:p>
    <w:p w:rsidR="00B454FB" w:rsidRPr="00C330EF" w:rsidRDefault="00B454FB" w:rsidP="00B454FB">
      <w:pPr>
        <w:rPr>
          <w:rFonts w:ascii="Calibri" w:hAnsi="Calibri"/>
          <w:i/>
          <w:sz w:val="20"/>
          <w:szCs w:val="20"/>
        </w:rPr>
      </w:pPr>
      <w:r w:rsidRPr="00C330EF">
        <w:rPr>
          <w:rFonts w:ascii="Calibri" w:hAnsi="Calibri"/>
          <w:i/>
          <w:sz w:val="20"/>
          <w:szCs w:val="20"/>
        </w:rPr>
        <w:t>The following</w:t>
      </w:r>
      <w:r>
        <w:rPr>
          <w:rFonts w:ascii="Calibri" w:hAnsi="Calibri"/>
          <w:i/>
          <w:sz w:val="20"/>
          <w:szCs w:val="20"/>
        </w:rPr>
        <w:t xml:space="preserve"> maps of Khotang and Kailali Districts were provided by UNICEF MA personnel. </w:t>
      </w:r>
    </w:p>
    <w:p w:rsidR="00B454FB" w:rsidRPr="005A607B" w:rsidRDefault="00B454FB" w:rsidP="00B454FB">
      <w:pPr>
        <w:rPr>
          <w:sz w:val="20"/>
          <w:szCs w:val="20"/>
        </w:rPr>
      </w:pPr>
    </w:p>
    <w:p w:rsidR="00B454FB" w:rsidRPr="005A607B" w:rsidRDefault="00B454FB" w:rsidP="00B454FB">
      <w:pPr>
        <w:rPr>
          <w:sz w:val="20"/>
          <w:szCs w:val="20"/>
        </w:rPr>
      </w:pPr>
    </w:p>
    <w:p w:rsidR="00B454FB" w:rsidRPr="005A607B" w:rsidRDefault="00B454FB" w:rsidP="00B454FB">
      <w:pPr>
        <w:rPr>
          <w:sz w:val="20"/>
          <w:szCs w:val="20"/>
        </w:rPr>
      </w:pPr>
    </w:p>
    <w:p w:rsidR="00B454FB" w:rsidRPr="005A607B" w:rsidRDefault="00B454FB" w:rsidP="00B454FB">
      <w:pPr>
        <w:rPr>
          <w:sz w:val="20"/>
          <w:szCs w:val="20"/>
        </w:rPr>
      </w:pPr>
    </w:p>
    <w:p w:rsidR="00B454FB" w:rsidRPr="000B2120" w:rsidRDefault="00B454FB" w:rsidP="00B454FB">
      <w:pPr>
        <w:pStyle w:val="Heading4"/>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t xml:space="preserve">Appendix B.2.i  </w:t>
      </w:r>
      <w:r w:rsidRPr="00D61C8A">
        <w:rPr>
          <w:rFonts w:ascii="Calibri" w:hAnsi="Calibri"/>
          <w:sz w:val="20"/>
          <w:szCs w:val="20"/>
        </w:rPr>
        <w:t>Telephonic FAQ for MRE focal points</w:t>
      </w:r>
      <w:r>
        <w:rPr>
          <w:rFonts w:ascii="Calibri" w:hAnsi="Calibri"/>
          <w:sz w:val="20"/>
          <w:szCs w:val="20"/>
        </w:rPr>
        <w:t xml:space="preserve"> </w:t>
      </w:r>
    </w:p>
    <w:p w:rsidR="00B454FB" w:rsidRDefault="00B454FB" w:rsidP="00B454FB">
      <w:pPr>
        <w:rPr>
          <w:rFonts w:ascii="Calibri" w:hAnsi="Calibri"/>
          <w:sz w:val="20"/>
          <w:szCs w:val="20"/>
        </w:rPr>
      </w:pPr>
    </w:p>
    <w:p w:rsidR="00B454FB" w:rsidRDefault="00B454FB" w:rsidP="00B454FB">
      <w:pPr>
        <w:rPr>
          <w:rFonts w:ascii="Calibri" w:hAnsi="Calibri"/>
          <w:sz w:val="20"/>
          <w:szCs w:val="20"/>
        </w:rPr>
      </w:pPr>
    </w:p>
    <w:p w:rsidR="00B454FB" w:rsidRDefault="00B454FB" w:rsidP="00B454FB">
      <w:pPr>
        <w:rPr>
          <w:rFonts w:ascii="Calibri" w:hAnsi="Calibri"/>
          <w:sz w:val="20"/>
          <w:szCs w:val="20"/>
        </w:rPr>
      </w:pPr>
    </w:p>
    <w:p w:rsidR="00B454FB" w:rsidRDefault="00B454FB" w:rsidP="00B454FB">
      <w:pPr>
        <w:pStyle w:val="Heading3"/>
        <w:numPr>
          <w:ilvl w:val="0"/>
          <w:numId w:val="0"/>
        </w:numPr>
        <w:pBdr>
          <w:top w:val="single" w:sz="4" w:space="1" w:color="auto"/>
          <w:left w:val="single" w:sz="4" w:space="4" w:color="auto"/>
          <w:bottom w:val="single" w:sz="4" w:space="1" w:color="auto"/>
          <w:right w:val="single" w:sz="4" w:space="4" w:color="auto"/>
        </w:pBdr>
        <w:spacing w:before="0"/>
        <w:rPr>
          <w:rFonts w:ascii="Calibri" w:hAnsi="Calibri"/>
          <w:sz w:val="20"/>
          <w:szCs w:val="20"/>
        </w:rPr>
      </w:pPr>
      <w:r>
        <w:rPr>
          <w:rFonts w:ascii="Calibri" w:hAnsi="Calibri"/>
          <w:sz w:val="20"/>
          <w:szCs w:val="20"/>
        </w:rPr>
        <w:br w:type="page"/>
      </w:r>
      <w:r>
        <w:rPr>
          <w:rFonts w:ascii="Calibri" w:hAnsi="Calibri"/>
          <w:sz w:val="20"/>
          <w:szCs w:val="20"/>
        </w:rPr>
        <w:lastRenderedPageBreak/>
        <w:t>Appendix B.3. 2007 KAP survey summary statistics and recommendations</w:t>
      </w:r>
    </w:p>
    <w:p w:rsidR="00B454FB" w:rsidRPr="00C34540" w:rsidRDefault="00B454FB" w:rsidP="00B454FB">
      <w:pPr>
        <w:rPr>
          <w:rFonts w:ascii="Calibri" w:hAnsi="Calibri"/>
          <w:sz w:val="20"/>
          <w:szCs w:val="20"/>
        </w:rPr>
      </w:pPr>
    </w:p>
    <w:p w:rsidR="00B454FB" w:rsidRDefault="00B454FB" w:rsidP="00B454FB">
      <w:pPr>
        <w:rPr>
          <w:rFonts w:ascii="Calibri" w:hAnsi="Calibri"/>
          <w:i/>
          <w:sz w:val="20"/>
          <w:szCs w:val="20"/>
        </w:rPr>
      </w:pPr>
      <w:r w:rsidRPr="00C34540">
        <w:rPr>
          <w:rFonts w:ascii="Calibri" w:hAnsi="Calibri"/>
          <w:i/>
          <w:sz w:val="20"/>
          <w:szCs w:val="20"/>
        </w:rPr>
        <w:t>The following</w:t>
      </w:r>
      <w:r>
        <w:rPr>
          <w:rFonts w:ascii="Calibri" w:hAnsi="Calibri"/>
          <w:i/>
          <w:sz w:val="20"/>
          <w:szCs w:val="20"/>
        </w:rPr>
        <w:t xml:space="preserve"> text contains a summary of 2007 KAP survey</w:t>
      </w:r>
      <w:r>
        <w:rPr>
          <w:rStyle w:val="EndnoteReference"/>
          <w:rFonts w:ascii="Calibri" w:hAnsi="Calibri"/>
          <w:i/>
          <w:sz w:val="20"/>
          <w:szCs w:val="20"/>
        </w:rPr>
        <w:endnoteReference w:id="368"/>
      </w:r>
      <w:r>
        <w:rPr>
          <w:rFonts w:ascii="Calibri" w:hAnsi="Calibri"/>
          <w:i/>
          <w:sz w:val="20"/>
          <w:szCs w:val="20"/>
        </w:rPr>
        <w:t xml:space="preserve"> results which are applicable to further development of MRE activities.  This text contains the following:</w:t>
      </w:r>
    </w:p>
    <w:p w:rsidR="00B454FB" w:rsidRDefault="00B454FB" w:rsidP="00B454FB">
      <w:pPr>
        <w:pStyle w:val="ColorfulList-Accent11"/>
        <w:numPr>
          <w:ilvl w:val="0"/>
          <w:numId w:val="90"/>
        </w:numPr>
        <w:rPr>
          <w:rFonts w:ascii="Calibri" w:hAnsi="Calibri"/>
          <w:sz w:val="20"/>
          <w:szCs w:val="20"/>
        </w:rPr>
      </w:pPr>
      <w:r>
        <w:rPr>
          <w:rFonts w:ascii="Calibri" w:hAnsi="Calibri"/>
          <w:sz w:val="20"/>
          <w:szCs w:val="20"/>
        </w:rPr>
        <w:t>A summary of findings from adult and child surveys related to literacy and media, reporting, MRE, identification of ED, theoretical behaviors, knowledge, and actual experience;</w:t>
      </w:r>
    </w:p>
    <w:p w:rsidR="00B454FB" w:rsidRDefault="00B454FB" w:rsidP="00B454FB">
      <w:pPr>
        <w:pStyle w:val="ColorfulList-Accent11"/>
        <w:numPr>
          <w:ilvl w:val="0"/>
          <w:numId w:val="90"/>
        </w:numPr>
        <w:rPr>
          <w:rFonts w:ascii="Calibri" w:hAnsi="Calibri"/>
          <w:sz w:val="20"/>
          <w:szCs w:val="20"/>
        </w:rPr>
      </w:pPr>
      <w:r>
        <w:rPr>
          <w:rFonts w:ascii="Calibri" w:hAnsi="Calibri"/>
          <w:sz w:val="20"/>
          <w:szCs w:val="20"/>
        </w:rPr>
        <w:t>Data from case studies including types of ED mentioned, risk behaviors, and negative injury outcomes; and</w:t>
      </w:r>
    </w:p>
    <w:p w:rsidR="00B454FB" w:rsidRDefault="00B454FB" w:rsidP="00B454FB">
      <w:pPr>
        <w:pStyle w:val="ColorfulList-Accent11"/>
        <w:numPr>
          <w:ilvl w:val="0"/>
          <w:numId w:val="90"/>
        </w:numPr>
        <w:rPr>
          <w:rFonts w:ascii="Calibri" w:hAnsi="Calibri"/>
          <w:sz w:val="20"/>
          <w:szCs w:val="20"/>
        </w:rPr>
      </w:pPr>
      <w:r>
        <w:rPr>
          <w:rFonts w:ascii="Calibri" w:hAnsi="Calibri"/>
          <w:sz w:val="20"/>
          <w:szCs w:val="20"/>
        </w:rPr>
        <w:t>Recommendations from the survey report.</w:t>
      </w:r>
    </w:p>
    <w:p w:rsidR="00B454FB" w:rsidRDefault="00B454FB" w:rsidP="00B454FB">
      <w:pPr>
        <w:rPr>
          <w:rFonts w:ascii="Calibri" w:hAnsi="Calibri"/>
          <w:sz w:val="20"/>
          <w:szCs w:val="20"/>
        </w:rPr>
      </w:pPr>
    </w:p>
    <w:p w:rsidR="00B454FB" w:rsidRDefault="00B454FB" w:rsidP="00B454FB">
      <w:pPr>
        <w:rPr>
          <w:rFonts w:ascii="Calibri" w:hAnsi="Calibri"/>
          <w:b/>
          <w:sz w:val="20"/>
          <w:szCs w:val="20"/>
        </w:rPr>
      </w:pPr>
      <w:r>
        <w:rPr>
          <w:rFonts w:ascii="Calibri" w:hAnsi="Calibri"/>
          <w:b/>
          <w:sz w:val="20"/>
          <w:szCs w:val="20"/>
        </w:rPr>
        <w:t xml:space="preserve">1) </w:t>
      </w:r>
      <w:r w:rsidRPr="00C34540">
        <w:rPr>
          <w:rFonts w:ascii="Calibri" w:hAnsi="Calibri"/>
          <w:b/>
          <w:sz w:val="20"/>
          <w:szCs w:val="20"/>
        </w:rPr>
        <w:t>Summary of findings from adult and child surveys</w:t>
      </w:r>
    </w:p>
    <w:p w:rsidR="00B454FB" w:rsidRDefault="00B454FB" w:rsidP="00B454FB">
      <w:pPr>
        <w:pStyle w:val="ColorfulList-Accent11"/>
        <w:numPr>
          <w:ilvl w:val="0"/>
          <w:numId w:val="91"/>
        </w:numPr>
        <w:rPr>
          <w:rFonts w:ascii="Calibri" w:hAnsi="Calibri"/>
          <w:b/>
          <w:sz w:val="20"/>
          <w:szCs w:val="20"/>
        </w:rPr>
      </w:pPr>
      <w:r>
        <w:rPr>
          <w:rFonts w:ascii="Calibri" w:hAnsi="Calibri"/>
          <w:b/>
          <w:sz w:val="20"/>
          <w:szCs w:val="20"/>
        </w:rPr>
        <w:t>Literacy and media</w:t>
      </w:r>
    </w:p>
    <w:p w:rsidR="00B454FB" w:rsidRDefault="00B454FB" w:rsidP="00B454FB">
      <w:pPr>
        <w:pStyle w:val="ColorfulList-Accent11"/>
        <w:numPr>
          <w:ilvl w:val="1"/>
          <w:numId w:val="91"/>
        </w:numPr>
        <w:rPr>
          <w:rFonts w:ascii="Calibri" w:hAnsi="Calibri"/>
          <w:sz w:val="20"/>
          <w:szCs w:val="20"/>
        </w:rPr>
      </w:pPr>
      <w:r w:rsidRPr="008B3F1F">
        <w:rPr>
          <w:rFonts w:ascii="Calibri" w:hAnsi="Calibri"/>
          <w:sz w:val="20"/>
          <w:szCs w:val="20"/>
        </w:rPr>
        <w:t xml:space="preserve">30% of </w:t>
      </w:r>
      <w:r>
        <w:rPr>
          <w:rFonts w:ascii="Calibri" w:hAnsi="Calibri"/>
          <w:sz w:val="20"/>
          <w:szCs w:val="20"/>
        </w:rPr>
        <w:t>participants were illiterate.</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F</w:t>
      </w:r>
      <w:r w:rsidRPr="008B3F1F">
        <w:rPr>
          <w:rFonts w:ascii="Calibri" w:hAnsi="Calibri"/>
          <w:sz w:val="20"/>
          <w:szCs w:val="20"/>
        </w:rPr>
        <w:t xml:space="preserve">or 76% of </w:t>
      </w:r>
      <w:r>
        <w:rPr>
          <w:rFonts w:ascii="Calibri" w:hAnsi="Calibri"/>
          <w:sz w:val="20"/>
          <w:szCs w:val="20"/>
        </w:rPr>
        <w:t>participa</w:t>
      </w:r>
      <w:r w:rsidRPr="008B3F1F">
        <w:rPr>
          <w:rFonts w:ascii="Calibri" w:hAnsi="Calibri"/>
          <w:sz w:val="20"/>
          <w:szCs w:val="20"/>
        </w:rPr>
        <w:t>nts, el</w:t>
      </w:r>
      <w:r>
        <w:rPr>
          <w:rFonts w:ascii="Calibri" w:hAnsi="Calibri"/>
          <w:sz w:val="20"/>
          <w:szCs w:val="20"/>
        </w:rPr>
        <w:t>ectronic media (mainly radios) were</w:t>
      </w:r>
      <w:r w:rsidRPr="008B3F1F">
        <w:rPr>
          <w:rFonts w:ascii="Calibri" w:hAnsi="Calibri"/>
          <w:sz w:val="20"/>
          <w:szCs w:val="20"/>
        </w:rPr>
        <w:t xml:space="preserve"> the </w:t>
      </w:r>
      <w:r>
        <w:rPr>
          <w:rFonts w:ascii="Calibri" w:hAnsi="Calibri"/>
          <w:sz w:val="20"/>
          <w:szCs w:val="20"/>
        </w:rPr>
        <w:t xml:space="preserve">primary </w:t>
      </w:r>
      <w:r w:rsidRPr="008B3F1F">
        <w:rPr>
          <w:rFonts w:ascii="Calibri" w:hAnsi="Calibri"/>
          <w:sz w:val="20"/>
          <w:szCs w:val="20"/>
        </w:rPr>
        <w:t xml:space="preserve">source of information on </w:t>
      </w:r>
      <w:r>
        <w:rPr>
          <w:rFonts w:ascii="Calibri" w:hAnsi="Calibri"/>
          <w:sz w:val="20"/>
          <w:szCs w:val="20"/>
        </w:rPr>
        <w:t>ED</w:t>
      </w:r>
      <w:r w:rsidRPr="008B3F1F">
        <w:rPr>
          <w:rFonts w:ascii="Calibri" w:hAnsi="Calibri"/>
          <w:sz w:val="20"/>
          <w:szCs w:val="20"/>
        </w:rPr>
        <w:t>, followed by “personal contacts” (39%), materials (11%) and public education programs (2.5%)</w:t>
      </w:r>
      <w:r>
        <w:rPr>
          <w:rFonts w:ascii="Calibri" w:hAnsi="Calibri"/>
          <w:sz w:val="20"/>
          <w:szCs w:val="20"/>
        </w:rPr>
        <w:t>.</w:t>
      </w:r>
    </w:p>
    <w:p w:rsidR="00B454FB" w:rsidRPr="008B3F1F" w:rsidRDefault="00B454FB" w:rsidP="00B454FB">
      <w:pPr>
        <w:pStyle w:val="ColorfulList-Accent11"/>
        <w:numPr>
          <w:ilvl w:val="0"/>
          <w:numId w:val="91"/>
        </w:numPr>
        <w:rPr>
          <w:rFonts w:ascii="Calibri" w:hAnsi="Calibri"/>
          <w:b/>
          <w:sz w:val="20"/>
          <w:szCs w:val="20"/>
        </w:rPr>
      </w:pPr>
      <w:r w:rsidRPr="008B3F1F">
        <w:rPr>
          <w:rFonts w:ascii="Calibri" w:hAnsi="Calibri"/>
          <w:b/>
          <w:sz w:val="20"/>
          <w:szCs w:val="20"/>
        </w:rPr>
        <w:t>Reporting</w:t>
      </w:r>
    </w:p>
    <w:p w:rsidR="00B454FB" w:rsidRDefault="00B454FB" w:rsidP="00B454FB">
      <w:pPr>
        <w:pStyle w:val="ColorfulList-Accent11"/>
        <w:numPr>
          <w:ilvl w:val="1"/>
          <w:numId w:val="91"/>
        </w:numPr>
        <w:spacing w:before="240"/>
        <w:rPr>
          <w:rFonts w:ascii="Calibri" w:hAnsi="Calibri"/>
          <w:sz w:val="20"/>
          <w:szCs w:val="20"/>
        </w:rPr>
      </w:pPr>
      <w:r>
        <w:rPr>
          <w:rFonts w:ascii="Calibri" w:hAnsi="Calibri"/>
          <w:sz w:val="20"/>
          <w:szCs w:val="20"/>
        </w:rPr>
        <w:t xml:space="preserve">According to one participant, </w:t>
      </w:r>
      <w:r w:rsidRPr="008B3F1F">
        <w:rPr>
          <w:rFonts w:ascii="Calibri" w:hAnsi="Calibri"/>
          <w:sz w:val="20"/>
          <w:szCs w:val="20"/>
        </w:rPr>
        <w:t xml:space="preserve">“We were deciding whether we should inform the security personnel about it but many of our community members have been </w:t>
      </w:r>
      <w:bookmarkStart w:id="0" w:name="_GoBack"/>
      <w:bookmarkEnd w:id="0"/>
      <w:r w:rsidRPr="008B3F1F">
        <w:rPr>
          <w:rFonts w:ascii="Calibri" w:hAnsi="Calibri"/>
          <w:sz w:val="20"/>
          <w:szCs w:val="20"/>
        </w:rPr>
        <w:t xml:space="preserve">mentally tormented by both the Maoist </w:t>
      </w:r>
      <w:r>
        <w:rPr>
          <w:rFonts w:ascii="Calibri" w:hAnsi="Calibri"/>
          <w:i/>
          <w:sz w:val="20"/>
          <w:szCs w:val="20"/>
        </w:rPr>
        <w:t>(</w:t>
      </w:r>
      <w:r w:rsidRPr="002B3F03">
        <w:rPr>
          <w:rFonts w:ascii="Calibri" w:hAnsi="Calibri"/>
          <w:i/>
          <w:sz w:val="20"/>
          <w:szCs w:val="20"/>
        </w:rPr>
        <w:t>sic</w:t>
      </w:r>
      <w:r>
        <w:rPr>
          <w:rFonts w:ascii="Calibri" w:hAnsi="Calibri"/>
          <w:i/>
          <w:sz w:val="20"/>
          <w:szCs w:val="20"/>
        </w:rPr>
        <w:t>)</w:t>
      </w:r>
      <w:r>
        <w:rPr>
          <w:rFonts w:ascii="Calibri" w:hAnsi="Calibri"/>
          <w:sz w:val="20"/>
          <w:szCs w:val="20"/>
        </w:rPr>
        <w:t xml:space="preserve"> </w:t>
      </w:r>
      <w:r w:rsidRPr="002B3F03">
        <w:rPr>
          <w:rFonts w:ascii="Calibri" w:hAnsi="Calibri"/>
          <w:sz w:val="20"/>
          <w:szCs w:val="20"/>
        </w:rPr>
        <w:t>and</w:t>
      </w:r>
      <w:r w:rsidRPr="008B3F1F">
        <w:rPr>
          <w:rFonts w:ascii="Calibri" w:hAnsi="Calibri"/>
          <w:sz w:val="20"/>
          <w:szCs w:val="20"/>
        </w:rPr>
        <w:t xml:space="preserve"> the security forces.  We thought that if we informed the army about it we would face more problems so instead we decided to inform the Maoists.”</w:t>
      </w:r>
    </w:p>
    <w:p w:rsidR="00B454FB" w:rsidRDefault="00B454FB" w:rsidP="00B454FB">
      <w:pPr>
        <w:pStyle w:val="ColorfulList-Accent11"/>
        <w:numPr>
          <w:ilvl w:val="1"/>
          <w:numId w:val="91"/>
        </w:numPr>
        <w:rPr>
          <w:rFonts w:ascii="Calibri" w:hAnsi="Calibri"/>
          <w:sz w:val="20"/>
          <w:szCs w:val="20"/>
        </w:rPr>
      </w:pPr>
      <w:r w:rsidRPr="008B3F1F">
        <w:rPr>
          <w:rFonts w:ascii="Calibri" w:hAnsi="Calibri"/>
          <w:sz w:val="20"/>
          <w:szCs w:val="20"/>
        </w:rPr>
        <w:t xml:space="preserve">7% of </w:t>
      </w:r>
      <w:r>
        <w:rPr>
          <w:rFonts w:ascii="Calibri" w:hAnsi="Calibri"/>
          <w:sz w:val="20"/>
          <w:szCs w:val="20"/>
        </w:rPr>
        <w:t>participa</w:t>
      </w:r>
      <w:r w:rsidRPr="008B3F1F">
        <w:rPr>
          <w:rFonts w:ascii="Calibri" w:hAnsi="Calibri"/>
          <w:sz w:val="20"/>
          <w:szCs w:val="20"/>
        </w:rPr>
        <w:t>nts fully agree</w:t>
      </w:r>
      <w:r>
        <w:rPr>
          <w:rFonts w:ascii="Calibri" w:hAnsi="Calibri"/>
          <w:sz w:val="20"/>
          <w:szCs w:val="20"/>
        </w:rPr>
        <w:t>d</w:t>
      </w:r>
      <w:r w:rsidRPr="008B3F1F">
        <w:rPr>
          <w:rFonts w:ascii="Calibri" w:hAnsi="Calibri"/>
          <w:sz w:val="20"/>
          <w:szCs w:val="20"/>
        </w:rPr>
        <w:t xml:space="preserve"> (0.5%) or agree</w:t>
      </w:r>
      <w:r>
        <w:rPr>
          <w:rFonts w:ascii="Calibri" w:hAnsi="Calibri"/>
          <w:sz w:val="20"/>
          <w:szCs w:val="20"/>
        </w:rPr>
        <w:t>d</w:t>
      </w:r>
      <w:r w:rsidRPr="008B3F1F">
        <w:rPr>
          <w:rFonts w:ascii="Calibri" w:hAnsi="Calibri"/>
          <w:sz w:val="20"/>
          <w:szCs w:val="20"/>
        </w:rPr>
        <w:t xml:space="preserve"> to some extent (6.5%) that “some people have kept </w:t>
      </w:r>
      <w:r>
        <w:rPr>
          <w:rFonts w:ascii="Calibri" w:hAnsi="Calibri"/>
          <w:sz w:val="20"/>
          <w:szCs w:val="20"/>
        </w:rPr>
        <w:t>ED</w:t>
      </w:r>
      <w:r w:rsidRPr="008B3F1F">
        <w:rPr>
          <w:rFonts w:ascii="Calibri" w:hAnsi="Calibri"/>
          <w:sz w:val="20"/>
          <w:szCs w:val="20"/>
        </w:rPr>
        <w:t xml:space="preserve"> in their house or hidden in a bush or in a pit”</w:t>
      </w:r>
      <w:r>
        <w:rPr>
          <w:rFonts w:ascii="Calibri" w:hAnsi="Calibri"/>
          <w:sz w:val="20"/>
          <w:szCs w:val="20"/>
        </w:rPr>
        <w:t>.</w:t>
      </w:r>
    </w:p>
    <w:p w:rsidR="00B454FB" w:rsidRDefault="00B454FB" w:rsidP="00B454FB">
      <w:pPr>
        <w:pStyle w:val="ColorfulList-Accent11"/>
        <w:numPr>
          <w:ilvl w:val="1"/>
          <w:numId w:val="91"/>
        </w:numPr>
        <w:rPr>
          <w:rFonts w:ascii="Calibri" w:hAnsi="Calibri"/>
          <w:sz w:val="20"/>
          <w:szCs w:val="20"/>
        </w:rPr>
      </w:pPr>
      <w:r w:rsidRPr="008B3F1F">
        <w:rPr>
          <w:rFonts w:ascii="Calibri" w:hAnsi="Calibri"/>
          <w:sz w:val="20"/>
          <w:szCs w:val="20"/>
        </w:rPr>
        <w:t xml:space="preserve">29% </w:t>
      </w:r>
      <w:r>
        <w:rPr>
          <w:rFonts w:ascii="Calibri" w:hAnsi="Calibri"/>
          <w:sz w:val="20"/>
          <w:szCs w:val="20"/>
        </w:rPr>
        <w:t xml:space="preserve">of participants </w:t>
      </w:r>
      <w:r w:rsidRPr="008B3F1F">
        <w:rPr>
          <w:rFonts w:ascii="Calibri" w:hAnsi="Calibri"/>
          <w:sz w:val="20"/>
          <w:szCs w:val="20"/>
        </w:rPr>
        <w:t>th</w:t>
      </w:r>
      <w:r>
        <w:rPr>
          <w:rFonts w:ascii="Calibri" w:hAnsi="Calibri"/>
          <w:sz w:val="20"/>
          <w:szCs w:val="20"/>
        </w:rPr>
        <w:t>ought</w:t>
      </w:r>
      <w:r w:rsidRPr="008B3F1F">
        <w:rPr>
          <w:rFonts w:ascii="Calibri" w:hAnsi="Calibri"/>
          <w:sz w:val="20"/>
          <w:szCs w:val="20"/>
        </w:rPr>
        <w:t xml:space="preserve"> that people </w:t>
      </w:r>
      <w:r>
        <w:rPr>
          <w:rFonts w:ascii="Calibri" w:hAnsi="Calibri"/>
          <w:sz w:val="20"/>
          <w:szCs w:val="20"/>
        </w:rPr>
        <w:t xml:space="preserve">were not reporting ED; the most commonly cited reasons were </w:t>
      </w:r>
      <w:r w:rsidRPr="008B3F1F">
        <w:rPr>
          <w:rFonts w:ascii="Calibri" w:hAnsi="Calibri"/>
          <w:sz w:val="20"/>
          <w:szCs w:val="20"/>
        </w:rPr>
        <w:t xml:space="preserve">fear of inquiry by police </w:t>
      </w:r>
      <w:r>
        <w:rPr>
          <w:rFonts w:ascii="Calibri" w:hAnsi="Calibri"/>
          <w:sz w:val="20"/>
          <w:szCs w:val="20"/>
        </w:rPr>
        <w:t>(</w:t>
      </w:r>
      <w:r w:rsidRPr="008B3F1F">
        <w:rPr>
          <w:rFonts w:ascii="Calibri" w:hAnsi="Calibri"/>
          <w:sz w:val="20"/>
          <w:szCs w:val="20"/>
        </w:rPr>
        <w:t>50%</w:t>
      </w:r>
      <w:r>
        <w:rPr>
          <w:rFonts w:ascii="Calibri" w:hAnsi="Calibri"/>
          <w:sz w:val="20"/>
          <w:szCs w:val="20"/>
        </w:rPr>
        <w:t>)</w:t>
      </w:r>
      <w:r w:rsidRPr="008B3F1F">
        <w:rPr>
          <w:rFonts w:ascii="Calibri" w:hAnsi="Calibri"/>
          <w:sz w:val="20"/>
          <w:szCs w:val="20"/>
        </w:rPr>
        <w:t xml:space="preserve">, fear of inquiry by Maoists </w:t>
      </w:r>
      <w:r>
        <w:rPr>
          <w:rFonts w:ascii="Calibri" w:hAnsi="Calibri"/>
          <w:sz w:val="20"/>
          <w:szCs w:val="20"/>
        </w:rPr>
        <w:t>(</w:t>
      </w:r>
      <w:r w:rsidRPr="008B3F1F">
        <w:rPr>
          <w:rFonts w:ascii="Calibri" w:hAnsi="Calibri"/>
          <w:sz w:val="20"/>
          <w:szCs w:val="20"/>
        </w:rPr>
        <w:t>22.4%</w:t>
      </w:r>
      <w:r>
        <w:rPr>
          <w:rFonts w:ascii="Calibri" w:hAnsi="Calibri"/>
          <w:sz w:val="20"/>
          <w:szCs w:val="20"/>
        </w:rPr>
        <w:t>)</w:t>
      </w:r>
      <w:r w:rsidRPr="008B3F1F">
        <w:rPr>
          <w:rFonts w:ascii="Calibri" w:hAnsi="Calibri"/>
          <w:sz w:val="20"/>
          <w:szCs w:val="20"/>
        </w:rPr>
        <w:t xml:space="preserve">, </w:t>
      </w:r>
      <w:r>
        <w:rPr>
          <w:rFonts w:ascii="Calibri" w:hAnsi="Calibri"/>
          <w:sz w:val="20"/>
          <w:szCs w:val="20"/>
        </w:rPr>
        <w:t xml:space="preserve">and </w:t>
      </w:r>
      <w:r w:rsidRPr="008B3F1F">
        <w:rPr>
          <w:rFonts w:ascii="Calibri" w:hAnsi="Calibri"/>
          <w:sz w:val="20"/>
          <w:szCs w:val="20"/>
        </w:rPr>
        <w:t xml:space="preserve">fear of inquiry by both </w:t>
      </w:r>
      <w:r>
        <w:rPr>
          <w:rFonts w:ascii="Calibri" w:hAnsi="Calibri"/>
          <w:sz w:val="20"/>
          <w:szCs w:val="20"/>
        </w:rPr>
        <w:t>(</w:t>
      </w:r>
      <w:r w:rsidRPr="008B3F1F">
        <w:rPr>
          <w:rFonts w:ascii="Calibri" w:hAnsi="Calibri"/>
          <w:sz w:val="20"/>
          <w:szCs w:val="20"/>
        </w:rPr>
        <w:t>12.1%</w:t>
      </w:r>
      <w:r>
        <w:rPr>
          <w:rFonts w:ascii="Calibri" w:hAnsi="Calibri"/>
          <w:sz w:val="20"/>
          <w:szCs w:val="20"/>
        </w:rPr>
        <w:t>).</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 xml:space="preserve">In one case, the driver of a </w:t>
      </w:r>
      <w:r w:rsidRPr="001E6829">
        <w:rPr>
          <w:rFonts w:ascii="Calibri" w:hAnsi="Calibri"/>
          <w:sz w:val="20"/>
          <w:szCs w:val="20"/>
        </w:rPr>
        <w:t xml:space="preserve">local public vehicle refused to carry </w:t>
      </w:r>
      <w:r>
        <w:rPr>
          <w:rFonts w:ascii="Calibri" w:hAnsi="Calibri"/>
          <w:sz w:val="20"/>
          <w:szCs w:val="20"/>
        </w:rPr>
        <w:t xml:space="preserve">an </w:t>
      </w:r>
      <w:r w:rsidRPr="001E6829">
        <w:rPr>
          <w:rFonts w:ascii="Calibri" w:hAnsi="Calibri"/>
          <w:sz w:val="20"/>
          <w:szCs w:val="20"/>
        </w:rPr>
        <w:t xml:space="preserve">injured individual </w:t>
      </w:r>
      <w:r>
        <w:rPr>
          <w:rFonts w:ascii="Calibri" w:hAnsi="Calibri"/>
          <w:sz w:val="20"/>
          <w:szCs w:val="20"/>
        </w:rPr>
        <w:t>because she was suspected of being a Maoist.</w:t>
      </w:r>
    </w:p>
    <w:p w:rsidR="00B454FB" w:rsidRPr="001E6829" w:rsidRDefault="00B454FB" w:rsidP="00B454FB">
      <w:pPr>
        <w:pStyle w:val="ColorfulList-Accent11"/>
        <w:numPr>
          <w:ilvl w:val="0"/>
          <w:numId w:val="91"/>
        </w:numPr>
        <w:rPr>
          <w:rFonts w:ascii="Calibri" w:hAnsi="Calibri"/>
          <w:b/>
          <w:sz w:val="20"/>
          <w:szCs w:val="20"/>
        </w:rPr>
      </w:pPr>
      <w:r w:rsidRPr="001E6829">
        <w:rPr>
          <w:rFonts w:ascii="Calibri" w:hAnsi="Calibri"/>
          <w:b/>
          <w:sz w:val="20"/>
          <w:szCs w:val="20"/>
        </w:rPr>
        <w:t>MRE</w:t>
      </w:r>
    </w:p>
    <w:p w:rsidR="00B454FB" w:rsidRPr="001E6829" w:rsidRDefault="00B454FB" w:rsidP="00B454FB">
      <w:pPr>
        <w:pStyle w:val="ColorfulList-Accent11"/>
        <w:numPr>
          <w:ilvl w:val="1"/>
          <w:numId w:val="91"/>
        </w:numPr>
        <w:rPr>
          <w:rFonts w:ascii="Calibri" w:hAnsi="Calibri"/>
          <w:sz w:val="20"/>
          <w:szCs w:val="20"/>
        </w:rPr>
      </w:pPr>
      <w:r w:rsidRPr="00166DCC">
        <w:rPr>
          <w:rFonts w:ascii="Calibri" w:hAnsi="Calibri"/>
          <w:color w:val="000000"/>
          <w:sz w:val="20"/>
          <w:szCs w:val="20"/>
        </w:rPr>
        <w:t xml:space="preserve">90.7% of </w:t>
      </w:r>
      <w:r>
        <w:rPr>
          <w:rFonts w:ascii="Calibri" w:hAnsi="Calibri"/>
          <w:color w:val="000000"/>
          <w:sz w:val="20"/>
          <w:szCs w:val="20"/>
        </w:rPr>
        <w:t>participants said</w:t>
      </w:r>
      <w:r w:rsidRPr="00166DCC">
        <w:rPr>
          <w:rFonts w:ascii="Calibri" w:hAnsi="Calibri"/>
          <w:color w:val="000000"/>
          <w:sz w:val="20"/>
          <w:szCs w:val="20"/>
        </w:rPr>
        <w:t xml:space="preserve"> they </w:t>
      </w:r>
      <w:r>
        <w:rPr>
          <w:rFonts w:ascii="Calibri" w:hAnsi="Calibri"/>
          <w:color w:val="000000"/>
          <w:sz w:val="20"/>
          <w:szCs w:val="20"/>
        </w:rPr>
        <w:t>wanted</w:t>
      </w:r>
      <w:r w:rsidRPr="00166DCC">
        <w:rPr>
          <w:rFonts w:ascii="Calibri" w:hAnsi="Calibri"/>
          <w:color w:val="000000"/>
          <w:sz w:val="20"/>
          <w:szCs w:val="20"/>
        </w:rPr>
        <w:t xml:space="preserve"> more information on ED</w:t>
      </w:r>
      <w:r>
        <w:rPr>
          <w:rFonts w:ascii="Calibri" w:hAnsi="Calibri"/>
          <w:color w:val="000000"/>
          <w:sz w:val="20"/>
          <w:szCs w:val="20"/>
        </w:rPr>
        <w:t>.</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 xml:space="preserve">When one </w:t>
      </w:r>
      <w:r w:rsidRPr="001E6829">
        <w:rPr>
          <w:rFonts w:ascii="Calibri" w:hAnsi="Calibri"/>
          <w:sz w:val="20"/>
          <w:szCs w:val="20"/>
        </w:rPr>
        <w:t xml:space="preserve">field researcher </w:t>
      </w:r>
      <w:r>
        <w:rPr>
          <w:rFonts w:ascii="Calibri" w:hAnsi="Calibri"/>
          <w:sz w:val="20"/>
          <w:szCs w:val="20"/>
        </w:rPr>
        <w:t>gave</w:t>
      </w:r>
      <w:r w:rsidRPr="001E6829">
        <w:rPr>
          <w:rFonts w:ascii="Calibri" w:hAnsi="Calibri"/>
          <w:sz w:val="20"/>
          <w:szCs w:val="20"/>
        </w:rPr>
        <w:t xml:space="preserve"> a</w:t>
      </w:r>
      <w:r>
        <w:rPr>
          <w:rFonts w:ascii="Calibri" w:hAnsi="Calibri"/>
          <w:sz w:val="20"/>
          <w:szCs w:val="20"/>
        </w:rPr>
        <w:t>n MRE</w:t>
      </w:r>
      <w:r w:rsidRPr="001E6829">
        <w:rPr>
          <w:rFonts w:ascii="Calibri" w:hAnsi="Calibri"/>
          <w:sz w:val="20"/>
          <w:szCs w:val="20"/>
        </w:rPr>
        <w:t xml:space="preserve"> </w:t>
      </w:r>
      <w:r>
        <w:rPr>
          <w:rFonts w:ascii="Calibri" w:hAnsi="Calibri"/>
          <w:sz w:val="20"/>
          <w:szCs w:val="20"/>
        </w:rPr>
        <w:t>leaflet</w:t>
      </w:r>
      <w:r w:rsidRPr="001E6829">
        <w:rPr>
          <w:rFonts w:ascii="Calibri" w:hAnsi="Calibri"/>
          <w:sz w:val="20"/>
          <w:szCs w:val="20"/>
        </w:rPr>
        <w:t xml:space="preserve"> to a school teacher in Rupandehi, </w:t>
      </w:r>
      <w:r>
        <w:rPr>
          <w:rFonts w:ascii="Calibri" w:hAnsi="Calibri"/>
          <w:sz w:val="20"/>
          <w:szCs w:val="20"/>
        </w:rPr>
        <w:t>t</w:t>
      </w:r>
      <w:r w:rsidRPr="001E6829">
        <w:rPr>
          <w:rFonts w:ascii="Calibri" w:hAnsi="Calibri"/>
          <w:sz w:val="20"/>
          <w:szCs w:val="20"/>
        </w:rPr>
        <w:t xml:space="preserve">he </w:t>
      </w:r>
      <w:r>
        <w:rPr>
          <w:rFonts w:ascii="Calibri" w:hAnsi="Calibri"/>
          <w:sz w:val="20"/>
          <w:szCs w:val="20"/>
        </w:rPr>
        <w:t xml:space="preserve">teacher </w:t>
      </w:r>
      <w:r w:rsidRPr="001E6829">
        <w:rPr>
          <w:rFonts w:ascii="Calibri" w:hAnsi="Calibri"/>
          <w:sz w:val="20"/>
          <w:szCs w:val="20"/>
        </w:rPr>
        <w:t xml:space="preserve">reported that he had a similar one but had kept it in the box safely and had not disseminated information on it to </w:t>
      </w:r>
      <w:r>
        <w:rPr>
          <w:rFonts w:ascii="Calibri" w:hAnsi="Calibri"/>
          <w:sz w:val="20"/>
          <w:szCs w:val="20"/>
        </w:rPr>
        <w:t>his students.</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An MRE poster was posted to the outer wall of o</w:t>
      </w:r>
      <w:r w:rsidRPr="001E6829">
        <w:rPr>
          <w:rFonts w:ascii="Calibri" w:hAnsi="Calibri"/>
          <w:sz w:val="20"/>
          <w:szCs w:val="20"/>
        </w:rPr>
        <w:t>ne of the houses visited by the field researchers.  When the head of household was asked about the poster, he replied, “I do not know who stuck this poster here.  I just saw this poster now and I have not even read it and do not know what is written on it.”</w:t>
      </w:r>
    </w:p>
    <w:p w:rsidR="00B454FB" w:rsidRPr="001E6829" w:rsidRDefault="00B454FB" w:rsidP="00B454FB">
      <w:pPr>
        <w:pStyle w:val="ColorfulList-Accent11"/>
        <w:numPr>
          <w:ilvl w:val="1"/>
          <w:numId w:val="91"/>
        </w:numPr>
        <w:rPr>
          <w:rFonts w:ascii="Calibri" w:hAnsi="Calibri"/>
          <w:sz w:val="20"/>
          <w:szCs w:val="20"/>
        </w:rPr>
      </w:pPr>
      <w:r w:rsidRPr="001E6829">
        <w:rPr>
          <w:rFonts w:ascii="Calibri" w:hAnsi="Calibri"/>
          <w:color w:val="000000"/>
          <w:sz w:val="20"/>
          <w:szCs w:val="20"/>
        </w:rPr>
        <w:t xml:space="preserve">2.5% of </w:t>
      </w:r>
      <w:r>
        <w:rPr>
          <w:rFonts w:ascii="Calibri" w:hAnsi="Calibri"/>
          <w:color w:val="000000"/>
          <w:sz w:val="20"/>
          <w:szCs w:val="20"/>
        </w:rPr>
        <w:t>participants had attended a program about</w:t>
      </w:r>
      <w:r w:rsidRPr="001E6829">
        <w:rPr>
          <w:rFonts w:ascii="Calibri" w:hAnsi="Calibri"/>
          <w:color w:val="000000"/>
          <w:sz w:val="20"/>
          <w:szCs w:val="20"/>
        </w:rPr>
        <w:t xml:space="preserve"> the danger of ED</w:t>
      </w:r>
      <w:r>
        <w:rPr>
          <w:rFonts w:ascii="Calibri" w:hAnsi="Calibri"/>
          <w:color w:val="000000"/>
          <w:sz w:val="20"/>
          <w:szCs w:val="20"/>
        </w:rPr>
        <w:t>.</w:t>
      </w:r>
    </w:p>
    <w:p w:rsidR="00B454FB" w:rsidRPr="001E6829" w:rsidRDefault="00B454FB" w:rsidP="00B454FB">
      <w:pPr>
        <w:pStyle w:val="ColorfulList-Accent11"/>
        <w:numPr>
          <w:ilvl w:val="1"/>
          <w:numId w:val="91"/>
        </w:numPr>
        <w:rPr>
          <w:rFonts w:ascii="Calibri" w:hAnsi="Calibri"/>
          <w:sz w:val="20"/>
          <w:szCs w:val="20"/>
        </w:rPr>
      </w:pPr>
      <w:r w:rsidRPr="001E6829">
        <w:rPr>
          <w:rFonts w:ascii="Calibri" w:hAnsi="Calibri"/>
          <w:color w:val="000000"/>
          <w:sz w:val="20"/>
          <w:szCs w:val="20"/>
        </w:rPr>
        <w:t xml:space="preserve">2.2% (13 of 600) of adult </w:t>
      </w:r>
      <w:r>
        <w:rPr>
          <w:rFonts w:ascii="Calibri" w:hAnsi="Calibri"/>
          <w:color w:val="000000"/>
          <w:sz w:val="20"/>
          <w:szCs w:val="20"/>
        </w:rPr>
        <w:t>participants</w:t>
      </w:r>
      <w:r w:rsidRPr="001E6829">
        <w:rPr>
          <w:rFonts w:ascii="Calibri" w:hAnsi="Calibri"/>
          <w:color w:val="000000"/>
          <w:sz w:val="20"/>
          <w:szCs w:val="20"/>
        </w:rPr>
        <w:t xml:space="preserve"> had received materials on dangers of ED; of the 13, </w:t>
      </w:r>
      <w:r>
        <w:rPr>
          <w:rFonts w:ascii="Calibri" w:hAnsi="Calibri"/>
          <w:color w:val="000000"/>
          <w:sz w:val="20"/>
          <w:szCs w:val="20"/>
        </w:rPr>
        <w:t>nine</w:t>
      </w:r>
      <w:r w:rsidRPr="001E6829">
        <w:rPr>
          <w:rFonts w:ascii="Calibri" w:hAnsi="Calibri"/>
          <w:color w:val="000000"/>
          <w:sz w:val="20"/>
          <w:szCs w:val="20"/>
        </w:rPr>
        <w:t xml:space="preserve"> still had the</w:t>
      </w:r>
      <w:r>
        <w:rPr>
          <w:rFonts w:ascii="Calibri" w:hAnsi="Calibri"/>
          <w:color w:val="000000"/>
          <w:sz w:val="20"/>
          <w:szCs w:val="20"/>
        </w:rPr>
        <w:t xml:space="preserve"> materials</w:t>
      </w:r>
      <w:r w:rsidRPr="001E6829">
        <w:rPr>
          <w:rFonts w:ascii="Calibri" w:hAnsi="Calibri"/>
          <w:color w:val="000000"/>
          <w:sz w:val="20"/>
          <w:szCs w:val="20"/>
        </w:rPr>
        <w:t xml:space="preserve"> and were using them to educate others</w:t>
      </w:r>
      <w:r>
        <w:rPr>
          <w:rFonts w:ascii="Calibri" w:hAnsi="Calibri"/>
          <w:color w:val="000000"/>
          <w:sz w:val="20"/>
          <w:szCs w:val="20"/>
        </w:rPr>
        <w:t>.</w:t>
      </w:r>
    </w:p>
    <w:p w:rsidR="00B454FB" w:rsidRPr="001E6829" w:rsidRDefault="00B454FB" w:rsidP="00B454FB">
      <w:pPr>
        <w:pStyle w:val="ColorfulList-Accent11"/>
        <w:numPr>
          <w:ilvl w:val="0"/>
          <w:numId w:val="91"/>
        </w:numPr>
        <w:rPr>
          <w:rFonts w:ascii="Calibri" w:hAnsi="Calibri"/>
          <w:b/>
          <w:sz w:val="20"/>
          <w:szCs w:val="20"/>
        </w:rPr>
      </w:pPr>
      <w:r w:rsidRPr="001E6829">
        <w:rPr>
          <w:rFonts w:ascii="Calibri" w:hAnsi="Calibri"/>
          <w:b/>
          <w:sz w:val="20"/>
          <w:szCs w:val="20"/>
        </w:rPr>
        <w:t>Identification of ED</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 xml:space="preserve">Different shapes of ED have made it difficult for participants </w:t>
      </w:r>
      <w:r w:rsidRPr="00166DCC">
        <w:rPr>
          <w:rFonts w:ascii="Calibri" w:hAnsi="Calibri"/>
          <w:sz w:val="20"/>
          <w:szCs w:val="20"/>
        </w:rPr>
        <w:t xml:space="preserve">to identify </w:t>
      </w:r>
      <w:r>
        <w:rPr>
          <w:rFonts w:ascii="Calibri" w:hAnsi="Calibri"/>
          <w:sz w:val="20"/>
          <w:szCs w:val="20"/>
        </w:rPr>
        <w:t>objects; injured individuals</w:t>
      </w:r>
      <w:r w:rsidRPr="00166DCC">
        <w:rPr>
          <w:rFonts w:ascii="Calibri" w:hAnsi="Calibri"/>
          <w:sz w:val="20"/>
          <w:szCs w:val="20"/>
        </w:rPr>
        <w:t xml:space="preserve"> told </w:t>
      </w:r>
      <w:r>
        <w:rPr>
          <w:rFonts w:ascii="Calibri" w:hAnsi="Calibri"/>
          <w:sz w:val="20"/>
          <w:szCs w:val="20"/>
        </w:rPr>
        <w:t xml:space="preserve">field researchers that ED looked like several different shapes: a </w:t>
      </w:r>
      <w:r w:rsidRPr="001E6829">
        <w:rPr>
          <w:rFonts w:ascii="Calibri" w:hAnsi="Calibri"/>
          <w:i/>
          <w:sz w:val="20"/>
          <w:szCs w:val="20"/>
        </w:rPr>
        <w:t>pitchkari</w:t>
      </w:r>
      <w:r>
        <w:rPr>
          <w:rFonts w:ascii="Calibri" w:hAnsi="Calibri"/>
          <w:sz w:val="20"/>
          <w:szCs w:val="20"/>
        </w:rPr>
        <w:t xml:space="preserve"> (big water gun), a chili, and an egg.</w:t>
      </w:r>
    </w:p>
    <w:p w:rsidR="00B454FB" w:rsidRPr="001E6829" w:rsidRDefault="00B454FB" w:rsidP="00B454FB">
      <w:pPr>
        <w:pStyle w:val="ColorfulList-Accent11"/>
        <w:numPr>
          <w:ilvl w:val="1"/>
          <w:numId w:val="91"/>
        </w:numPr>
        <w:rPr>
          <w:rFonts w:ascii="Calibri" w:hAnsi="Calibri"/>
          <w:sz w:val="20"/>
          <w:szCs w:val="20"/>
        </w:rPr>
      </w:pPr>
      <w:r w:rsidRPr="001E6829">
        <w:rPr>
          <w:rFonts w:ascii="Calibri" w:hAnsi="Calibri"/>
          <w:color w:val="000000"/>
          <w:sz w:val="20"/>
          <w:szCs w:val="20"/>
        </w:rPr>
        <w:t>37.7% of child</w:t>
      </w:r>
      <w:r>
        <w:rPr>
          <w:rFonts w:ascii="Calibri" w:hAnsi="Calibri"/>
          <w:color w:val="000000"/>
          <w:sz w:val="20"/>
          <w:szCs w:val="20"/>
        </w:rPr>
        <w:t xml:space="preserve"> participants</w:t>
      </w:r>
      <w:r w:rsidRPr="001E6829">
        <w:rPr>
          <w:rFonts w:ascii="Calibri" w:hAnsi="Calibri"/>
          <w:color w:val="000000"/>
          <w:sz w:val="20"/>
          <w:szCs w:val="20"/>
        </w:rPr>
        <w:t xml:space="preserve"> c</w:t>
      </w:r>
      <w:r>
        <w:rPr>
          <w:rFonts w:ascii="Calibri" w:hAnsi="Calibri"/>
          <w:color w:val="000000"/>
          <w:sz w:val="20"/>
          <w:szCs w:val="20"/>
        </w:rPr>
        <w:t>ould</w:t>
      </w:r>
      <w:r w:rsidRPr="001E6829">
        <w:rPr>
          <w:rFonts w:ascii="Calibri" w:hAnsi="Calibri"/>
          <w:color w:val="000000"/>
          <w:sz w:val="20"/>
          <w:szCs w:val="20"/>
        </w:rPr>
        <w:t xml:space="preserve"> identify </w:t>
      </w:r>
      <w:r>
        <w:rPr>
          <w:rFonts w:ascii="Calibri" w:hAnsi="Calibri"/>
          <w:color w:val="000000"/>
          <w:sz w:val="20"/>
          <w:szCs w:val="20"/>
        </w:rPr>
        <w:t xml:space="preserve">a photograph of a </w:t>
      </w:r>
      <w:r w:rsidRPr="001E6829">
        <w:rPr>
          <w:rFonts w:ascii="Calibri" w:hAnsi="Calibri"/>
          <w:color w:val="000000"/>
          <w:sz w:val="20"/>
          <w:szCs w:val="20"/>
        </w:rPr>
        <w:t xml:space="preserve">socket bomb as </w:t>
      </w:r>
      <w:r>
        <w:rPr>
          <w:rFonts w:ascii="Calibri" w:hAnsi="Calibri"/>
          <w:color w:val="000000"/>
          <w:sz w:val="20"/>
          <w:szCs w:val="20"/>
        </w:rPr>
        <w:t xml:space="preserve">a </w:t>
      </w:r>
      <w:r w:rsidRPr="001E6829">
        <w:rPr>
          <w:rFonts w:ascii="Calibri" w:hAnsi="Calibri"/>
          <w:color w:val="000000"/>
          <w:sz w:val="20"/>
          <w:szCs w:val="20"/>
        </w:rPr>
        <w:t>socket bomb or bomb; 35.9</w:t>
      </w:r>
      <w:r>
        <w:rPr>
          <w:rFonts w:ascii="Calibri" w:hAnsi="Calibri"/>
          <w:color w:val="000000"/>
          <w:sz w:val="20"/>
          <w:szCs w:val="20"/>
        </w:rPr>
        <w:t xml:space="preserve"> and 41.3</w:t>
      </w:r>
      <w:r w:rsidRPr="001E6829">
        <w:rPr>
          <w:rFonts w:ascii="Calibri" w:hAnsi="Calibri"/>
          <w:color w:val="000000"/>
          <w:sz w:val="20"/>
          <w:szCs w:val="20"/>
        </w:rPr>
        <w:t>%</w:t>
      </w:r>
      <w:r>
        <w:rPr>
          <w:rFonts w:ascii="Calibri" w:hAnsi="Calibri"/>
          <w:color w:val="000000"/>
          <w:sz w:val="20"/>
          <w:szCs w:val="20"/>
        </w:rPr>
        <w:t xml:space="preserve"> could do so for mortar shells and sutali bombs, respectively.</w:t>
      </w:r>
    </w:p>
    <w:p w:rsidR="00B454FB" w:rsidRPr="001E6829" w:rsidRDefault="00B454FB" w:rsidP="00B454FB">
      <w:pPr>
        <w:pStyle w:val="ColorfulList-Accent11"/>
        <w:numPr>
          <w:ilvl w:val="1"/>
          <w:numId w:val="91"/>
        </w:numPr>
        <w:rPr>
          <w:rFonts w:ascii="Calibri" w:hAnsi="Calibri"/>
          <w:sz w:val="20"/>
          <w:szCs w:val="20"/>
        </w:rPr>
      </w:pPr>
      <w:r w:rsidRPr="001E6829">
        <w:rPr>
          <w:rFonts w:ascii="Calibri" w:hAnsi="Calibri"/>
          <w:color w:val="000000"/>
          <w:sz w:val="20"/>
          <w:szCs w:val="20"/>
        </w:rPr>
        <w:t>32.2% of child</w:t>
      </w:r>
      <w:r>
        <w:rPr>
          <w:rFonts w:ascii="Calibri" w:hAnsi="Calibri"/>
          <w:color w:val="000000"/>
          <w:sz w:val="20"/>
          <w:szCs w:val="20"/>
        </w:rPr>
        <w:t xml:space="preserve"> participants</w:t>
      </w:r>
      <w:r w:rsidRPr="001E6829">
        <w:rPr>
          <w:rFonts w:ascii="Calibri" w:hAnsi="Calibri"/>
          <w:color w:val="000000"/>
          <w:sz w:val="20"/>
          <w:szCs w:val="20"/>
        </w:rPr>
        <w:t xml:space="preserve"> c</w:t>
      </w:r>
      <w:r>
        <w:rPr>
          <w:rFonts w:ascii="Calibri" w:hAnsi="Calibri"/>
          <w:color w:val="000000"/>
          <w:sz w:val="20"/>
          <w:szCs w:val="20"/>
        </w:rPr>
        <w:t>ould</w:t>
      </w:r>
      <w:r w:rsidRPr="001E6829">
        <w:rPr>
          <w:rFonts w:ascii="Calibri" w:hAnsi="Calibri"/>
          <w:color w:val="000000"/>
          <w:sz w:val="20"/>
          <w:szCs w:val="20"/>
        </w:rPr>
        <w:t xml:space="preserve"> identify </w:t>
      </w:r>
      <w:r>
        <w:rPr>
          <w:rFonts w:ascii="Calibri" w:hAnsi="Calibri"/>
          <w:color w:val="000000"/>
          <w:sz w:val="20"/>
          <w:szCs w:val="20"/>
        </w:rPr>
        <w:t xml:space="preserve">a </w:t>
      </w:r>
      <w:r w:rsidRPr="001E6829">
        <w:rPr>
          <w:rFonts w:ascii="Calibri" w:hAnsi="Calibri"/>
          <w:color w:val="000000"/>
          <w:sz w:val="20"/>
          <w:szCs w:val="20"/>
        </w:rPr>
        <w:t>hazard sign</w:t>
      </w:r>
      <w:r>
        <w:rPr>
          <w:rFonts w:ascii="Calibri" w:hAnsi="Calibri"/>
          <w:color w:val="000000"/>
          <w:sz w:val="20"/>
          <w:szCs w:val="20"/>
        </w:rPr>
        <w:t>.</w:t>
      </w:r>
    </w:p>
    <w:p w:rsidR="00B454FB" w:rsidRPr="006C1A09" w:rsidRDefault="00B454FB" w:rsidP="00B454FB">
      <w:pPr>
        <w:pStyle w:val="ColorfulList-Accent11"/>
        <w:numPr>
          <w:ilvl w:val="0"/>
          <w:numId w:val="91"/>
        </w:numPr>
        <w:rPr>
          <w:rFonts w:ascii="Calibri" w:hAnsi="Calibri"/>
          <w:sz w:val="20"/>
          <w:szCs w:val="20"/>
        </w:rPr>
      </w:pPr>
      <w:r>
        <w:rPr>
          <w:rFonts w:ascii="Calibri" w:hAnsi="Calibri"/>
          <w:b/>
          <w:color w:val="000000"/>
          <w:sz w:val="20"/>
          <w:szCs w:val="20"/>
        </w:rPr>
        <w:t>Theoretical behaviors</w:t>
      </w:r>
    </w:p>
    <w:p w:rsidR="00B454FB" w:rsidRDefault="00B454FB" w:rsidP="00B454FB">
      <w:pPr>
        <w:pStyle w:val="ColorfulList-Accent11"/>
        <w:numPr>
          <w:ilvl w:val="1"/>
          <w:numId w:val="91"/>
        </w:numPr>
        <w:rPr>
          <w:rFonts w:ascii="Calibri" w:hAnsi="Calibri"/>
          <w:sz w:val="20"/>
          <w:szCs w:val="20"/>
        </w:rPr>
      </w:pPr>
      <w:r w:rsidRPr="006C1A09">
        <w:rPr>
          <w:rFonts w:ascii="Calibri" w:hAnsi="Calibri"/>
          <w:sz w:val="20"/>
          <w:szCs w:val="20"/>
        </w:rPr>
        <w:t>39.3% of adult</w:t>
      </w:r>
      <w:r>
        <w:rPr>
          <w:rFonts w:ascii="Calibri" w:hAnsi="Calibri"/>
          <w:sz w:val="20"/>
          <w:szCs w:val="20"/>
        </w:rPr>
        <w:t xml:space="preserve"> participant</w:t>
      </w:r>
      <w:r w:rsidRPr="006C1A09">
        <w:rPr>
          <w:rFonts w:ascii="Calibri" w:hAnsi="Calibri"/>
          <w:sz w:val="20"/>
          <w:szCs w:val="20"/>
        </w:rPr>
        <w:t>s said they would</w:t>
      </w:r>
      <w:r>
        <w:rPr>
          <w:rFonts w:ascii="Calibri" w:hAnsi="Calibri"/>
          <w:sz w:val="20"/>
          <w:szCs w:val="20"/>
        </w:rPr>
        <w:t xml:space="preserve"> </w:t>
      </w:r>
      <w:r w:rsidRPr="006C1A09">
        <w:rPr>
          <w:rFonts w:ascii="Calibri" w:hAnsi="Calibri"/>
          <w:sz w:val="20"/>
          <w:szCs w:val="20"/>
        </w:rPr>
        <w:t>n</w:t>
      </w:r>
      <w:r>
        <w:rPr>
          <w:rFonts w:ascii="Calibri" w:hAnsi="Calibri"/>
          <w:sz w:val="20"/>
          <w:szCs w:val="20"/>
        </w:rPr>
        <w:t>o</w:t>
      </w:r>
      <w:r w:rsidRPr="006C1A09">
        <w:rPr>
          <w:rFonts w:ascii="Calibri" w:hAnsi="Calibri"/>
          <w:sz w:val="20"/>
          <w:szCs w:val="20"/>
        </w:rPr>
        <w:t xml:space="preserve">t know what to do if they found a suspicious object; 24.2% said they would throw it away, 7.0% would carefully hide it in a safe area, </w:t>
      </w:r>
      <w:r>
        <w:rPr>
          <w:rFonts w:ascii="Calibri" w:hAnsi="Calibri"/>
          <w:sz w:val="20"/>
          <w:szCs w:val="20"/>
        </w:rPr>
        <w:t xml:space="preserve">and </w:t>
      </w:r>
      <w:r w:rsidRPr="006C1A09">
        <w:rPr>
          <w:rFonts w:ascii="Calibri" w:hAnsi="Calibri"/>
          <w:sz w:val="20"/>
          <w:szCs w:val="20"/>
        </w:rPr>
        <w:t>3.2% would bring it home</w:t>
      </w:r>
      <w:r>
        <w:rPr>
          <w:rFonts w:ascii="Calibri" w:hAnsi="Calibri"/>
          <w:sz w:val="20"/>
          <w:szCs w:val="20"/>
        </w:rPr>
        <w:t>.</w:t>
      </w:r>
    </w:p>
    <w:p w:rsidR="00B454FB" w:rsidRPr="006C1A09" w:rsidRDefault="00B454FB" w:rsidP="00B454FB">
      <w:pPr>
        <w:pStyle w:val="ColorfulList-Accent11"/>
        <w:numPr>
          <w:ilvl w:val="1"/>
          <w:numId w:val="91"/>
        </w:numPr>
        <w:rPr>
          <w:rFonts w:ascii="Calibri" w:hAnsi="Calibri"/>
          <w:sz w:val="20"/>
          <w:szCs w:val="20"/>
        </w:rPr>
      </w:pPr>
      <w:r w:rsidRPr="006C1A09">
        <w:rPr>
          <w:rFonts w:ascii="Calibri" w:hAnsi="Calibri"/>
          <w:color w:val="000000"/>
          <w:sz w:val="20"/>
          <w:szCs w:val="20"/>
        </w:rPr>
        <w:t>20.8% of child</w:t>
      </w:r>
      <w:r>
        <w:rPr>
          <w:rFonts w:ascii="Calibri" w:hAnsi="Calibri"/>
          <w:color w:val="000000"/>
          <w:sz w:val="20"/>
          <w:szCs w:val="20"/>
        </w:rPr>
        <w:t xml:space="preserve"> participants</w:t>
      </w:r>
      <w:r w:rsidRPr="006C1A09">
        <w:rPr>
          <w:rFonts w:ascii="Calibri" w:hAnsi="Calibri"/>
          <w:color w:val="000000"/>
          <w:sz w:val="20"/>
          <w:szCs w:val="20"/>
        </w:rPr>
        <w:t xml:space="preserve"> </w:t>
      </w:r>
      <w:r>
        <w:rPr>
          <w:rFonts w:ascii="Calibri" w:hAnsi="Calibri"/>
          <w:color w:val="000000"/>
          <w:sz w:val="20"/>
          <w:szCs w:val="20"/>
        </w:rPr>
        <w:t xml:space="preserve">said they </w:t>
      </w:r>
      <w:r w:rsidRPr="006C1A09">
        <w:rPr>
          <w:rFonts w:ascii="Calibri" w:hAnsi="Calibri"/>
          <w:color w:val="000000"/>
          <w:sz w:val="20"/>
          <w:szCs w:val="20"/>
        </w:rPr>
        <w:t xml:space="preserve">would keep quiet </w:t>
      </w:r>
      <w:r>
        <w:rPr>
          <w:rFonts w:ascii="Calibri" w:hAnsi="Calibri"/>
          <w:color w:val="000000"/>
          <w:sz w:val="20"/>
          <w:szCs w:val="20"/>
        </w:rPr>
        <w:t xml:space="preserve">if they saw a socket bomb lying on the ground; </w:t>
      </w:r>
      <w:r w:rsidRPr="006C1A09">
        <w:rPr>
          <w:rFonts w:ascii="Calibri" w:hAnsi="Calibri"/>
          <w:color w:val="000000"/>
          <w:sz w:val="20"/>
          <w:szCs w:val="20"/>
        </w:rPr>
        <w:t xml:space="preserve">18.3% would take it home </w:t>
      </w:r>
      <w:r>
        <w:rPr>
          <w:rFonts w:ascii="Calibri" w:hAnsi="Calibri"/>
          <w:color w:val="000000"/>
          <w:sz w:val="20"/>
          <w:szCs w:val="20"/>
        </w:rPr>
        <w:t xml:space="preserve">and </w:t>
      </w:r>
      <w:r w:rsidRPr="006C1A09">
        <w:rPr>
          <w:rFonts w:ascii="Calibri" w:hAnsi="Calibri"/>
          <w:color w:val="000000"/>
          <w:sz w:val="20"/>
          <w:szCs w:val="20"/>
        </w:rPr>
        <w:t>27.0% would touch it</w:t>
      </w:r>
      <w:r>
        <w:rPr>
          <w:rFonts w:ascii="Calibri" w:hAnsi="Calibri"/>
          <w:color w:val="000000"/>
          <w:sz w:val="20"/>
          <w:szCs w:val="20"/>
        </w:rPr>
        <w:t>.</w:t>
      </w:r>
    </w:p>
    <w:p w:rsidR="00B454FB" w:rsidRPr="006C1A09" w:rsidRDefault="00B454FB" w:rsidP="00B454FB">
      <w:pPr>
        <w:pStyle w:val="ColorfulList-Accent11"/>
        <w:numPr>
          <w:ilvl w:val="1"/>
          <w:numId w:val="91"/>
        </w:numPr>
        <w:rPr>
          <w:rFonts w:ascii="Calibri" w:hAnsi="Calibri"/>
          <w:sz w:val="20"/>
          <w:szCs w:val="20"/>
        </w:rPr>
      </w:pPr>
      <w:r>
        <w:rPr>
          <w:rFonts w:ascii="Calibri" w:hAnsi="Calibri"/>
          <w:color w:val="000000"/>
          <w:sz w:val="20"/>
          <w:szCs w:val="20"/>
        </w:rPr>
        <w:t xml:space="preserve">20.2% of child participants said they would keep quiet if they saw a mortar shell lying on the ground; </w:t>
      </w:r>
      <w:r w:rsidRPr="006C1A09">
        <w:rPr>
          <w:rFonts w:ascii="Calibri" w:hAnsi="Calibri"/>
          <w:color w:val="000000"/>
          <w:sz w:val="20"/>
          <w:szCs w:val="20"/>
        </w:rPr>
        <w:t xml:space="preserve">17.5% would </w:t>
      </w:r>
      <w:r>
        <w:rPr>
          <w:rFonts w:ascii="Calibri" w:hAnsi="Calibri"/>
          <w:color w:val="000000"/>
          <w:sz w:val="20"/>
          <w:szCs w:val="20"/>
        </w:rPr>
        <w:t>take</w:t>
      </w:r>
      <w:r w:rsidRPr="006C1A09">
        <w:rPr>
          <w:rFonts w:ascii="Calibri" w:hAnsi="Calibri"/>
          <w:color w:val="000000"/>
          <w:sz w:val="20"/>
          <w:szCs w:val="20"/>
        </w:rPr>
        <w:t xml:space="preserve"> it home</w:t>
      </w:r>
      <w:r>
        <w:rPr>
          <w:rFonts w:ascii="Calibri" w:hAnsi="Calibri"/>
          <w:color w:val="000000"/>
          <w:sz w:val="20"/>
          <w:szCs w:val="20"/>
        </w:rPr>
        <w:t xml:space="preserve"> and</w:t>
      </w:r>
      <w:r w:rsidRPr="006C1A09">
        <w:rPr>
          <w:rFonts w:ascii="Calibri" w:hAnsi="Calibri"/>
          <w:color w:val="000000"/>
          <w:sz w:val="20"/>
          <w:szCs w:val="20"/>
        </w:rPr>
        <w:t xml:space="preserve"> 26.8% would touch it</w:t>
      </w:r>
      <w:r>
        <w:rPr>
          <w:rFonts w:ascii="Calibri" w:hAnsi="Calibri"/>
          <w:color w:val="000000"/>
          <w:sz w:val="20"/>
          <w:szCs w:val="20"/>
        </w:rPr>
        <w:t>.</w:t>
      </w:r>
    </w:p>
    <w:p w:rsidR="00B454FB" w:rsidRPr="006C1A09" w:rsidRDefault="00B454FB" w:rsidP="00B454FB">
      <w:pPr>
        <w:pStyle w:val="ColorfulList-Accent11"/>
        <w:numPr>
          <w:ilvl w:val="1"/>
          <w:numId w:val="91"/>
        </w:numPr>
        <w:rPr>
          <w:rFonts w:ascii="Calibri" w:hAnsi="Calibri"/>
          <w:sz w:val="20"/>
          <w:szCs w:val="20"/>
        </w:rPr>
      </w:pPr>
      <w:r>
        <w:rPr>
          <w:rFonts w:ascii="Calibri" w:hAnsi="Calibri"/>
          <w:color w:val="000000"/>
          <w:sz w:val="20"/>
          <w:szCs w:val="20"/>
        </w:rPr>
        <w:t>17.8% o</w:t>
      </w:r>
      <w:r w:rsidRPr="006C1A09">
        <w:rPr>
          <w:rFonts w:ascii="Calibri" w:hAnsi="Calibri"/>
          <w:color w:val="000000"/>
          <w:sz w:val="20"/>
          <w:szCs w:val="20"/>
        </w:rPr>
        <w:t xml:space="preserve">f child </w:t>
      </w:r>
      <w:r>
        <w:rPr>
          <w:rFonts w:ascii="Calibri" w:hAnsi="Calibri"/>
          <w:color w:val="000000"/>
          <w:sz w:val="20"/>
          <w:szCs w:val="20"/>
        </w:rPr>
        <w:t xml:space="preserve">participants said they would keep quiet if they </w:t>
      </w:r>
      <w:r w:rsidRPr="006C1A09">
        <w:rPr>
          <w:rFonts w:ascii="Calibri" w:hAnsi="Calibri"/>
          <w:color w:val="000000"/>
          <w:sz w:val="20"/>
          <w:szCs w:val="20"/>
        </w:rPr>
        <w:t xml:space="preserve">saw </w:t>
      </w:r>
      <w:r>
        <w:rPr>
          <w:rFonts w:ascii="Calibri" w:hAnsi="Calibri"/>
          <w:color w:val="000000"/>
          <w:sz w:val="20"/>
          <w:szCs w:val="20"/>
        </w:rPr>
        <w:t xml:space="preserve">an </w:t>
      </w:r>
      <w:r w:rsidRPr="006C1A09">
        <w:rPr>
          <w:rFonts w:ascii="Calibri" w:hAnsi="Calibri"/>
          <w:color w:val="000000"/>
          <w:sz w:val="20"/>
          <w:szCs w:val="20"/>
        </w:rPr>
        <w:t>abandoned bag</w:t>
      </w:r>
      <w:r>
        <w:rPr>
          <w:rFonts w:ascii="Calibri" w:hAnsi="Calibri"/>
          <w:color w:val="000000"/>
          <w:sz w:val="20"/>
          <w:szCs w:val="20"/>
        </w:rPr>
        <w:t xml:space="preserve"> lying on the ground; 18.2% would take it home and</w:t>
      </w:r>
      <w:r w:rsidRPr="006C1A09">
        <w:rPr>
          <w:rFonts w:ascii="Calibri" w:hAnsi="Calibri"/>
          <w:color w:val="000000"/>
          <w:sz w:val="20"/>
          <w:szCs w:val="20"/>
        </w:rPr>
        <w:t xml:space="preserve"> 26.7% would open it</w:t>
      </w:r>
      <w:r>
        <w:rPr>
          <w:rFonts w:ascii="Calibri" w:hAnsi="Calibri"/>
          <w:color w:val="000000"/>
          <w:sz w:val="20"/>
          <w:szCs w:val="20"/>
        </w:rPr>
        <w:t>.</w:t>
      </w:r>
    </w:p>
    <w:p w:rsidR="00B454FB" w:rsidRPr="006C1A09" w:rsidRDefault="00B454FB" w:rsidP="00B454FB">
      <w:pPr>
        <w:pStyle w:val="ColorfulList-Accent11"/>
        <w:numPr>
          <w:ilvl w:val="1"/>
          <w:numId w:val="91"/>
        </w:numPr>
        <w:rPr>
          <w:rFonts w:ascii="Calibri" w:hAnsi="Calibri"/>
          <w:sz w:val="20"/>
          <w:szCs w:val="20"/>
        </w:rPr>
      </w:pPr>
      <w:r>
        <w:rPr>
          <w:rFonts w:ascii="Calibri" w:hAnsi="Calibri"/>
          <w:color w:val="000000"/>
          <w:sz w:val="20"/>
          <w:szCs w:val="20"/>
        </w:rPr>
        <w:t>23.2% o</w:t>
      </w:r>
      <w:r w:rsidRPr="006C1A09">
        <w:rPr>
          <w:rFonts w:ascii="Calibri" w:hAnsi="Calibri"/>
          <w:color w:val="000000"/>
          <w:sz w:val="20"/>
          <w:szCs w:val="20"/>
        </w:rPr>
        <w:t xml:space="preserve">f children </w:t>
      </w:r>
      <w:r>
        <w:rPr>
          <w:rFonts w:ascii="Calibri" w:hAnsi="Calibri"/>
          <w:color w:val="000000"/>
          <w:sz w:val="20"/>
          <w:szCs w:val="20"/>
        </w:rPr>
        <w:t>said they would touch a sutali bomb if they found it lying on the ground; 11.1% would bring it home and</w:t>
      </w:r>
      <w:r w:rsidRPr="006C1A09">
        <w:rPr>
          <w:rFonts w:ascii="Calibri" w:hAnsi="Calibri"/>
          <w:color w:val="000000"/>
          <w:sz w:val="20"/>
          <w:szCs w:val="20"/>
        </w:rPr>
        <w:t xml:space="preserve"> 2.7% would pick it up and throw it</w:t>
      </w:r>
      <w:r>
        <w:rPr>
          <w:rFonts w:ascii="Calibri" w:hAnsi="Calibri"/>
          <w:color w:val="000000"/>
          <w:sz w:val="20"/>
          <w:szCs w:val="20"/>
        </w:rPr>
        <w:t>.</w:t>
      </w:r>
    </w:p>
    <w:p w:rsidR="00B454FB" w:rsidRPr="006C1A09" w:rsidRDefault="00B454FB" w:rsidP="00B454FB">
      <w:pPr>
        <w:pStyle w:val="ColorfulList-Accent11"/>
        <w:numPr>
          <w:ilvl w:val="0"/>
          <w:numId w:val="91"/>
        </w:numPr>
        <w:rPr>
          <w:rFonts w:ascii="Calibri" w:hAnsi="Calibri"/>
          <w:sz w:val="20"/>
          <w:szCs w:val="20"/>
        </w:rPr>
      </w:pPr>
      <w:r>
        <w:rPr>
          <w:rFonts w:ascii="Calibri" w:hAnsi="Calibri"/>
          <w:b/>
          <w:sz w:val="20"/>
          <w:szCs w:val="20"/>
        </w:rPr>
        <w:t>Knowledge</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8.5</w:t>
      </w:r>
      <w:r w:rsidRPr="006C1A09">
        <w:rPr>
          <w:rFonts w:ascii="Calibri" w:hAnsi="Calibri"/>
          <w:sz w:val="20"/>
          <w:szCs w:val="20"/>
        </w:rPr>
        <w:t xml:space="preserve">% </w:t>
      </w:r>
      <w:r>
        <w:rPr>
          <w:rFonts w:ascii="Calibri" w:hAnsi="Calibri"/>
          <w:sz w:val="20"/>
          <w:szCs w:val="20"/>
        </w:rPr>
        <w:t xml:space="preserve">of participants </w:t>
      </w:r>
      <w:r w:rsidRPr="006C1A09">
        <w:rPr>
          <w:rFonts w:ascii="Calibri" w:hAnsi="Calibri"/>
          <w:sz w:val="20"/>
          <w:szCs w:val="20"/>
        </w:rPr>
        <w:t>disagree</w:t>
      </w:r>
      <w:r>
        <w:rPr>
          <w:rFonts w:ascii="Calibri" w:hAnsi="Calibri"/>
          <w:sz w:val="20"/>
          <w:szCs w:val="20"/>
        </w:rPr>
        <w:t>d</w:t>
      </w:r>
      <w:r w:rsidRPr="006C1A09">
        <w:rPr>
          <w:rFonts w:ascii="Calibri" w:hAnsi="Calibri"/>
          <w:sz w:val="20"/>
          <w:szCs w:val="20"/>
        </w:rPr>
        <w:t xml:space="preserve"> to some extent or completely</w:t>
      </w:r>
      <w:r>
        <w:rPr>
          <w:rFonts w:ascii="Calibri" w:hAnsi="Calibri"/>
          <w:sz w:val="20"/>
          <w:szCs w:val="20"/>
        </w:rPr>
        <w:t xml:space="preserve"> </w:t>
      </w:r>
      <w:r w:rsidRPr="006C1A09">
        <w:rPr>
          <w:rFonts w:ascii="Calibri" w:hAnsi="Calibri"/>
          <w:sz w:val="20"/>
          <w:szCs w:val="20"/>
        </w:rPr>
        <w:t xml:space="preserve">that ED </w:t>
      </w:r>
      <w:r>
        <w:rPr>
          <w:rFonts w:ascii="Calibri" w:hAnsi="Calibri"/>
          <w:sz w:val="20"/>
          <w:szCs w:val="20"/>
        </w:rPr>
        <w:t xml:space="preserve">may be located </w:t>
      </w:r>
      <w:r w:rsidRPr="006C1A09">
        <w:rPr>
          <w:rFonts w:ascii="Calibri" w:hAnsi="Calibri"/>
          <w:sz w:val="20"/>
          <w:szCs w:val="20"/>
        </w:rPr>
        <w:t>in garbage dumps</w:t>
      </w:r>
      <w:r>
        <w:rPr>
          <w:rFonts w:ascii="Calibri" w:hAnsi="Calibri"/>
          <w:sz w:val="20"/>
          <w:szCs w:val="20"/>
        </w:rPr>
        <w:t>.</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15.2</w:t>
      </w:r>
      <w:r w:rsidRPr="006C1A09">
        <w:rPr>
          <w:rFonts w:ascii="Calibri" w:hAnsi="Calibri"/>
          <w:sz w:val="20"/>
          <w:szCs w:val="20"/>
        </w:rPr>
        <w:t xml:space="preserve">% </w:t>
      </w:r>
      <w:r>
        <w:rPr>
          <w:rFonts w:ascii="Calibri" w:hAnsi="Calibri"/>
          <w:sz w:val="20"/>
          <w:szCs w:val="20"/>
        </w:rPr>
        <w:t xml:space="preserve">of participants </w:t>
      </w:r>
      <w:r w:rsidRPr="006C1A09">
        <w:rPr>
          <w:rFonts w:ascii="Calibri" w:hAnsi="Calibri"/>
          <w:sz w:val="20"/>
          <w:szCs w:val="20"/>
        </w:rPr>
        <w:t>disagree</w:t>
      </w:r>
      <w:r>
        <w:rPr>
          <w:rFonts w:ascii="Calibri" w:hAnsi="Calibri"/>
          <w:sz w:val="20"/>
          <w:szCs w:val="20"/>
        </w:rPr>
        <w:t>d</w:t>
      </w:r>
      <w:r w:rsidRPr="006C1A09">
        <w:rPr>
          <w:rFonts w:ascii="Calibri" w:hAnsi="Calibri"/>
          <w:sz w:val="20"/>
          <w:szCs w:val="20"/>
        </w:rPr>
        <w:t xml:space="preserve"> to some extent or completely</w:t>
      </w:r>
      <w:r>
        <w:rPr>
          <w:rFonts w:ascii="Calibri" w:hAnsi="Calibri"/>
          <w:sz w:val="20"/>
          <w:szCs w:val="20"/>
        </w:rPr>
        <w:t xml:space="preserve"> that </w:t>
      </w:r>
      <w:r w:rsidRPr="006C1A09">
        <w:rPr>
          <w:rFonts w:ascii="Calibri" w:hAnsi="Calibri"/>
          <w:sz w:val="20"/>
          <w:szCs w:val="20"/>
        </w:rPr>
        <w:t xml:space="preserve">ED </w:t>
      </w:r>
      <w:r>
        <w:rPr>
          <w:rFonts w:ascii="Calibri" w:hAnsi="Calibri"/>
          <w:sz w:val="20"/>
          <w:szCs w:val="20"/>
        </w:rPr>
        <w:t xml:space="preserve">may be located </w:t>
      </w:r>
      <w:r w:rsidRPr="006C1A09">
        <w:rPr>
          <w:rFonts w:ascii="Calibri" w:hAnsi="Calibri"/>
          <w:sz w:val="20"/>
          <w:szCs w:val="20"/>
        </w:rPr>
        <w:t xml:space="preserve">in rivers or along </w:t>
      </w:r>
      <w:r>
        <w:rPr>
          <w:rFonts w:ascii="Calibri" w:hAnsi="Calibri"/>
          <w:sz w:val="20"/>
          <w:szCs w:val="20"/>
        </w:rPr>
        <w:t>river</w:t>
      </w:r>
      <w:r w:rsidRPr="006C1A09">
        <w:rPr>
          <w:rFonts w:ascii="Calibri" w:hAnsi="Calibri"/>
          <w:sz w:val="20"/>
          <w:szCs w:val="20"/>
        </w:rPr>
        <w:t>banks</w:t>
      </w:r>
      <w:r>
        <w:rPr>
          <w:rFonts w:ascii="Calibri" w:hAnsi="Calibri"/>
          <w:sz w:val="20"/>
          <w:szCs w:val="20"/>
        </w:rPr>
        <w:t>.</w:t>
      </w:r>
      <w:r w:rsidRPr="006C1A09">
        <w:rPr>
          <w:rFonts w:ascii="Calibri" w:hAnsi="Calibri"/>
          <w:sz w:val="20"/>
          <w:szCs w:val="20"/>
        </w:rPr>
        <w:t xml:space="preserve"> </w:t>
      </w:r>
    </w:p>
    <w:p w:rsidR="00B454FB" w:rsidRPr="000E7FD3" w:rsidRDefault="00B454FB" w:rsidP="00B454FB">
      <w:pPr>
        <w:pStyle w:val="ColorfulList-Accent11"/>
        <w:numPr>
          <w:ilvl w:val="1"/>
          <w:numId w:val="91"/>
        </w:numPr>
        <w:rPr>
          <w:rFonts w:ascii="Calibri" w:hAnsi="Calibri"/>
          <w:sz w:val="20"/>
          <w:szCs w:val="20"/>
        </w:rPr>
      </w:pPr>
      <w:r w:rsidRPr="006C1A09">
        <w:rPr>
          <w:rFonts w:ascii="Calibri" w:hAnsi="Calibri"/>
          <w:sz w:val="20"/>
          <w:szCs w:val="20"/>
        </w:rPr>
        <w:t xml:space="preserve">7.5% </w:t>
      </w:r>
      <w:r>
        <w:rPr>
          <w:rFonts w:ascii="Calibri" w:hAnsi="Calibri"/>
          <w:sz w:val="20"/>
          <w:szCs w:val="20"/>
        </w:rPr>
        <w:t xml:space="preserve">of participants </w:t>
      </w:r>
      <w:r w:rsidRPr="006C1A09">
        <w:rPr>
          <w:rFonts w:ascii="Calibri" w:hAnsi="Calibri"/>
          <w:sz w:val="20"/>
          <w:szCs w:val="20"/>
        </w:rPr>
        <w:t>disagree</w:t>
      </w:r>
      <w:r>
        <w:rPr>
          <w:rFonts w:ascii="Calibri" w:hAnsi="Calibri"/>
          <w:sz w:val="20"/>
          <w:szCs w:val="20"/>
        </w:rPr>
        <w:t>d</w:t>
      </w:r>
      <w:r w:rsidRPr="006C1A09">
        <w:rPr>
          <w:rFonts w:ascii="Calibri" w:hAnsi="Calibri"/>
          <w:sz w:val="20"/>
          <w:szCs w:val="20"/>
        </w:rPr>
        <w:t xml:space="preserve"> to some extent or completely</w:t>
      </w:r>
      <w:r w:rsidRPr="000E7FD3">
        <w:rPr>
          <w:rFonts w:ascii="Calibri" w:hAnsi="Calibri"/>
          <w:sz w:val="20"/>
          <w:szCs w:val="20"/>
        </w:rPr>
        <w:t xml:space="preserve"> that bombs can kill at a</w:t>
      </w:r>
      <w:r>
        <w:rPr>
          <w:rFonts w:ascii="Calibri" w:hAnsi="Calibri"/>
          <w:sz w:val="20"/>
          <w:szCs w:val="20"/>
        </w:rPr>
        <w:t xml:space="preserve"> distance of 50 meters.</w:t>
      </w:r>
      <w:r w:rsidRPr="000E7FD3">
        <w:rPr>
          <w:rFonts w:ascii="Calibri" w:hAnsi="Calibri"/>
          <w:sz w:val="20"/>
          <w:szCs w:val="20"/>
        </w:rPr>
        <w:t xml:space="preserve"> </w:t>
      </w:r>
    </w:p>
    <w:p w:rsidR="00B454FB" w:rsidRDefault="00B454FB" w:rsidP="00B454FB">
      <w:pPr>
        <w:pStyle w:val="ColorfulList-Accent11"/>
        <w:numPr>
          <w:ilvl w:val="1"/>
          <w:numId w:val="91"/>
        </w:numPr>
        <w:rPr>
          <w:rFonts w:ascii="Calibri" w:hAnsi="Calibri"/>
          <w:sz w:val="20"/>
          <w:szCs w:val="20"/>
        </w:rPr>
      </w:pPr>
      <w:r w:rsidRPr="006C1A09">
        <w:rPr>
          <w:rFonts w:ascii="Calibri" w:hAnsi="Calibri"/>
          <w:sz w:val="20"/>
          <w:szCs w:val="20"/>
        </w:rPr>
        <w:lastRenderedPageBreak/>
        <w:t xml:space="preserve">36.5% </w:t>
      </w:r>
      <w:r>
        <w:rPr>
          <w:rFonts w:ascii="Calibri" w:hAnsi="Calibri"/>
          <w:sz w:val="20"/>
          <w:szCs w:val="20"/>
        </w:rPr>
        <w:t xml:space="preserve">of participants agreed </w:t>
      </w:r>
      <w:r w:rsidRPr="006C1A09">
        <w:rPr>
          <w:rFonts w:ascii="Calibri" w:hAnsi="Calibri"/>
          <w:sz w:val="20"/>
          <w:szCs w:val="20"/>
        </w:rPr>
        <w:t xml:space="preserve">fully </w:t>
      </w:r>
      <w:r>
        <w:rPr>
          <w:rFonts w:ascii="Calibri" w:hAnsi="Calibri"/>
          <w:sz w:val="20"/>
          <w:szCs w:val="20"/>
        </w:rPr>
        <w:t>or</w:t>
      </w:r>
      <w:r w:rsidRPr="006C1A09">
        <w:rPr>
          <w:rFonts w:ascii="Calibri" w:hAnsi="Calibri"/>
          <w:sz w:val="20"/>
          <w:szCs w:val="20"/>
        </w:rPr>
        <w:t xml:space="preserve"> to some extent that putting a bomb in water is one way to prevent an explosion; 18.7% </w:t>
      </w:r>
      <w:r>
        <w:rPr>
          <w:rFonts w:ascii="Calibri" w:hAnsi="Calibri"/>
          <w:sz w:val="20"/>
          <w:szCs w:val="20"/>
        </w:rPr>
        <w:t xml:space="preserve">reported that they </w:t>
      </w:r>
      <w:r w:rsidRPr="006C1A09">
        <w:rPr>
          <w:rFonts w:ascii="Calibri" w:hAnsi="Calibri"/>
          <w:sz w:val="20"/>
          <w:szCs w:val="20"/>
        </w:rPr>
        <w:t>d</w:t>
      </w:r>
      <w:r>
        <w:rPr>
          <w:rFonts w:ascii="Calibri" w:hAnsi="Calibri"/>
          <w:sz w:val="20"/>
          <w:szCs w:val="20"/>
        </w:rPr>
        <w:t>id not know how to prevent an explosion.</w:t>
      </w:r>
    </w:p>
    <w:p w:rsidR="00B454FB" w:rsidRPr="006C1A09" w:rsidRDefault="00B454FB" w:rsidP="00B454FB">
      <w:pPr>
        <w:pStyle w:val="ColorfulList-Accent11"/>
        <w:numPr>
          <w:ilvl w:val="0"/>
          <w:numId w:val="91"/>
        </w:numPr>
        <w:rPr>
          <w:rFonts w:ascii="Calibri" w:hAnsi="Calibri"/>
          <w:sz w:val="20"/>
          <w:szCs w:val="20"/>
        </w:rPr>
      </w:pPr>
      <w:r w:rsidRPr="006C1A09">
        <w:rPr>
          <w:rFonts w:ascii="Calibri" w:hAnsi="Calibri"/>
          <w:b/>
          <w:sz w:val="20"/>
          <w:szCs w:val="20"/>
        </w:rPr>
        <w:t>A</w:t>
      </w:r>
      <w:r>
        <w:rPr>
          <w:rFonts w:ascii="Calibri" w:hAnsi="Calibri"/>
          <w:b/>
          <w:sz w:val="20"/>
          <w:szCs w:val="20"/>
        </w:rPr>
        <w:t>ctual experience</w:t>
      </w:r>
    </w:p>
    <w:p w:rsidR="00B454FB" w:rsidRDefault="00B454FB" w:rsidP="00B454FB">
      <w:pPr>
        <w:pStyle w:val="ColorfulList-Accent11"/>
        <w:numPr>
          <w:ilvl w:val="1"/>
          <w:numId w:val="91"/>
        </w:numPr>
        <w:rPr>
          <w:rFonts w:ascii="Calibri" w:hAnsi="Calibri"/>
          <w:sz w:val="20"/>
          <w:szCs w:val="20"/>
        </w:rPr>
      </w:pPr>
      <w:r>
        <w:rPr>
          <w:rFonts w:ascii="Calibri" w:hAnsi="Calibri"/>
          <w:sz w:val="20"/>
          <w:szCs w:val="20"/>
        </w:rPr>
        <w:t xml:space="preserve">ED reportedly seen by participants were (in decreasing order of occurrence) </w:t>
      </w:r>
      <w:r w:rsidRPr="006C1A09">
        <w:rPr>
          <w:rFonts w:ascii="Calibri" w:hAnsi="Calibri"/>
          <w:sz w:val="20"/>
          <w:szCs w:val="20"/>
        </w:rPr>
        <w:t>socket bomb</w:t>
      </w:r>
      <w:r>
        <w:rPr>
          <w:rFonts w:ascii="Calibri" w:hAnsi="Calibri"/>
          <w:sz w:val="20"/>
          <w:szCs w:val="20"/>
        </w:rPr>
        <w:t>s</w:t>
      </w:r>
      <w:r w:rsidRPr="006C1A09">
        <w:rPr>
          <w:rFonts w:ascii="Calibri" w:hAnsi="Calibri"/>
          <w:sz w:val="20"/>
          <w:szCs w:val="20"/>
        </w:rPr>
        <w:t>, pressure cooker bomb</w:t>
      </w:r>
      <w:r>
        <w:rPr>
          <w:rFonts w:ascii="Calibri" w:hAnsi="Calibri"/>
          <w:sz w:val="20"/>
          <w:szCs w:val="20"/>
        </w:rPr>
        <w:t>s</w:t>
      </w:r>
      <w:r w:rsidRPr="006C1A09">
        <w:rPr>
          <w:rFonts w:ascii="Calibri" w:hAnsi="Calibri"/>
          <w:sz w:val="20"/>
          <w:szCs w:val="20"/>
        </w:rPr>
        <w:t>, hand grenade</w:t>
      </w:r>
      <w:r>
        <w:rPr>
          <w:rFonts w:ascii="Calibri" w:hAnsi="Calibri"/>
          <w:sz w:val="20"/>
          <w:szCs w:val="20"/>
        </w:rPr>
        <w:t>s</w:t>
      </w:r>
      <w:r w:rsidRPr="006C1A09">
        <w:rPr>
          <w:rFonts w:ascii="Calibri" w:hAnsi="Calibri"/>
          <w:sz w:val="20"/>
          <w:szCs w:val="20"/>
        </w:rPr>
        <w:t>, sutali bomb</w:t>
      </w:r>
      <w:r>
        <w:rPr>
          <w:rFonts w:ascii="Calibri" w:hAnsi="Calibri"/>
          <w:sz w:val="20"/>
          <w:szCs w:val="20"/>
        </w:rPr>
        <w:t>s</w:t>
      </w:r>
      <w:r w:rsidRPr="006C1A09">
        <w:rPr>
          <w:rFonts w:ascii="Calibri" w:hAnsi="Calibri"/>
          <w:sz w:val="20"/>
          <w:szCs w:val="20"/>
        </w:rPr>
        <w:t>, bucket bomb</w:t>
      </w:r>
      <w:r>
        <w:rPr>
          <w:rFonts w:ascii="Calibri" w:hAnsi="Calibri"/>
          <w:sz w:val="20"/>
          <w:szCs w:val="20"/>
        </w:rPr>
        <w:t>s</w:t>
      </w:r>
      <w:r w:rsidRPr="006C1A09">
        <w:rPr>
          <w:rFonts w:ascii="Calibri" w:hAnsi="Calibri"/>
          <w:sz w:val="20"/>
          <w:szCs w:val="20"/>
        </w:rPr>
        <w:t xml:space="preserve">, mortar </w:t>
      </w:r>
      <w:r>
        <w:rPr>
          <w:rFonts w:ascii="Calibri" w:hAnsi="Calibri"/>
          <w:sz w:val="20"/>
          <w:szCs w:val="20"/>
        </w:rPr>
        <w:t>sh</w:t>
      </w:r>
      <w:r w:rsidRPr="006C1A09">
        <w:rPr>
          <w:rFonts w:ascii="Calibri" w:hAnsi="Calibri"/>
          <w:sz w:val="20"/>
          <w:szCs w:val="20"/>
        </w:rPr>
        <w:t>ell</w:t>
      </w:r>
      <w:r>
        <w:rPr>
          <w:rFonts w:ascii="Calibri" w:hAnsi="Calibri"/>
          <w:sz w:val="20"/>
          <w:szCs w:val="20"/>
        </w:rPr>
        <w:t>s</w:t>
      </w:r>
      <w:r w:rsidRPr="006C1A09">
        <w:rPr>
          <w:rFonts w:ascii="Calibri" w:hAnsi="Calibri"/>
          <w:sz w:val="20"/>
          <w:szCs w:val="20"/>
        </w:rPr>
        <w:t>, battery bomb</w:t>
      </w:r>
      <w:r>
        <w:rPr>
          <w:rFonts w:ascii="Calibri" w:hAnsi="Calibri"/>
          <w:sz w:val="20"/>
          <w:szCs w:val="20"/>
        </w:rPr>
        <w:t>s</w:t>
      </w:r>
      <w:r w:rsidRPr="006C1A09">
        <w:rPr>
          <w:rFonts w:ascii="Calibri" w:hAnsi="Calibri"/>
          <w:sz w:val="20"/>
          <w:szCs w:val="20"/>
        </w:rPr>
        <w:t xml:space="preserve">, </w:t>
      </w:r>
      <w:r>
        <w:rPr>
          <w:rFonts w:ascii="Calibri" w:hAnsi="Calibri"/>
          <w:sz w:val="20"/>
          <w:szCs w:val="20"/>
        </w:rPr>
        <w:t xml:space="preserve">and </w:t>
      </w:r>
      <w:r w:rsidRPr="006C1A09">
        <w:rPr>
          <w:rFonts w:ascii="Calibri" w:hAnsi="Calibri"/>
          <w:sz w:val="20"/>
          <w:szCs w:val="20"/>
        </w:rPr>
        <w:t>landmine</w:t>
      </w:r>
      <w:r>
        <w:rPr>
          <w:rFonts w:ascii="Calibri" w:hAnsi="Calibri"/>
          <w:sz w:val="20"/>
          <w:szCs w:val="20"/>
        </w:rPr>
        <w:t>s.</w:t>
      </w:r>
    </w:p>
    <w:p w:rsidR="00B454FB" w:rsidRPr="006C1A09" w:rsidRDefault="00B454FB" w:rsidP="00B454FB">
      <w:pPr>
        <w:pStyle w:val="ColorfulList-Accent11"/>
        <w:numPr>
          <w:ilvl w:val="1"/>
          <w:numId w:val="91"/>
        </w:numPr>
        <w:rPr>
          <w:rFonts w:ascii="Calibri" w:hAnsi="Calibri"/>
          <w:sz w:val="20"/>
          <w:szCs w:val="20"/>
        </w:rPr>
      </w:pPr>
      <w:r w:rsidRPr="006C1A09">
        <w:rPr>
          <w:rFonts w:ascii="Calibri" w:hAnsi="Calibri"/>
          <w:sz w:val="20"/>
          <w:szCs w:val="20"/>
        </w:rPr>
        <w:t>18.7% of p</w:t>
      </w:r>
      <w:r>
        <w:rPr>
          <w:rFonts w:ascii="Calibri" w:hAnsi="Calibri"/>
          <w:sz w:val="20"/>
          <w:szCs w:val="20"/>
        </w:rPr>
        <w:t>articipants</w:t>
      </w:r>
      <w:r w:rsidRPr="006C1A09">
        <w:rPr>
          <w:rFonts w:ascii="Calibri" w:hAnsi="Calibri"/>
          <w:sz w:val="20"/>
          <w:szCs w:val="20"/>
        </w:rPr>
        <w:t xml:space="preserve"> </w:t>
      </w:r>
      <w:r>
        <w:rPr>
          <w:rFonts w:ascii="Calibri" w:hAnsi="Calibri"/>
          <w:sz w:val="20"/>
          <w:szCs w:val="20"/>
        </w:rPr>
        <w:t xml:space="preserve">had walked across military </w:t>
      </w:r>
      <w:r w:rsidRPr="006C1A09">
        <w:rPr>
          <w:rFonts w:ascii="Calibri" w:hAnsi="Calibri"/>
          <w:sz w:val="20"/>
          <w:szCs w:val="20"/>
        </w:rPr>
        <w:t xml:space="preserve">or clash sites </w:t>
      </w:r>
      <w:r w:rsidRPr="006C1A09">
        <w:rPr>
          <w:rFonts w:ascii="Calibri" w:hAnsi="Calibri"/>
          <w:sz w:val="20"/>
          <w:szCs w:val="20"/>
          <w:u w:val="single"/>
        </w:rPr>
        <w:t>several times</w:t>
      </w:r>
      <w:r w:rsidRPr="000F745B">
        <w:rPr>
          <w:rFonts w:ascii="Calibri" w:hAnsi="Calibri"/>
          <w:sz w:val="20"/>
          <w:szCs w:val="20"/>
        </w:rPr>
        <w:t>.</w:t>
      </w:r>
    </w:p>
    <w:p w:rsidR="00B454FB" w:rsidRDefault="00B454FB" w:rsidP="00B454FB"/>
    <w:p w:rsidR="00B454FB" w:rsidRPr="00FC1F30" w:rsidRDefault="00B454FB" w:rsidP="00B454FB">
      <w:pPr>
        <w:rPr>
          <w:rFonts w:ascii="Calibri" w:hAnsi="Calibri"/>
          <w:b/>
          <w:sz w:val="20"/>
          <w:szCs w:val="20"/>
        </w:rPr>
      </w:pPr>
      <w:r>
        <w:rPr>
          <w:rFonts w:ascii="Calibri" w:hAnsi="Calibri"/>
          <w:b/>
          <w:sz w:val="20"/>
          <w:szCs w:val="20"/>
        </w:rPr>
        <w:t>2) Data from case studies</w:t>
      </w:r>
    </w:p>
    <w:p w:rsidR="00B454FB" w:rsidRDefault="00B454FB" w:rsidP="00B454FB">
      <w:pPr>
        <w:pStyle w:val="ColorfulList-Accent11"/>
        <w:numPr>
          <w:ilvl w:val="0"/>
          <w:numId w:val="92"/>
        </w:numPr>
        <w:rPr>
          <w:rFonts w:ascii="Calibri" w:hAnsi="Calibri"/>
          <w:b/>
          <w:sz w:val="20"/>
          <w:szCs w:val="20"/>
        </w:rPr>
      </w:pPr>
      <w:r w:rsidRPr="006C1A09">
        <w:rPr>
          <w:rFonts w:ascii="Calibri" w:hAnsi="Calibri"/>
          <w:b/>
          <w:sz w:val="20"/>
          <w:szCs w:val="20"/>
        </w:rPr>
        <w:t>Types of ED</w:t>
      </w:r>
      <w:r>
        <w:rPr>
          <w:rFonts w:ascii="Calibri" w:hAnsi="Calibri"/>
          <w:b/>
          <w:sz w:val="20"/>
          <w:szCs w:val="20"/>
        </w:rPr>
        <w:t xml:space="preserve"> mentioned</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S</w:t>
      </w:r>
      <w:r w:rsidRPr="006C1A09">
        <w:rPr>
          <w:rFonts w:ascii="Calibri" w:hAnsi="Calibri"/>
          <w:sz w:val="20"/>
          <w:szCs w:val="20"/>
        </w:rPr>
        <w:t>ocket</w:t>
      </w:r>
      <w:r>
        <w:rPr>
          <w:rFonts w:ascii="Calibri" w:hAnsi="Calibri"/>
          <w:sz w:val="20"/>
          <w:szCs w:val="20"/>
        </w:rPr>
        <w:t>, battery, sutali, and mobile phone bombs;</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B</w:t>
      </w:r>
      <w:r w:rsidRPr="006C1A09">
        <w:rPr>
          <w:rFonts w:ascii="Calibri" w:hAnsi="Calibri"/>
          <w:sz w:val="20"/>
          <w:szCs w:val="20"/>
        </w:rPr>
        <w:t>ag of explosives</w:t>
      </w:r>
      <w:r>
        <w:rPr>
          <w:rFonts w:ascii="Calibri" w:hAnsi="Calibri"/>
          <w:sz w:val="20"/>
          <w:szCs w:val="20"/>
        </w:rPr>
        <w:t>; and</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Bomb tied to a flag on a bandh obstacle</w:t>
      </w:r>
      <w:r>
        <w:rPr>
          <w:rFonts w:ascii="Calibri" w:hAnsi="Calibri"/>
          <w:sz w:val="20"/>
          <w:szCs w:val="20"/>
        </w:rPr>
        <w:t>.</w:t>
      </w:r>
    </w:p>
    <w:p w:rsidR="00B454FB" w:rsidRPr="00FC1F30" w:rsidRDefault="00B454FB" w:rsidP="00B454FB">
      <w:pPr>
        <w:pStyle w:val="ColorfulList-Accent11"/>
        <w:numPr>
          <w:ilvl w:val="0"/>
          <w:numId w:val="92"/>
        </w:numPr>
        <w:rPr>
          <w:rFonts w:ascii="Calibri" w:hAnsi="Calibri"/>
          <w:b/>
          <w:sz w:val="20"/>
          <w:szCs w:val="20"/>
        </w:rPr>
      </w:pPr>
      <w:r w:rsidRPr="00FC1F30">
        <w:rPr>
          <w:rFonts w:ascii="Calibri" w:hAnsi="Calibri"/>
          <w:b/>
          <w:sz w:val="20"/>
          <w:szCs w:val="20"/>
        </w:rPr>
        <w:t>Risk behaviors</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Touch</w:t>
      </w:r>
      <w:r>
        <w:rPr>
          <w:rFonts w:ascii="Calibri" w:hAnsi="Calibri"/>
          <w:sz w:val="20"/>
          <w:szCs w:val="20"/>
        </w:rPr>
        <w:t>ing</w:t>
      </w:r>
      <w:r w:rsidRPr="00FC1F30">
        <w:rPr>
          <w:rFonts w:ascii="Calibri" w:hAnsi="Calibri"/>
          <w:sz w:val="20"/>
          <w:szCs w:val="20"/>
        </w:rPr>
        <w:t>, pick</w:t>
      </w:r>
      <w:r>
        <w:rPr>
          <w:rFonts w:ascii="Calibri" w:hAnsi="Calibri"/>
          <w:sz w:val="20"/>
          <w:szCs w:val="20"/>
        </w:rPr>
        <w:t>ing</w:t>
      </w:r>
      <w:r w:rsidRPr="00FC1F30">
        <w:rPr>
          <w:rFonts w:ascii="Calibri" w:hAnsi="Calibri"/>
          <w:sz w:val="20"/>
          <w:szCs w:val="20"/>
        </w:rPr>
        <w:t xml:space="preserve"> up </w:t>
      </w:r>
      <w:r>
        <w:rPr>
          <w:rFonts w:ascii="Calibri" w:hAnsi="Calibri"/>
          <w:sz w:val="20"/>
          <w:szCs w:val="20"/>
        </w:rPr>
        <w:t xml:space="preserve">and </w:t>
      </w:r>
      <w:r w:rsidRPr="00FC1F30">
        <w:rPr>
          <w:rFonts w:ascii="Calibri" w:hAnsi="Calibri"/>
          <w:sz w:val="20"/>
          <w:szCs w:val="20"/>
        </w:rPr>
        <w:t>throw</w:t>
      </w:r>
      <w:r>
        <w:rPr>
          <w:rFonts w:ascii="Calibri" w:hAnsi="Calibri"/>
          <w:sz w:val="20"/>
          <w:szCs w:val="20"/>
        </w:rPr>
        <w:t>ing</w:t>
      </w:r>
      <w:r w:rsidRPr="00FC1F30">
        <w:rPr>
          <w:rFonts w:ascii="Calibri" w:hAnsi="Calibri"/>
          <w:sz w:val="20"/>
          <w:szCs w:val="20"/>
        </w:rPr>
        <w:t xml:space="preserve"> ED</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Pok</w:t>
      </w:r>
      <w:r>
        <w:rPr>
          <w:rFonts w:ascii="Calibri" w:hAnsi="Calibri"/>
          <w:sz w:val="20"/>
          <w:szCs w:val="20"/>
        </w:rPr>
        <w:t>ing</w:t>
      </w:r>
      <w:r w:rsidRPr="00FC1F30">
        <w:rPr>
          <w:rFonts w:ascii="Calibri" w:hAnsi="Calibri"/>
          <w:sz w:val="20"/>
          <w:szCs w:val="20"/>
        </w:rPr>
        <w:t xml:space="preserve"> or hit</w:t>
      </w:r>
      <w:r>
        <w:rPr>
          <w:rFonts w:ascii="Calibri" w:hAnsi="Calibri"/>
          <w:sz w:val="20"/>
          <w:szCs w:val="20"/>
        </w:rPr>
        <w:t>ting</w:t>
      </w:r>
      <w:r w:rsidRPr="00FC1F30">
        <w:rPr>
          <w:rFonts w:ascii="Calibri" w:hAnsi="Calibri"/>
          <w:sz w:val="20"/>
          <w:szCs w:val="20"/>
        </w:rPr>
        <w:t xml:space="preserve"> ED with a rock or stick</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Tak</w:t>
      </w:r>
      <w:r>
        <w:rPr>
          <w:rFonts w:ascii="Calibri" w:hAnsi="Calibri"/>
          <w:sz w:val="20"/>
          <w:szCs w:val="20"/>
        </w:rPr>
        <w:t>ing</w:t>
      </w:r>
      <w:r w:rsidRPr="00FC1F30">
        <w:rPr>
          <w:rFonts w:ascii="Calibri" w:hAnsi="Calibri"/>
          <w:sz w:val="20"/>
          <w:szCs w:val="20"/>
        </w:rPr>
        <w:t xml:space="preserve"> ED home out of curiosity or </w:t>
      </w:r>
      <w:r>
        <w:rPr>
          <w:rFonts w:ascii="Calibri" w:hAnsi="Calibri"/>
          <w:sz w:val="20"/>
          <w:szCs w:val="20"/>
        </w:rPr>
        <w:t>for</w:t>
      </w:r>
      <w:r w:rsidRPr="00FC1F30">
        <w:rPr>
          <w:rFonts w:ascii="Calibri" w:hAnsi="Calibri"/>
          <w:sz w:val="20"/>
          <w:szCs w:val="20"/>
        </w:rPr>
        <w:t xml:space="preserve"> later</w:t>
      </w:r>
      <w:r>
        <w:rPr>
          <w:rFonts w:ascii="Calibri" w:hAnsi="Calibri"/>
          <w:sz w:val="20"/>
          <w:szCs w:val="20"/>
        </w:rPr>
        <w:t xml:space="preserve"> use;</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Mov</w:t>
      </w:r>
      <w:r>
        <w:rPr>
          <w:rFonts w:ascii="Calibri" w:hAnsi="Calibri"/>
          <w:sz w:val="20"/>
          <w:szCs w:val="20"/>
        </w:rPr>
        <w:t>ing</w:t>
      </w:r>
      <w:r w:rsidRPr="00FC1F30">
        <w:rPr>
          <w:rFonts w:ascii="Calibri" w:hAnsi="Calibri"/>
          <w:sz w:val="20"/>
          <w:szCs w:val="20"/>
        </w:rPr>
        <w:t xml:space="preserve"> </w:t>
      </w:r>
      <w:r>
        <w:rPr>
          <w:rFonts w:ascii="Calibri" w:hAnsi="Calibri"/>
          <w:sz w:val="20"/>
          <w:szCs w:val="20"/>
        </w:rPr>
        <w:t>ED</w:t>
      </w:r>
      <w:r w:rsidRPr="00FC1F30">
        <w:rPr>
          <w:rFonts w:ascii="Calibri" w:hAnsi="Calibri"/>
          <w:sz w:val="20"/>
          <w:szCs w:val="20"/>
        </w:rPr>
        <w:t xml:space="preserve"> out of the way</w:t>
      </w:r>
      <w:r>
        <w:rPr>
          <w:rFonts w:ascii="Calibri" w:hAnsi="Calibri"/>
          <w:sz w:val="20"/>
          <w:szCs w:val="20"/>
        </w:rPr>
        <w:t xml:space="preserve"> of others; and</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Tell</w:t>
      </w:r>
      <w:r>
        <w:rPr>
          <w:rFonts w:ascii="Calibri" w:hAnsi="Calibri"/>
          <w:sz w:val="20"/>
          <w:szCs w:val="20"/>
        </w:rPr>
        <w:t>ing</w:t>
      </w:r>
      <w:r w:rsidRPr="00FC1F30">
        <w:rPr>
          <w:rFonts w:ascii="Calibri" w:hAnsi="Calibri"/>
          <w:sz w:val="20"/>
          <w:szCs w:val="20"/>
        </w:rPr>
        <w:t xml:space="preserve"> other people in community </w:t>
      </w:r>
      <w:r>
        <w:rPr>
          <w:rFonts w:ascii="Calibri" w:hAnsi="Calibri"/>
          <w:sz w:val="20"/>
          <w:szCs w:val="20"/>
        </w:rPr>
        <w:t xml:space="preserve">(positive behavior) leading to people </w:t>
      </w:r>
      <w:r w:rsidRPr="00FC1F30">
        <w:rPr>
          <w:rFonts w:ascii="Calibri" w:hAnsi="Calibri"/>
          <w:sz w:val="20"/>
          <w:szCs w:val="20"/>
        </w:rPr>
        <w:t>gather</w:t>
      </w:r>
      <w:r>
        <w:rPr>
          <w:rFonts w:ascii="Calibri" w:hAnsi="Calibri"/>
          <w:sz w:val="20"/>
          <w:szCs w:val="20"/>
        </w:rPr>
        <w:t>ing</w:t>
      </w:r>
      <w:r w:rsidRPr="00FC1F30">
        <w:rPr>
          <w:rFonts w:ascii="Calibri" w:hAnsi="Calibri"/>
          <w:sz w:val="20"/>
          <w:szCs w:val="20"/>
        </w:rPr>
        <w:t xml:space="preserve"> around</w:t>
      </w:r>
      <w:r>
        <w:rPr>
          <w:rFonts w:ascii="Calibri" w:hAnsi="Calibri"/>
          <w:sz w:val="20"/>
          <w:szCs w:val="20"/>
        </w:rPr>
        <w:t xml:space="preserve"> the ED (risk behavior).</w:t>
      </w:r>
    </w:p>
    <w:p w:rsidR="00B454FB" w:rsidRPr="00FC1F30" w:rsidRDefault="00B454FB" w:rsidP="00B454FB">
      <w:pPr>
        <w:pStyle w:val="ColorfulList-Accent11"/>
        <w:numPr>
          <w:ilvl w:val="0"/>
          <w:numId w:val="92"/>
        </w:numPr>
        <w:rPr>
          <w:rFonts w:ascii="Calibri" w:hAnsi="Calibri"/>
          <w:b/>
          <w:sz w:val="20"/>
          <w:szCs w:val="20"/>
        </w:rPr>
      </w:pPr>
      <w:r w:rsidRPr="00FC1F30">
        <w:rPr>
          <w:rFonts w:ascii="Calibri" w:hAnsi="Calibri"/>
          <w:b/>
          <w:sz w:val="20"/>
          <w:szCs w:val="20"/>
        </w:rPr>
        <w:t>Negative outcomes of injuries:</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Experiencing i</w:t>
      </w:r>
      <w:r w:rsidRPr="00FC1F30">
        <w:rPr>
          <w:rFonts w:ascii="Calibri" w:hAnsi="Calibri"/>
          <w:sz w:val="20"/>
          <w:szCs w:val="20"/>
        </w:rPr>
        <w:t>njuries and death</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Witnessing other people</w:t>
      </w:r>
      <w:r w:rsidRPr="00FC1F30">
        <w:rPr>
          <w:rFonts w:ascii="Calibri" w:hAnsi="Calibri"/>
          <w:sz w:val="20"/>
          <w:szCs w:val="20"/>
        </w:rPr>
        <w:t xml:space="preserve"> </w:t>
      </w:r>
      <w:r>
        <w:rPr>
          <w:rFonts w:ascii="Calibri" w:hAnsi="Calibri"/>
          <w:sz w:val="20"/>
          <w:szCs w:val="20"/>
        </w:rPr>
        <w:t xml:space="preserve">being </w:t>
      </w:r>
      <w:r w:rsidRPr="00FC1F30">
        <w:rPr>
          <w:rFonts w:ascii="Calibri" w:hAnsi="Calibri"/>
          <w:sz w:val="20"/>
          <w:szCs w:val="20"/>
        </w:rPr>
        <w:t>injured</w:t>
      </w:r>
      <w:r>
        <w:rPr>
          <w:rFonts w:ascii="Calibri" w:hAnsi="Calibri"/>
          <w:sz w:val="20"/>
          <w:szCs w:val="20"/>
        </w:rPr>
        <w:t xml:space="preserve"> or killed;</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Knowing that one’s actions killed others</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Experiencing p</w:t>
      </w:r>
      <w:r w:rsidRPr="00FC1F30">
        <w:rPr>
          <w:rFonts w:ascii="Calibri" w:hAnsi="Calibri"/>
          <w:sz w:val="20"/>
          <w:szCs w:val="20"/>
        </w:rPr>
        <w:t xml:space="preserve">sychological symptoms </w:t>
      </w:r>
      <w:r>
        <w:rPr>
          <w:rFonts w:ascii="Calibri" w:hAnsi="Calibri"/>
          <w:sz w:val="20"/>
          <w:szCs w:val="20"/>
        </w:rPr>
        <w:t xml:space="preserve"> including</w:t>
      </w:r>
      <w:r w:rsidRPr="00FC1F30">
        <w:rPr>
          <w:rFonts w:ascii="Calibri" w:hAnsi="Calibri"/>
          <w:sz w:val="20"/>
          <w:szCs w:val="20"/>
        </w:rPr>
        <w:t xml:space="preserve"> depression, feeling</w:t>
      </w:r>
      <w:r>
        <w:rPr>
          <w:rFonts w:ascii="Calibri" w:hAnsi="Calibri"/>
          <w:sz w:val="20"/>
          <w:szCs w:val="20"/>
        </w:rPr>
        <w:t>s of</w:t>
      </w:r>
      <w:r w:rsidRPr="00FC1F30">
        <w:rPr>
          <w:rFonts w:ascii="Calibri" w:hAnsi="Calibri"/>
          <w:sz w:val="20"/>
          <w:szCs w:val="20"/>
        </w:rPr>
        <w:t xml:space="preserve"> fright, nightmares, </w:t>
      </w:r>
      <w:r>
        <w:rPr>
          <w:rFonts w:ascii="Calibri" w:hAnsi="Calibri"/>
          <w:sz w:val="20"/>
          <w:szCs w:val="20"/>
        </w:rPr>
        <w:t xml:space="preserve">and </w:t>
      </w:r>
      <w:r w:rsidRPr="00FC1F30">
        <w:rPr>
          <w:rFonts w:ascii="Calibri" w:hAnsi="Calibri"/>
          <w:sz w:val="20"/>
          <w:szCs w:val="20"/>
        </w:rPr>
        <w:t>suicidal thoughts</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Being u</w:t>
      </w:r>
      <w:r w:rsidRPr="00FC1F30">
        <w:rPr>
          <w:rFonts w:ascii="Calibri" w:hAnsi="Calibri"/>
          <w:sz w:val="20"/>
          <w:szCs w:val="20"/>
        </w:rPr>
        <w:t>nab</w:t>
      </w:r>
      <w:r>
        <w:rPr>
          <w:rFonts w:ascii="Calibri" w:hAnsi="Calibri"/>
          <w:sz w:val="20"/>
          <w:szCs w:val="20"/>
        </w:rPr>
        <w:t>le</w:t>
      </w:r>
      <w:r w:rsidRPr="00FC1F30">
        <w:rPr>
          <w:rFonts w:ascii="Calibri" w:hAnsi="Calibri"/>
          <w:sz w:val="20"/>
          <w:szCs w:val="20"/>
        </w:rPr>
        <w:t xml:space="preserve"> to talk, eat, hear, work, play, or write properly</w:t>
      </w:r>
      <w:r>
        <w:rPr>
          <w:rFonts w:ascii="Calibri" w:hAnsi="Calibri"/>
          <w:sz w:val="20"/>
          <w:szCs w:val="20"/>
        </w:rPr>
        <w:t>;</w:t>
      </w:r>
    </w:p>
    <w:p w:rsidR="00B454FB" w:rsidRPr="00FC1F30" w:rsidRDefault="00B454FB" w:rsidP="00B454FB">
      <w:pPr>
        <w:pStyle w:val="ColorfulList-Accent11"/>
        <w:numPr>
          <w:ilvl w:val="1"/>
          <w:numId w:val="92"/>
        </w:numPr>
        <w:rPr>
          <w:rFonts w:ascii="Calibri" w:hAnsi="Calibri"/>
          <w:b/>
          <w:sz w:val="20"/>
          <w:szCs w:val="20"/>
        </w:rPr>
      </w:pPr>
      <w:r>
        <w:rPr>
          <w:rFonts w:ascii="Calibri" w:hAnsi="Calibri"/>
          <w:sz w:val="20"/>
          <w:szCs w:val="20"/>
        </w:rPr>
        <w:t>Losing one’s home and other possessions due to d</w:t>
      </w:r>
      <w:r w:rsidRPr="00FC1F30">
        <w:rPr>
          <w:rFonts w:ascii="Calibri" w:hAnsi="Calibri"/>
          <w:sz w:val="20"/>
          <w:szCs w:val="20"/>
        </w:rPr>
        <w:t xml:space="preserve">ebts from medical treatment and </w:t>
      </w:r>
      <w:r>
        <w:rPr>
          <w:rFonts w:ascii="Calibri" w:hAnsi="Calibri"/>
          <w:sz w:val="20"/>
          <w:szCs w:val="20"/>
        </w:rPr>
        <w:t>inability to work properly; and</w:t>
      </w:r>
    </w:p>
    <w:p w:rsidR="00B454FB" w:rsidRPr="00FC1F30" w:rsidRDefault="00B454FB" w:rsidP="00B454FB">
      <w:pPr>
        <w:pStyle w:val="ColorfulList-Accent11"/>
        <w:numPr>
          <w:ilvl w:val="1"/>
          <w:numId w:val="92"/>
        </w:numPr>
        <w:rPr>
          <w:rFonts w:ascii="Calibri" w:hAnsi="Calibri"/>
          <w:b/>
          <w:sz w:val="20"/>
          <w:szCs w:val="20"/>
        </w:rPr>
      </w:pPr>
      <w:r w:rsidRPr="00FC1F30">
        <w:rPr>
          <w:rFonts w:ascii="Calibri" w:hAnsi="Calibri"/>
          <w:sz w:val="20"/>
          <w:szCs w:val="20"/>
        </w:rPr>
        <w:t>Leav</w:t>
      </w:r>
      <w:r>
        <w:rPr>
          <w:rFonts w:ascii="Calibri" w:hAnsi="Calibri"/>
          <w:sz w:val="20"/>
          <w:szCs w:val="20"/>
        </w:rPr>
        <w:t>ing</w:t>
      </w:r>
      <w:r w:rsidRPr="00FC1F30">
        <w:rPr>
          <w:rFonts w:ascii="Calibri" w:hAnsi="Calibri"/>
          <w:sz w:val="20"/>
          <w:szCs w:val="20"/>
        </w:rPr>
        <w:t xml:space="preserve"> school</w:t>
      </w:r>
      <w:r>
        <w:rPr>
          <w:rFonts w:ascii="Calibri" w:hAnsi="Calibri"/>
          <w:sz w:val="20"/>
          <w:szCs w:val="20"/>
        </w:rPr>
        <w:t>.</w:t>
      </w:r>
    </w:p>
    <w:p w:rsidR="00B454FB" w:rsidRPr="00FC1F30" w:rsidRDefault="00B454FB" w:rsidP="00B454FB">
      <w:pPr>
        <w:rPr>
          <w:rFonts w:ascii="Calibri" w:hAnsi="Calibri"/>
        </w:rPr>
      </w:pPr>
    </w:p>
    <w:p w:rsidR="00B454FB" w:rsidRPr="00FC1F30" w:rsidRDefault="00B454FB" w:rsidP="00B454FB">
      <w:pPr>
        <w:rPr>
          <w:rFonts w:ascii="Calibri" w:hAnsi="Calibri"/>
          <w:b/>
          <w:sz w:val="20"/>
          <w:szCs w:val="20"/>
        </w:rPr>
      </w:pPr>
      <w:r w:rsidRPr="00FC1F30">
        <w:rPr>
          <w:rFonts w:ascii="Calibri" w:hAnsi="Calibri"/>
          <w:b/>
          <w:sz w:val="20"/>
          <w:szCs w:val="20"/>
        </w:rPr>
        <w:t>3) Recommendations from the survey report</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1. “</w:t>
      </w:r>
      <w:r w:rsidRPr="00FC1F30">
        <w:rPr>
          <w:rFonts w:ascii="Calibri" w:hAnsi="Calibri"/>
          <w:sz w:val="20"/>
          <w:szCs w:val="20"/>
        </w:rPr>
        <w:t>Radio is the most effective channel that reaches the mass public.  Hence nation-wide radio programs and community radio programs should be launched and messages that not only informs the public about dangers of touching suspicious object but also about what different IEDs look like.”</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2.</w:t>
      </w:r>
      <w:r w:rsidRPr="00FC1F30">
        <w:rPr>
          <w:rFonts w:ascii="Calibri" w:hAnsi="Calibri"/>
          <w:sz w:val="20"/>
          <w:szCs w:val="20"/>
        </w:rPr>
        <w:t xml:space="preserve"> “Apart from radio programs, dissemination of information can be conducted through the different groups such as saving and credit groups and the forest users groups.  These groups have direct access to the community people and can help in disseminating information to the public.”</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3.</w:t>
      </w:r>
      <w:r w:rsidRPr="00FC1F30">
        <w:rPr>
          <w:rFonts w:ascii="Calibri" w:hAnsi="Calibri"/>
          <w:sz w:val="20"/>
          <w:szCs w:val="20"/>
        </w:rPr>
        <w:t xml:space="preserve"> “IEC materials on explosive devices should be developed which show pictures not only of the IEDs that are commonly found but also show pictures of the children and adults who have been victims due to the incidence.  In such materials, stories of victims should be told and such case studies from the baseline survey can be used.”</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4.</w:t>
      </w:r>
      <w:r w:rsidRPr="00FC1F30">
        <w:rPr>
          <w:rFonts w:ascii="Calibri" w:hAnsi="Calibri"/>
          <w:sz w:val="20"/>
          <w:szCs w:val="20"/>
        </w:rPr>
        <w:t xml:space="preserve"> “Implement education campaigns in schools for children.  This can be done by incorporating the MRE materials in the current pilot Life Skill Based Education programs that UNICEF has implemented in schools.  For those districts which do not have the LSBE program extensive trainings to the teachers should be given so that they can disseminate the information to the students.  Providing information on the radio for young people is also effective.  For instance, MRE information on </w:t>
      </w:r>
      <w:r w:rsidRPr="00FC1F30">
        <w:rPr>
          <w:rFonts w:ascii="Calibri" w:hAnsi="Calibri"/>
          <w:i/>
          <w:sz w:val="20"/>
          <w:szCs w:val="20"/>
        </w:rPr>
        <w:t>sathi sanga manko kura</w:t>
      </w:r>
      <w:r w:rsidRPr="00FC1F30">
        <w:rPr>
          <w:rFonts w:ascii="Calibri" w:hAnsi="Calibri"/>
          <w:sz w:val="20"/>
          <w:szCs w:val="20"/>
        </w:rPr>
        <w:t xml:space="preserve"> radio program can be broadcasted.”</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5.</w:t>
      </w:r>
      <w:r w:rsidRPr="00FC1F30">
        <w:rPr>
          <w:rFonts w:ascii="Calibri" w:hAnsi="Calibri"/>
          <w:sz w:val="20"/>
          <w:szCs w:val="20"/>
        </w:rPr>
        <w:t xml:space="preserve"> “For the out-of-school children coordination with the NGOs who work with out-of-school children in the various districts can be conducted and the MRE can be implemented through these integrated programs.”</w:t>
      </w:r>
    </w:p>
    <w:p w:rsidR="00B454FB" w:rsidRPr="00FC1F30" w:rsidRDefault="00B454FB" w:rsidP="00B454FB">
      <w:pPr>
        <w:pStyle w:val="ColorfulList-Accent11"/>
        <w:numPr>
          <w:ilvl w:val="0"/>
          <w:numId w:val="93"/>
        </w:numPr>
        <w:rPr>
          <w:rFonts w:ascii="Calibri" w:hAnsi="Calibri"/>
          <w:b/>
          <w:sz w:val="20"/>
          <w:szCs w:val="20"/>
        </w:rPr>
      </w:pPr>
      <w:r w:rsidRPr="00FC1F30">
        <w:rPr>
          <w:rFonts w:ascii="Calibri" w:hAnsi="Calibri"/>
          <w:b/>
          <w:sz w:val="20"/>
          <w:szCs w:val="20"/>
        </w:rPr>
        <w:t>Recommendation 6. “</w:t>
      </w:r>
      <w:r w:rsidRPr="00FC1F30">
        <w:rPr>
          <w:rFonts w:ascii="Calibri" w:hAnsi="Calibri"/>
          <w:sz w:val="20"/>
          <w:szCs w:val="20"/>
        </w:rPr>
        <w:t>Build liaison with the community police and enhance their skills to provide education to the community on MRE, such action may help to build trust among the community towards the local authority such as the police and ensure timely reporting of UXOs to the appropriate authorities in the community.  Ensure that the person reporting such UXOs will not be harassed from both the conflicting parties.”</w:t>
      </w:r>
    </w:p>
    <w:p w:rsidR="00B454FB" w:rsidRPr="00D61C8A" w:rsidRDefault="00B454FB" w:rsidP="00B454FB">
      <w:pPr>
        <w:spacing w:line="276" w:lineRule="auto"/>
        <w:rPr>
          <w:rFonts w:ascii="Calibri" w:hAnsi="Calibri"/>
        </w:rPr>
      </w:pPr>
      <w:r w:rsidRPr="00D61C8A">
        <w:rPr>
          <w:rFonts w:ascii="Calibri" w:hAnsi="Calibri"/>
        </w:rPr>
        <w:br w:type="page"/>
      </w:r>
    </w:p>
    <w:p w:rsidR="00B454FB" w:rsidRPr="00D61C8A" w:rsidRDefault="00B454FB" w:rsidP="00B454FB">
      <w:pPr>
        <w:pStyle w:val="Heading1"/>
        <w:numPr>
          <w:ilvl w:val="0"/>
          <w:numId w:val="0"/>
        </w:numPr>
        <w:spacing w:before="0"/>
        <w:rPr>
          <w:rFonts w:ascii="Calibri" w:hAnsi="Calibri"/>
        </w:rPr>
      </w:pPr>
      <w:r>
        <w:rPr>
          <w:rFonts w:ascii="Calibri" w:hAnsi="Calibri"/>
        </w:rPr>
        <w:lastRenderedPageBreak/>
        <w:t>IX</w:t>
      </w:r>
      <w:r>
        <w:rPr>
          <w:rFonts w:ascii="Calibri" w:hAnsi="Calibri"/>
        </w:rPr>
        <w:tab/>
      </w:r>
      <w:r>
        <w:rPr>
          <w:rFonts w:ascii="Calibri" w:hAnsi="Calibri"/>
        </w:rPr>
        <w:tab/>
      </w:r>
      <w:r w:rsidRPr="00D61C8A">
        <w:rPr>
          <w:rFonts w:ascii="Calibri" w:hAnsi="Calibri"/>
        </w:rPr>
        <w:t>APPENDICES</w:t>
      </w:r>
    </w:p>
    <w:sectPr w:rsidR="00B454FB" w:rsidRPr="00D61C8A" w:rsidSect="00B454FB">
      <w:footnotePr>
        <w:numFmt w:val="lowerRoman"/>
      </w:footnotePr>
      <w:endnotePr>
        <w:numFmt w:val="decimal"/>
      </w:endnotePr>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047" w:rsidRDefault="00E61047" w:rsidP="00B454FB">
      <w:r>
        <w:separator/>
      </w:r>
    </w:p>
  </w:endnote>
  <w:endnote w:type="continuationSeparator" w:id="0">
    <w:p w:rsidR="00E61047" w:rsidRDefault="00E61047" w:rsidP="00B454FB">
      <w:r>
        <w:continuationSeparator/>
      </w:r>
    </w:p>
  </w:endnote>
  <w:endnote w:id="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(September 2009).  Evaluation of UNICEF/UNMAT mine action activities (mine risk education, surveillance: terms of reference (draft).  Internal document.</w:t>
      </w:r>
    </w:p>
  </w:endnote>
  <w:endnote w:id="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Central Intelligence Agency (3 August 2010).  The world factbook: Nepal.  Retrieved 8 August 2010 from </w:t>
      </w:r>
      <w:hyperlink r:id="rId1" w:history="1">
        <w:r w:rsidRPr="00346B02">
          <w:rPr>
            <w:rStyle w:val="Hyperlink"/>
            <w:rFonts w:ascii="Calibri" w:hAnsi="Calibri"/>
            <w:sz w:val="16"/>
            <w:szCs w:val="16"/>
          </w:rPr>
          <w:t>https://www.cia.gov/library/publications/the-world-factbook/geos/np.html</w:t>
        </w:r>
      </w:hyperlink>
      <w:r w:rsidRPr="00346B02">
        <w:rPr>
          <w:rFonts w:ascii="Calibri" w:hAnsi="Calibri"/>
          <w:sz w:val="16"/>
          <w:szCs w:val="16"/>
        </w:rPr>
        <w:t>.</w:t>
      </w:r>
    </w:p>
  </w:endnote>
  <w:endnote w:id="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Central Bureau of Statistics (2001).  National census of Nepal 2001.  Retrieved 8 August 2010 from </w:t>
      </w:r>
      <w:hyperlink r:id="rId2" w:history="1">
        <w:r w:rsidRPr="00346B02">
          <w:rPr>
            <w:rStyle w:val="Hyperlink"/>
            <w:rFonts w:ascii="Calibri" w:hAnsi="Calibri"/>
            <w:sz w:val="16"/>
            <w:szCs w:val="16"/>
          </w:rPr>
          <w:t>http://www.cbs.gov.np/available_publications.php</w:t>
        </w:r>
      </w:hyperlink>
      <w:r w:rsidRPr="00346B02">
        <w:rPr>
          <w:rFonts w:ascii="Calibri" w:hAnsi="Calibri"/>
          <w:sz w:val="16"/>
          <w:szCs w:val="16"/>
        </w:rPr>
        <w:t>.</w:t>
      </w:r>
    </w:p>
  </w:endnote>
  <w:endnote w:id="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(2001).  Landmine monitor report 2001: Nepal.  Retrieved 3 November 2009 from </w:t>
      </w:r>
      <w:hyperlink r:id="rId3" w:history="1">
        <w:r w:rsidRPr="001A046A">
          <w:rPr>
            <w:rStyle w:val="Hyperlink"/>
            <w:rFonts w:ascii="Calibri" w:hAnsi="Calibri"/>
            <w:sz w:val="16"/>
            <w:szCs w:val="16"/>
          </w:rPr>
          <w:t>http://www.the-monitor.org/index.php/publications/display?act=submit&amp;pqs_year=2001&amp;pqs_type=lm&amp;pqs_report=nepal&amp;pqs_section</w:t>
        </w:r>
      </w:hyperlink>
      <w:r w:rsidRPr="001A046A">
        <w:rPr>
          <w:rFonts w:ascii="Calibri" w:hAnsi="Calibri"/>
          <w:sz w:val="16"/>
          <w:szCs w:val="16"/>
        </w:rPr>
        <w:t>=.</w:t>
      </w:r>
    </w:p>
  </w:endnote>
  <w:endnote w:id="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4"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7">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British Broadcasting Corporation (4 August 2010).  Nepal country profile.  Retrieved 8 August 2010 from </w:t>
      </w:r>
      <w:hyperlink r:id="rId5" w:history="1">
        <w:r w:rsidRPr="001A046A">
          <w:rPr>
            <w:rStyle w:val="Hyperlink"/>
            <w:rFonts w:ascii="Calibri" w:hAnsi="Calibri"/>
            <w:sz w:val="16"/>
            <w:szCs w:val="16"/>
          </w:rPr>
          <w:t>http://news.bbc.co.uk/2/hi/south_asia/country_profiles/1166502.stm</w:t>
        </w:r>
      </w:hyperlink>
      <w:r w:rsidRPr="001A046A">
        <w:rPr>
          <w:rFonts w:ascii="Calibri" w:hAnsi="Calibri"/>
          <w:sz w:val="16"/>
          <w:szCs w:val="16"/>
        </w:rPr>
        <w:t>.</w:t>
      </w:r>
    </w:p>
  </w:endnote>
  <w:endnote w:id="8">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British Broadcasting Corporation (4 August 2010).  Timeline: Nepal.  A chronology of key events.  Retrieved 8 August 2010 from </w:t>
      </w:r>
      <w:hyperlink r:id="rId6" w:history="1">
        <w:r w:rsidRPr="001A046A">
          <w:rPr>
            <w:rStyle w:val="Hyperlink"/>
            <w:rFonts w:ascii="Calibri" w:hAnsi="Calibri"/>
            <w:sz w:val="16"/>
            <w:szCs w:val="16"/>
          </w:rPr>
          <w:t>http://news.bbc.co.uk/2/hi/south_asia/country_profiles/1166516.stm</w:t>
        </w:r>
      </w:hyperlink>
      <w:r w:rsidRPr="001A046A">
        <w:rPr>
          <w:rFonts w:ascii="Calibri" w:hAnsi="Calibri"/>
          <w:sz w:val="16"/>
          <w:szCs w:val="16"/>
        </w:rPr>
        <w:t xml:space="preserve">.  United Nations Mission in Nepal (2010).  Mandate.  Retrieved 8 August 2010 from </w:t>
      </w:r>
      <w:hyperlink r:id="rId7" w:history="1">
        <w:r w:rsidRPr="001A046A">
          <w:rPr>
            <w:rStyle w:val="Hyperlink"/>
            <w:rFonts w:ascii="Calibri" w:hAnsi="Calibri"/>
            <w:sz w:val="16"/>
            <w:szCs w:val="16"/>
          </w:rPr>
          <w:t>http://www.unmin.org.np/?d=about&amp;p=mandate</w:t>
        </w:r>
      </w:hyperlink>
      <w:r w:rsidRPr="001A046A">
        <w:rPr>
          <w:rFonts w:ascii="Calibri" w:hAnsi="Calibri"/>
          <w:sz w:val="16"/>
          <w:szCs w:val="16"/>
        </w:rPr>
        <w:t>.</w:t>
      </w:r>
    </w:p>
  </w:endnote>
  <w:endnote w:id="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8"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1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9"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1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0"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 xml:space="preserve">=.  International Campaign to Ban Landmines (2004).  Landmine monitor report 2004: Nepal.  Retrieved 3 November 2009 from </w:t>
      </w:r>
      <w:hyperlink r:id="rId11"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1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12"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1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3"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1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14"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1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15"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 xml:space="preserve">=.  International Campaign to Ban Landmines (2008).  Landmine monitor report 2008: Nepal.  Retrieved 3 November 2009 from </w:t>
      </w:r>
      <w:hyperlink r:id="rId16"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 xml:space="preserve">=.  International Campaign to Ban Landmines (2009).  Landmine monitor report 2009: Nepal.  Retrieved 15 March 2010 from </w:t>
      </w:r>
      <w:hyperlink r:id="rId17"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1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8"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1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19"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1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20"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1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21"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20">
    <w:p w:rsidR="005226B6" w:rsidRPr="00346B02"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(2008).  Landmine monitor report 2008: Nepal.  Retrieved 3 November 2009 from </w:t>
      </w:r>
      <w:hyperlink r:id="rId22"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w:t>
      </w:r>
    </w:p>
  </w:endnote>
  <w:endnote w:id="2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23"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2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24"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 xml:space="preserve">=.  International Campaign to Ban Landmines (2005).  Landmine monitor report 2005: Nepal.  Retrieved 3 November 2009 from </w:t>
      </w:r>
      <w:hyperlink r:id="rId25"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 xml:space="preserve">=.  International Campaign to Ban Landmines (2008).  Landmine monitor report 2008: Nepal.  Retrieved 3 November 2009 from </w:t>
      </w:r>
      <w:hyperlink r:id="rId26"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w:t>
      </w:r>
    </w:p>
  </w:endnote>
  <w:endnote w:id="2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27"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 xml:space="preserve">=.  International Campaign to Ban Landmines (2007).  Landmine monitor report 2007: Nepal.  Retrieved 3 November 2009 from </w:t>
      </w:r>
      <w:hyperlink r:id="rId28"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2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29"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2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30"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2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31"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2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32"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2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33"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3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34"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3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35"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3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36"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3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37"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34">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38" w:history="1">
        <w:r w:rsidRPr="001A046A">
          <w:rPr>
            <w:rStyle w:val="Hyperlink"/>
            <w:rFonts w:ascii="Calibri" w:hAnsi="Calibri"/>
            <w:sz w:val="16"/>
            <w:szCs w:val="16"/>
          </w:rPr>
          <w:t>http://www.mineaction.org/country.asp?c=129</w:t>
        </w:r>
      </w:hyperlink>
      <w:r w:rsidRPr="001A046A">
        <w:rPr>
          <w:rFonts w:ascii="Calibri" w:hAnsi="Calibri"/>
          <w:sz w:val="16"/>
          <w:szCs w:val="16"/>
        </w:rPr>
        <w:t xml:space="preserve">.  International Campaign to Ban Landmines (2005).  Landmine monitor report 2005: Nepal.  Retrieved 3 November 2009 from </w:t>
      </w:r>
      <w:hyperlink r:id="rId39"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35">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40" w:history="1">
        <w:r w:rsidRPr="001A046A">
          <w:rPr>
            <w:rStyle w:val="Hyperlink"/>
            <w:rFonts w:ascii="Calibri" w:hAnsi="Calibri"/>
            <w:sz w:val="16"/>
            <w:szCs w:val="16"/>
          </w:rPr>
          <w:t>http://www.mineaction.org/country.asp?c=129</w:t>
        </w:r>
      </w:hyperlink>
      <w:r w:rsidRPr="001A046A">
        <w:rPr>
          <w:rFonts w:ascii="Calibri" w:hAnsi="Calibri"/>
          <w:sz w:val="16"/>
          <w:szCs w:val="16"/>
        </w:rPr>
        <w:t xml:space="preserve">.  International Campaign to Ban Landmines (2005).  Landmine monitor report 2005: Nepal.  Retrieved 3 November 2009 from </w:t>
      </w:r>
      <w:hyperlink r:id="rId41"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3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42"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 xml:space="preserve">=.  International Campaign to Ban Landmines (2003).  Landmine monitor report 2003: Nepal.  Retrieved 3 November 2009 from </w:t>
      </w:r>
      <w:hyperlink r:id="rId43"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3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44"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38">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45" w:history="1">
        <w:r w:rsidRPr="001A046A">
          <w:rPr>
            <w:rStyle w:val="Hyperlink"/>
            <w:rFonts w:ascii="Calibri" w:hAnsi="Calibri"/>
            <w:sz w:val="16"/>
            <w:szCs w:val="16"/>
          </w:rPr>
          <w:t>http://www.mineaction.org/country.asp?c=129</w:t>
        </w:r>
      </w:hyperlink>
      <w:r w:rsidRPr="001A046A">
        <w:rPr>
          <w:rFonts w:ascii="Calibri" w:hAnsi="Calibri"/>
          <w:sz w:val="16"/>
          <w:szCs w:val="16"/>
        </w:rPr>
        <w:t xml:space="preserve">.  International Campaign to Ban Landmines (2005).  Landmine monitor report 2005: Nepal.  Retrieved 3 November 2009 from </w:t>
      </w:r>
      <w:hyperlink r:id="rId46"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3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47"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4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48"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4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49"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 xml:space="preserve">=.  International Campaign to Ban Landmines (2007).  Landmine monitor report 2007: Nepal.  Retrieved 3 November 2009 from </w:t>
      </w:r>
      <w:hyperlink r:id="rId50"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 xml:space="preserve">=.  International Campaign to Ban Landmines (2009).  Landmine monitor report 2009: Nepal.  Retrieved 15 March 2010 from </w:t>
      </w:r>
      <w:hyperlink r:id="rId51"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4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52"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 xml:space="preserve">=.  International Campaign to Ban Landmines (2004).  Landmine monitor report 2004: Nepal.  Retrieved 3 November 2009 from </w:t>
      </w:r>
      <w:hyperlink r:id="rId53"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 xml:space="preserve">=.  International Campaign to Ban Landmines (2007).  Landmine monitor report 2007: Nepal.  Retrieved 3 November 2009 from </w:t>
      </w:r>
      <w:hyperlink r:id="rId54"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 xml:space="preserve">=.  International Campaign to Ban Landmines (2009).  Landmine monitor report 2009: Nepal.  Retrieved 15 March 2010 from </w:t>
      </w:r>
      <w:hyperlink r:id="rId55"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4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56"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 xml:space="preserve">=.  International Campaign to Ban Landmines (2007).  Landmine monitor report 2007: Nepal.  Retrieved 3 November 2009 from </w:t>
      </w:r>
      <w:hyperlink r:id="rId57"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 xml:space="preserve">=.  International Campaign to Ban Landmines (2009).  Landmine monitor report 2009: Nepal.  Retrieved 15 March 2010 from </w:t>
      </w:r>
      <w:hyperlink r:id="rId58"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 xml:space="preserve">=. </w:t>
      </w:r>
    </w:p>
  </w:endnote>
  <w:endnote w:id="4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59"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 xml:space="preserve">=.  International Campaign to Ban Landmines (2003).  Landmine monitor report 2003: Nepal.  Retrieved 3 November 2009 from </w:t>
      </w:r>
      <w:hyperlink r:id="rId60"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 xml:space="preserve">=.  International Campaign to Ban Landmines (2004).  Landmine monitor report 2004: Nepal.  Retrieved 3 November 2009 from </w:t>
      </w:r>
      <w:hyperlink r:id="rId61"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4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62"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4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63"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4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(August 2000).  Landmine monitor report 2000: Nepal.  Retrieved 3 November 2009 from </w:t>
      </w:r>
      <w:hyperlink r:id="rId64" w:history="1">
        <w:r w:rsidRPr="001A046A">
          <w:rPr>
            <w:rStyle w:val="Hyperlink"/>
            <w:rFonts w:ascii="Calibri" w:hAnsi="Calibri"/>
            <w:sz w:val="16"/>
            <w:szCs w:val="16"/>
          </w:rPr>
          <w:t>http://www.the-monitor.org/index.php/publications/display?act=submit&amp;pqs_year=2000&amp;pqs_type=lm&amp;pqs_report=nepal&amp;pqs_section</w:t>
        </w:r>
      </w:hyperlink>
      <w:r w:rsidRPr="001A046A">
        <w:rPr>
          <w:rFonts w:ascii="Calibri" w:hAnsi="Calibri"/>
          <w:sz w:val="16"/>
          <w:szCs w:val="16"/>
        </w:rPr>
        <w:t xml:space="preserve">=.  International Campaign to Ban Landmines (2006).  Landmine monitor report 2006: Nepal.  Retrieved 3 November 2009 from </w:t>
      </w:r>
      <w:hyperlink r:id="rId65"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4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66"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4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67"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 xml:space="preserve">=.  International Campaign to Ban Landmines (2005).  Landmine monitor report 2005: Nepal.  Retrieved 3 November 2009 from </w:t>
      </w:r>
      <w:hyperlink r:id="rId68"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5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69"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51">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70" w:history="1">
        <w:r w:rsidRPr="001A046A">
          <w:rPr>
            <w:rStyle w:val="Hyperlink"/>
            <w:rFonts w:ascii="Calibri" w:hAnsi="Calibri"/>
            <w:sz w:val="16"/>
            <w:szCs w:val="16"/>
          </w:rPr>
          <w:t>http://www.mineaction.org/country.asp?c=129</w:t>
        </w:r>
      </w:hyperlink>
      <w:r w:rsidRPr="001A046A">
        <w:rPr>
          <w:rFonts w:ascii="Calibri" w:hAnsi="Calibri"/>
          <w:sz w:val="16"/>
          <w:szCs w:val="16"/>
        </w:rPr>
        <w:t xml:space="preserve">.  International Campaign to Ban Landmines (2004).  Landmine monitor report 2004: Nepal.  Retrieved 3 November 2009 from </w:t>
      </w:r>
      <w:hyperlink r:id="rId71"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 xml:space="preserve">=.  International Campaign to Ban Landmines (2005).  Landmine monitor report 2005: Nepal.  Retrieved 3 November 2009 from </w:t>
      </w:r>
      <w:hyperlink r:id="rId72"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 xml:space="preserve">=.  </w:t>
      </w:r>
    </w:p>
  </w:endnote>
  <w:endnote w:id="5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5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73"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54">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74" w:history="1">
        <w:r w:rsidRPr="001A046A">
          <w:rPr>
            <w:rStyle w:val="Hyperlink"/>
            <w:rFonts w:ascii="Calibri" w:hAnsi="Calibri"/>
            <w:sz w:val="16"/>
            <w:szCs w:val="16"/>
          </w:rPr>
          <w:t>http://www.mineaction.org/country.asp?c=129</w:t>
        </w:r>
      </w:hyperlink>
      <w:r w:rsidRPr="001A046A">
        <w:rPr>
          <w:rFonts w:ascii="Calibri" w:hAnsi="Calibri"/>
          <w:sz w:val="16"/>
          <w:szCs w:val="16"/>
        </w:rPr>
        <w:t>.</w:t>
      </w:r>
    </w:p>
  </w:endnote>
  <w:endnote w:id="55">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75" w:history="1">
        <w:r w:rsidRPr="001A046A">
          <w:rPr>
            <w:rStyle w:val="Hyperlink"/>
            <w:rFonts w:ascii="Calibri" w:hAnsi="Calibri"/>
            <w:sz w:val="16"/>
            <w:szCs w:val="16"/>
          </w:rPr>
          <w:t>http://www.mineaction.org/country.asp?c=129</w:t>
        </w:r>
      </w:hyperlink>
      <w:r w:rsidRPr="001A046A">
        <w:rPr>
          <w:rFonts w:ascii="Calibri" w:hAnsi="Calibri"/>
          <w:sz w:val="16"/>
          <w:szCs w:val="16"/>
        </w:rPr>
        <w:t xml:space="preserve">.  International Campaign to Ban Landmines (2005).  Landmine monitor report 2005: Nepal.  Retrieved 3 November 2009 from </w:t>
      </w:r>
      <w:hyperlink r:id="rId76"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5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77"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57">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78" w:history="1">
        <w:r w:rsidRPr="001A046A">
          <w:rPr>
            <w:rStyle w:val="Hyperlink"/>
            <w:rFonts w:ascii="Calibri" w:hAnsi="Calibri"/>
            <w:sz w:val="16"/>
            <w:szCs w:val="16"/>
          </w:rPr>
          <w:t>http://www.mineaction.org/country.asp?c=129</w:t>
        </w:r>
      </w:hyperlink>
      <w:r w:rsidRPr="001A046A">
        <w:rPr>
          <w:rFonts w:ascii="Calibri" w:hAnsi="Calibri"/>
          <w:sz w:val="16"/>
          <w:szCs w:val="16"/>
        </w:rPr>
        <w:t>.</w:t>
      </w:r>
    </w:p>
  </w:endnote>
  <w:endnote w:id="5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79"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59">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Electronic Mine Information Network (2009).  Nepal.  Retrieved 8 August 2010 from </w:t>
      </w:r>
      <w:hyperlink r:id="rId80" w:history="1">
        <w:r w:rsidRPr="001A046A">
          <w:rPr>
            <w:rStyle w:val="Hyperlink"/>
            <w:rFonts w:ascii="Calibri" w:hAnsi="Calibri"/>
            <w:sz w:val="16"/>
            <w:szCs w:val="16"/>
          </w:rPr>
          <w:t>http://www.mineaction.org/country.asp?c=129</w:t>
        </w:r>
      </w:hyperlink>
      <w:r w:rsidRPr="001A046A">
        <w:rPr>
          <w:rFonts w:ascii="Calibri" w:hAnsi="Calibri"/>
          <w:sz w:val="16"/>
          <w:szCs w:val="16"/>
        </w:rPr>
        <w:t>.</w:t>
      </w:r>
    </w:p>
  </w:endnote>
  <w:endnote w:id="6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81"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6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82"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6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(2008).  Landmine monitor report 2008: Nepal.  Retrieved 3 November 2009 from </w:t>
      </w:r>
      <w:hyperlink r:id="rId83"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w:t>
      </w:r>
    </w:p>
  </w:endnote>
  <w:endnote w:id="6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84"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6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85"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65">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British Broadcasting Corporation (4 August 2010).  Timeline: Nepal.  A chronology of key events.  Retrieved 8 August 2010 from </w:t>
      </w:r>
      <w:hyperlink r:id="rId86" w:history="1">
        <w:r w:rsidRPr="001A046A">
          <w:rPr>
            <w:rStyle w:val="Hyperlink"/>
            <w:rFonts w:ascii="Calibri" w:hAnsi="Calibri"/>
            <w:sz w:val="16"/>
            <w:szCs w:val="16"/>
          </w:rPr>
          <w:t>http://news.bbc.co.uk/2/hi/south_asia/country_profiles/1166516.stm</w:t>
        </w:r>
      </w:hyperlink>
      <w:r w:rsidRPr="001A046A">
        <w:rPr>
          <w:rFonts w:ascii="Calibri" w:hAnsi="Calibri"/>
          <w:sz w:val="16"/>
          <w:szCs w:val="16"/>
        </w:rPr>
        <w:t xml:space="preserve">.  International Campaign to Ban Landmines (2009).  Landmine monitor report 2009: Nepal.  Retrieved 15 March 2010 from </w:t>
      </w:r>
      <w:hyperlink r:id="rId87"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6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(2001).  Landmine monitor report 2001: Nepal.  Retrieved 3 November 2009 from </w:t>
      </w:r>
      <w:hyperlink r:id="rId88" w:history="1">
        <w:r w:rsidRPr="001A046A">
          <w:rPr>
            <w:rStyle w:val="Hyperlink"/>
            <w:rFonts w:ascii="Calibri" w:hAnsi="Calibri"/>
            <w:sz w:val="16"/>
            <w:szCs w:val="16"/>
          </w:rPr>
          <w:t>http://www.the-monitor.org/index.php/publications/display?act=submit&amp;pqs_year=2001&amp;pqs_type=lm&amp;pqs_report=nepal&amp;pqs_section</w:t>
        </w:r>
      </w:hyperlink>
      <w:r w:rsidRPr="001A046A">
        <w:rPr>
          <w:rFonts w:ascii="Calibri" w:hAnsi="Calibri"/>
          <w:sz w:val="16"/>
          <w:szCs w:val="16"/>
        </w:rPr>
        <w:t>=.</w:t>
      </w:r>
    </w:p>
  </w:endnote>
  <w:endnote w:id="6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6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89"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6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90"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7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91"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7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92"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72">
    <w:p w:rsidR="005226B6" w:rsidRPr="001A046A" w:rsidRDefault="005226B6">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(2008).  INSEC surveillance system on explosive device incidents: reports on civilian casualties of unintentional explosions, Nepal – January to December 2007.  Retrieved 5 November 2009 from </w:t>
      </w:r>
      <w:hyperlink r:id="rId93" w:history="1">
        <w:r w:rsidRPr="001A046A">
          <w:rPr>
            <w:rStyle w:val="Hyperlink"/>
            <w:rFonts w:ascii="Calibri" w:hAnsi="Calibri"/>
            <w:sz w:val="16"/>
            <w:szCs w:val="16"/>
          </w:rPr>
          <w:t>http://www.inseconline.org/pics/1244452080.pdf</w:t>
        </w:r>
      </w:hyperlink>
      <w:r w:rsidRPr="001A046A">
        <w:rPr>
          <w:rFonts w:ascii="Calibri" w:hAnsi="Calibri"/>
          <w:sz w:val="16"/>
          <w:szCs w:val="16"/>
        </w:rPr>
        <w:t xml:space="preserve">.  Informal Sector Service Center (2009).  INSEC surveillance system on explosive device incidents: report on civilian casualties of victim-activated explosions, Nepal - January to December 2008.  Retrieved 5 November 2009 from </w:t>
      </w:r>
      <w:hyperlink r:id="rId94" w:history="1">
        <w:r w:rsidRPr="001A046A">
          <w:rPr>
            <w:rStyle w:val="Hyperlink"/>
            <w:rFonts w:ascii="Calibri" w:hAnsi="Calibri"/>
            <w:sz w:val="16"/>
            <w:szCs w:val="16"/>
          </w:rPr>
          <w:t>http://www.inseconline.org/pics/1244452441.pdf</w:t>
        </w:r>
      </w:hyperlink>
      <w:r w:rsidRPr="001A046A">
        <w:rPr>
          <w:rFonts w:ascii="Calibri" w:hAnsi="Calibri"/>
          <w:sz w:val="16"/>
          <w:szCs w:val="16"/>
        </w:rPr>
        <w:t xml:space="preserve">.  Informal Sector Service Center (2010).  INSEC surveillance system on explosive devices incidents: report on casualties of victim-activated explosions, Nepal, January-December 2009.  Retrieved 29 April 2010 from </w:t>
      </w:r>
      <w:hyperlink r:id="rId95" w:history="1">
        <w:r w:rsidRPr="001A046A">
          <w:rPr>
            <w:rStyle w:val="Hyperlink"/>
            <w:rFonts w:ascii="Calibri" w:hAnsi="Calibri"/>
            <w:sz w:val="16"/>
            <w:szCs w:val="16"/>
          </w:rPr>
          <w:t>http://www.inseconline.org/pics/1271926138.pdf</w:t>
        </w:r>
      </w:hyperlink>
      <w:r w:rsidRPr="001A046A">
        <w:rPr>
          <w:rFonts w:ascii="Calibri" w:hAnsi="Calibri"/>
          <w:sz w:val="16"/>
          <w:szCs w:val="16"/>
        </w:rPr>
        <w:t>.</w:t>
      </w:r>
    </w:p>
  </w:endnote>
  <w:endnote w:id="7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96"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74">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Ban Landmines Campaign Nepal (10 November 2009).  Meeting with Coordinator and Administrative and Technical Officer.  Kathmandu.</w:t>
      </w:r>
    </w:p>
  </w:endnote>
  <w:endnote w:id="75">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7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97"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7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98"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78">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Ban Landmines Campaign Nepal (10 November 2009).  Meeting with Coordinator and Administrative and Technical Officer.  Kathmandu.</w:t>
      </w:r>
    </w:p>
  </w:endnote>
  <w:endnote w:id="7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99"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w:t>
      </w:r>
    </w:p>
  </w:endnote>
  <w:endnote w:id="8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8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00"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8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01"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 xml:space="preserve">=.  International Campaign to Ban Landmines (2008).  Landmine monitor report 2008: Nepal.  Retrieved 3 November 2009 from </w:t>
      </w:r>
      <w:hyperlink r:id="rId102"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w:t>
      </w:r>
    </w:p>
  </w:endnote>
  <w:endnote w:id="8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(2001).  Landmine monitor report 2001: Nepal.  Retrieved 3 November 2009 from </w:t>
      </w:r>
      <w:hyperlink r:id="rId103" w:history="1">
        <w:r w:rsidRPr="001A046A">
          <w:rPr>
            <w:rStyle w:val="Hyperlink"/>
            <w:rFonts w:ascii="Calibri" w:hAnsi="Calibri"/>
            <w:sz w:val="16"/>
            <w:szCs w:val="16"/>
          </w:rPr>
          <w:t>http://www.the-monitor.org/index.php/publications/display?act=submit&amp;pqs_year=2001&amp;pqs_type=lm&amp;pqs_report=nepal&amp;pqs_section</w:t>
        </w:r>
      </w:hyperlink>
      <w:r w:rsidRPr="001A046A">
        <w:rPr>
          <w:rFonts w:ascii="Calibri" w:hAnsi="Calibri"/>
          <w:sz w:val="16"/>
          <w:szCs w:val="16"/>
        </w:rPr>
        <w:t>=.</w:t>
      </w:r>
    </w:p>
  </w:endnote>
  <w:endnote w:id="8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04"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85">
    <w:p w:rsidR="005226B6" w:rsidRPr="001A046A" w:rsidRDefault="005226B6">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05" w:history="1">
        <w:r w:rsidRPr="001A046A">
          <w:rPr>
            <w:rStyle w:val="Hyperlink"/>
            <w:rFonts w:ascii="Calibri" w:hAnsi="Calibri"/>
            <w:sz w:val="16"/>
            <w:szCs w:val="16"/>
          </w:rPr>
          <w:t>http://www.inseconline.org/pics/1244451067.pdf</w:t>
        </w:r>
      </w:hyperlink>
      <w:r w:rsidRPr="001A046A">
        <w:rPr>
          <w:rFonts w:ascii="Calibri" w:hAnsi="Calibri"/>
          <w:sz w:val="16"/>
          <w:szCs w:val="16"/>
        </w:rPr>
        <w:t xml:space="preserve">.  Informal Sector Service Center (2008).  INSEC surveillance system on explosive device incidents: reports on civilian casualties of unintentional explosions, Nepal – January to December 2007.  Retrieved 5 November 2009 from </w:t>
      </w:r>
      <w:hyperlink r:id="rId106" w:history="1">
        <w:r w:rsidRPr="001A046A">
          <w:rPr>
            <w:rStyle w:val="Hyperlink"/>
            <w:rFonts w:ascii="Calibri" w:hAnsi="Calibri"/>
            <w:sz w:val="16"/>
            <w:szCs w:val="16"/>
          </w:rPr>
          <w:t>http://www.inseconline.org/pics/1244452080.pdf</w:t>
        </w:r>
      </w:hyperlink>
      <w:r w:rsidRPr="001A046A">
        <w:rPr>
          <w:rFonts w:ascii="Calibri" w:hAnsi="Calibri"/>
          <w:sz w:val="16"/>
          <w:szCs w:val="16"/>
        </w:rPr>
        <w:t xml:space="preserve">.  Informal Sector Service Center (2009).  INSEC surveillance system on explosive device incidents: report on civilian casualties of victim-activated explosions, Nepal - January to December 2008.  Retrieved 5 November 2009 from </w:t>
      </w:r>
      <w:hyperlink r:id="rId107" w:history="1">
        <w:r w:rsidRPr="001A046A">
          <w:rPr>
            <w:rStyle w:val="Hyperlink"/>
            <w:rFonts w:ascii="Calibri" w:hAnsi="Calibri"/>
            <w:sz w:val="16"/>
            <w:szCs w:val="16"/>
          </w:rPr>
          <w:t>http://www.inseconline.org/pics/1244452441.pdf</w:t>
        </w:r>
      </w:hyperlink>
      <w:r w:rsidRPr="001A046A">
        <w:rPr>
          <w:rFonts w:ascii="Calibri" w:hAnsi="Calibri"/>
          <w:sz w:val="16"/>
          <w:szCs w:val="16"/>
        </w:rPr>
        <w:t xml:space="preserve">.  Informal Sector Service Center (2010).  INSEC surveillance system on explosive devices incidents: report on casualties of victim-activated explosions, Nepal, January-December 2009.  Retrieved 29 April 2010 from </w:t>
      </w:r>
      <w:hyperlink r:id="rId108" w:history="1">
        <w:r w:rsidRPr="001A046A">
          <w:rPr>
            <w:rStyle w:val="Hyperlink"/>
            <w:rFonts w:ascii="Calibri" w:hAnsi="Calibri"/>
            <w:sz w:val="16"/>
            <w:szCs w:val="16"/>
          </w:rPr>
          <w:t>http://www.inseconline.org/pics/1271926138.pdf</w:t>
        </w:r>
      </w:hyperlink>
      <w:r w:rsidRPr="001A046A">
        <w:rPr>
          <w:rFonts w:ascii="Calibri" w:hAnsi="Calibri"/>
          <w:sz w:val="16"/>
          <w:szCs w:val="16"/>
        </w:rPr>
        <w:t>.</w:t>
      </w:r>
    </w:p>
  </w:endnote>
  <w:endnote w:id="8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09"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8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8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8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(2004).  Landmine monitor report 2004: Nepal.  Retrieved 3 November 2009 from </w:t>
      </w:r>
      <w:hyperlink r:id="rId110"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9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9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111"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9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12"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 xml:space="preserve">=.  International Campaign to Ban Landmines (2004).  Landmine monitor report 2004: Nepal.  Retrieved 3 November 2009 from </w:t>
      </w:r>
      <w:hyperlink r:id="rId113"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w:t>
      </w:r>
    </w:p>
  </w:endnote>
  <w:endnote w:id="93">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(September 2009).  Evaluation of UNICEF/UNMAT mine action activities (mine risk education, surveillance: terms of reference (draft).  Internal document.</w:t>
      </w:r>
    </w:p>
  </w:endnote>
  <w:endnote w:id="9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95">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9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97">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Evaluation Group (April 2005).  Norms for Evaluation in the UN System.  Retrieved 8 August 2010 from </w:t>
      </w:r>
      <w:hyperlink r:id="rId114" w:history="1">
        <w:r w:rsidRPr="001A046A">
          <w:rPr>
            <w:rStyle w:val="Hyperlink"/>
            <w:rFonts w:ascii="Calibri" w:hAnsi="Calibri"/>
            <w:sz w:val="16"/>
            <w:szCs w:val="16"/>
          </w:rPr>
          <w:t>http://www.escwa.un.org/divisions/pptcd/upload/uneg.pdf</w:t>
        </w:r>
      </w:hyperlink>
      <w:r w:rsidRPr="001A046A">
        <w:rPr>
          <w:rFonts w:ascii="Calibri" w:hAnsi="Calibri"/>
          <w:sz w:val="16"/>
          <w:szCs w:val="16"/>
        </w:rPr>
        <w:t>.</w:t>
      </w:r>
    </w:p>
  </w:endnote>
  <w:endnote w:id="98">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Evaluation Group (April 2005).  Standards for Evaluation in the UN System.  Retrieved 8 August 2010 from </w:t>
      </w:r>
      <w:hyperlink r:id="rId115" w:history="1">
        <w:r w:rsidRPr="001A046A">
          <w:rPr>
            <w:rStyle w:val="Hyperlink"/>
            <w:rFonts w:ascii="Calibri" w:hAnsi="Calibri"/>
            <w:sz w:val="16"/>
            <w:szCs w:val="16"/>
          </w:rPr>
          <w:t>http://www.uneval.org/papersandpubs/documentdetail.jsp?doc_id=22</w:t>
        </w:r>
      </w:hyperlink>
      <w:r w:rsidRPr="001A046A">
        <w:rPr>
          <w:rFonts w:ascii="Calibri" w:hAnsi="Calibri"/>
          <w:sz w:val="16"/>
          <w:szCs w:val="16"/>
        </w:rPr>
        <w:t>.</w:t>
      </w:r>
    </w:p>
  </w:endnote>
  <w:endnote w:id="99">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Centers for Disease Control and Prevention (27 July 2001).  </w:t>
      </w:r>
      <w:r w:rsidRPr="001A046A">
        <w:rPr>
          <w:rFonts w:ascii="Calibri" w:hAnsi="Calibri" w:cs="Arial"/>
          <w:color w:val="000000"/>
          <w:sz w:val="16"/>
          <w:szCs w:val="16"/>
        </w:rPr>
        <w:t xml:space="preserve">Morbidity and Mortality Weekly Report, 50(RR13): 1-35.  </w:t>
      </w:r>
      <w:r w:rsidRPr="001A046A">
        <w:rPr>
          <w:rFonts w:ascii="Calibri" w:hAnsi="Calibri"/>
          <w:sz w:val="16"/>
          <w:szCs w:val="16"/>
        </w:rPr>
        <w:t xml:space="preserve">Updated guidelines for evaluating public health surveillance systems: recommendations from the Guidelines Working Group. Retrieved 8 August 2010 from </w:t>
      </w:r>
      <w:hyperlink r:id="rId116" w:history="1">
        <w:r w:rsidRPr="001A046A">
          <w:rPr>
            <w:rStyle w:val="Hyperlink"/>
            <w:rFonts w:ascii="Calibri" w:hAnsi="Calibri"/>
            <w:sz w:val="16"/>
            <w:szCs w:val="16"/>
          </w:rPr>
          <w:t>http://www.cdc.gov/mmwr/preview/mmwrhtml/rr5013a1.htm</w:t>
        </w:r>
      </w:hyperlink>
      <w:r w:rsidRPr="001A046A">
        <w:rPr>
          <w:rFonts w:ascii="Calibri" w:hAnsi="Calibri"/>
          <w:sz w:val="16"/>
          <w:szCs w:val="16"/>
        </w:rPr>
        <w:t>.</w:t>
      </w:r>
    </w:p>
  </w:endnote>
  <w:endnote w:id="100">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(2002).  Landmine monitor report 2002: Nepal.  Retrieved 3 November 2009 from </w:t>
      </w:r>
      <w:hyperlink r:id="rId117" w:history="1">
        <w:r w:rsidRPr="001A046A">
          <w:rPr>
            <w:rStyle w:val="Hyperlink"/>
            <w:rFonts w:ascii="Calibri" w:hAnsi="Calibri"/>
            <w:sz w:val="16"/>
            <w:szCs w:val="16"/>
          </w:rPr>
          <w:t>http://www.the-monitor.org/index.php/publications/display?act=submit&amp;pqs_year=2002&amp;pqs_type=lm&amp;pqs_report=nepal&amp;pqs_section</w:t>
        </w:r>
      </w:hyperlink>
      <w:r w:rsidRPr="001A046A">
        <w:rPr>
          <w:rFonts w:ascii="Calibri" w:hAnsi="Calibri"/>
          <w:sz w:val="16"/>
          <w:szCs w:val="16"/>
        </w:rPr>
        <w:t xml:space="preserve">=.  International Campaign to Ban Landmines (2003).  Landmine monitor report 2003: Nepal.  Retrieved 3 November 2009 from </w:t>
      </w:r>
      <w:hyperlink r:id="rId118"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 xml:space="preserve">=.  International Campaign to Ban Landmines (2004).  Landmine monitor report 2004: Nepal.  Retrieved 3 November 2009 from </w:t>
      </w:r>
      <w:hyperlink r:id="rId119" w:history="1">
        <w:r w:rsidRPr="001A046A">
          <w:rPr>
            <w:rStyle w:val="Hyperlink"/>
            <w:rFonts w:ascii="Calibri" w:hAnsi="Calibri"/>
            <w:sz w:val="16"/>
            <w:szCs w:val="16"/>
          </w:rPr>
          <w:t>http://www.the-monitor.org/index.php/publications/display?act=submit&amp;pqs_year=2004&amp;pqs_type=lm&amp;pqs_report=nepal&amp;pqs_section</w:t>
        </w:r>
      </w:hyperlink>
      <w:r w:rsidRPr="001A046A">
        <w:rPr>
          <w:rFonts w:ascii="Calibri" w:hAnsi="Calibri"/>
          <w:sz w:val="16"/>
          <w:szCs w:val="16"/>
        </w:rPr>
        <w:t xml:space="preserve">=.  International Campaign to Ban Landmines (2005).  Landmine monitor report 2005: Nepal.  Retrieved 3 November 2009 from </w:t>
      </w:r>
      <w:hyperlink r:id="rId120"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10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(2003).  Landmine monitor report 2003: Nepal.  Retrieved 3 November 2009 from </w:t>
      </w:r>
      <w:hyperlink r:id="rId121" w:history="1">
        <w:r w:rsidRPr="001A046A">
          <w:rPr>
            <w:rStyle w:val="Hyperlink"/>
            <w:rFonts w:ascii="Calibri" w:hAnsi="Calibri"/>
            <w:sz w:val="16"/>
            <w:szCs w:val="16"/>
          </w:rPr>
          <w:t>http://www.the-monitor.org/index.php/publications/display?act=submit&amp;pqs_year=2003&amp;pqs_type=lm&amp;pqs_report=nepal&amp;pqs_section</w:t>
        </w:r>
      </w:hyperlink>
      <w:r w:rsidRPr="001A046A">
        <w:rPr>
          <w:rFonts w:ascii="Calibri" w:hAnsi="Calibri"/>
          <w:sz w:val="16"/>
          <w:szCs w:val="16"/>
        </w:rPr>
        <w:t>=.</w:t>
      </w:r>
    </w:p>
  </w:endnote>
  <w:endnote w:id="10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0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(2005).  Landmine monitor report 2005: Nepal.  Retrieved 3 November 2009 from </w:t>
      </w:r>
      <w:hyperlink r:id="rId122" w:history="1">
        <w:r w:rsidRPr="001A046A">
          <w:rPr>
            <w:rStyle w:val="Hyperlink"/>
            <w:rFonts w:ascii="Calibri" w:hAnsi="Calibri"/>
            <w:sz w:val="16"/>
            <w:szCs w:val="16"/>
          </w:rPr>
          <w:t>http://www.the-monitor.org/index.php/publications/display?act=submit&amp;pqs_year=2005&amp;pqs_type=lm&amp;pqs_report=nepal&amp;pqs_section</w:t>
        </w:r>
      </w:hyperlink>
      <w:r w:rsidRPr="001A046A">
        <w:rPr>
          <w:rFonts w:ascii="Calibri" w:hAnsi="Calibri"/>
          <w:sz w:val="16"/>
          <w:szCs w:val="16"/>
        </w:rPr>
        <w:t>=.</w:t>
      </w:r>
    </w:p>
  </w:endnote>
  <w:endnote w:id="104">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(10 November 2009).  Meeting with Deputy Country Director, Surgery Project Manager and Disability Coordinator.  Kathmandu.</w:t>
      </w:r>
    </w:p>
  </w:endnote>
  <w:endnote w:id="10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23" w:history="1">
        <w:r w:rsidRPr="001A046A">
          <w:rPr>
            <w:rStyle w:val="Hyperlink"/>
            <w:rFonts w:ascii="Calibri" w:hAnsi="Calibri"/>
            <w:sz w:val="16"/>
            <w:szCs w:val="16"/>
          </w:rPr>
          <w:t>http://www.inseconline.org/pics/1244450644.pdf</w:t>
        </w:r>
      </w:hyperlink>
      <w:r w:rsidRPr="001A046A">
        <w:rPr>
          <w:rFonts w:ascii="Calibri" w:hAnsi="Calibri"/>
          <w:sz w:val="16"/>
          <w:szCs w:val="16"/>
        </w:rPr>
        <w:t xml:space="preserve">.  Informal Sector Service Center (2006).  INSEC surveillance system on IED/UXO/mine incidents: monthly report on civilian casualties of unintentional explosions, Nepal – June 2006.  Retrieved 5 November 2009 from </w:t>
      </w:r>
      <w:hyperlink r:id="rId124" w:history="1">
        <w:r w:rsidRPr="001A046A">
          <w:rPr>
            <w:rStyle w:val="Hyperlink"/>
            <w:rFonts w:ascii="Calibri" w:hAnsi="Calibri"/>
            <w:sz w:val="16"/>
            <w:szCs w:val="16"/>
          </w:rPr>
          <w:t>http://www.inseconline.org/pics/1244450908.pdf</w:t>
        </w:r>
      </w:hyperlink>
      <w:r w:rsidRPr="001A046A">
        <w:rPr>
          <w:rFonts w:ascii="Calibri" w:hAnsi="Calibri"/>
          <w:sz w:val="16"/>
          <w:szCs w:val="16"/>
        </w:rPr>
        <w:t xml:space="preserve">.  Informal Sector Service Center (2006).  INSEC surveillance system on explosive device incidents: bimonthly report on civilian casualties of unintentional explosions, July/August 2006.  Retrieved 5 November 2009 from </w:t>
      </w:r>
      <w:hyperlink r:id="rId125" w:history="1">
        <w:r w:rsidRPr="001A046A">
          <w:rPr>
            <w:rStyle w:val="Hyperlink"/>
            <w:rFonts w:ascii="Calibri" w:hAnsi="Calibri"/>
            <w:sz w:val="16"/>
            <w:szCs w:val="16"/>
          </w:rPr>
          <w:t>http://www.inseconline.org/pics/1244451007.pdf</w:t>
        </w:r>
      </w:hyperlink>
      <w:r w:rsidRPr="001A046A">
        <w:rPr>
          <w:rFonts w:ascii="Calibri" w:hAnsi="Calibri"/>
          <w:sz w:val="16"/>
          <w:szCs w:val="16"/>
        </w:rPr>
        <w:t xml:space="preserve">.  Informal Sector Service Center (2006).  INSEC surveillance system on explosive device incidents: bimonthly report on civilian casualties of unintentional explosions, September/October 2006.  Retrieved 5 November 2009 from </w:t>
      </w:r>
      <w:hyperlink r:id="rId126" w:history="1">
        <w:r w:rsidRPr="001A046A">
          <w:rPr>
            <w:rStyle w:val="Hyperlink"/>
            <w:rFonts w:ascii="Calibri" w:hAnsi="Calibri"/>
            <w:sz w:val="16"/>
            <w:szCs w:val="16"/>
          </w:rPr>
          <w:t>http://www.inseconline.org/pics/1244451007.pdf</w:t>
        </w:r>
      </w:hyperlink>
      <w:r w:rsidRPr="001A046A">
        <w:rPr>
          <w:rFonts w:ascii="Calibri" w:hAnsi="Calibri"/>
          <w:sz w:val="16"/>
          <w:szCs w:val="16"/>
        </w:rPr>
        <w:t>.</w:t>
      </w:r>
    </w:p>
    <w:p w:rsidR="005226B6" w:rsidRPr="001A046A" w:rsidRDefault="005226B6" w:rsidP="00B454FB">
      <w:pPr>
        <w:pStyle w:val="EndnoteText"/>
        <w:rPr>
          <w:rFonts w:ascii="Calibri" w:hAnsi="Calibri"/>
          <w:sz w:val="16"/>
          <w:szCs w:val="16"/>
        </w:rPr>
      </w:pPr>
      <w:r w:rsidRPr="001A046A">
        <w:rPr>
          <w:rFonts w:ascii="Calibri" w:hAnsi="Calibri"/>
          <w:sz w:val="16"/>
          <w:szCs w:val="16"/>
        </w:rPr>
        <w:t xml:space="preserve">Informal Sector Service Center (2007).  INSEC surveillance system on explosive device incidents: bi-monthly report on civilian casualties of unintentional explosions, November/December 2006.  Retrieved 5 November 2009 from </w:t>
      </w:r>
      <w:hyperlink r:id="rId127" w:history="1">
        <w:r w:rsidRPr="001A046A">
          <w:rPr>
            <w:rStyle w:val="Hyperlink"/>
            <w:rFonts w:ascii="Calibri" w:hAnsi="Calibri"/>
            <w:sz w:val="16"/>
            <w:szCs w:val="16"/>
          </w:rPr>
          <w:t>http://www.inseconline.org/pics/1244451031.pdf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January/February 2007.  Retrieved 5 November 2009 from </w:t>
      </w:r>
      <w:hyperlink r:id="rId128" w:history="1">
        <w:r w:rsidRPr="001A046A">
          <w:rPr>
            <w:rStyle w:val="Hyperlink"/>
            <w:rFonts w:ascii="Calibri" w:hAnsi="Calibri"/>
            <w:sz w:val="16"/>
            <w:szCs w:val="16"/>
          </w:rPr>
          <w:t>http://www.inseconline.org/pics/1244451287.pdf</w:t>
        </w:r>
      </w:hyperlink>
      <w:r w:rsidRPr="001A046A">
        <w:rPr>
          <w:rFonts w:ascii="Calibri" w:hAnsi="Calibri"/>
          <w:sz w:val="16"/>
          <w:szCs w:val="16"/>
        </w:rPr>
        <w:t>.</w:t>
      </w:r>
    </w:p>
    <w:p w:rsidR="005226B6" w:rsidRPr="001A046A" w:rsidRDefault="005226B6" w:rsidP="00B454FB">
      <w:pPr>
        <w:pStyle w:val="EndnoteText"/>
        <w:rPr>
          <w:rFonts w:ascii="Calibri" w:hAnsi="Calibri"/>
          <w:sz w:val="16"/>
          <w:szCs w:val="16"/>
        </w:rPr>
      </w:pPr>
      <w:r w:rsidRPr="001A046A">
        <w:rPr>
          <w:rFonts w:ascii="Calibri" w:hAnsi="Calibri"/>
          <w:sz w:val="16"/>
          <w:szCs w:val="16"/>
        </w:rPr>
        <w:t xml:space="preserve">Informal Sector Service Center (2007).  INSEC surveillance system on explosive device incidents: bimonthly report on civilian casualties of unintentional explosions, March/April 2007.  Retrieved 5 November 2009 from </w:t>
      </w:r>
      <w:hyperlink r:id="rId129" w:history="1">
        <w:r w:rsidRPr="001A046A">
          <w:rPr>
            <w:rStyle w:val="Hyperlink"/>
            <w:rFonts w:ascii="Calibri" w:hAnsi="Calibri"/>
            <w:sz w:val="16"/>
            <w:szCs w:val="16"/>
          </w:rPr>
          <w:t>http://www.inseconline.org/pics/1244451555.pdf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May/June 2007.  Retrieved 5 November 2009 from </w:t>
      </w:r>
      <w:hyperlink r:id="rId130" w:history="1">
        <w:r w:rsidRPr="001A046A">
          <w:rPr>
            <w:rStyle w:val="Hyperlink"/>
            <w:rFonts w:ascii="Calibri" w:hAnsi="Calibri"/>
            <w:sz w:val="16"/>
            <w:szCs w:val="16"/>
          </w:rPr>
          <w:t>http://www.inseconline.org/pics/1244451628.pdf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July/August 2007.  Retrieved 5 November 2009 from </w:t>
      </w:r>
      <w:hyperlink r:id="rId131" w:history="1">
        <w:r w:rsidRPr="001A046A">
          <w:rPr>
            <w:rStyle w:val="Hyperlink"/>
            <w:rFonts w:ascii="Calibri" w:hAnsi="Calibri"/>
            <w:sz w:val="16"/>
            <w:szCs w:val="16"/>
          </w:rPr>
          <w:t>http://www.inseconline.org/pics/1244451929.pdf</w:t>
        </w:r>
      </w:hyperlink>
      <w:r w:rsidRPr="001A046A">
        <w:rPr>
          <w:rFonts w:ascii="Calibri" w:hAnsi="Calibri"/>
          <w:sz w:val="16"/>
          <w:szCs w:val="16"/>
        </w:rPr>
        <w:t xml:space="preserve">.  International Campaign to Ban Landmines (2006).  Landmine monitor report 2006: Nepal.  Retrieved 3 November 2009 from </w:t>
      </w:r>
      <w:hyperlink r:id="rId132"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10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33" w:history="1">
        <w:r w:rsidRPr="001A046A">
          <w:rPr>
            <w:rStyle w:val="Hyperlink"/>
            <w:rFonts w:ascii="Calibri" w:hAnsi="Calibri"/>
            <w:sz w:val="16"/>
            <w:szCs w:val="16"/>
          </w:rPr>
          <w:t>http://www.inseconline.org/pics/1244450644.pdf</w:t>
        </w:r>
      </w:hyperlink>
      <w:r w:rsidRPr="001A046A">
        <w:rPr>
          <w:rFonts w:ascii="Calibri" w:hAnsi="Calibri"/>
          <w:sz w:val="16"/>
          <w:szCs w:val="16"/>
        </w:rPr>
        <w:t xml:space="preserve">.  Informal Sector Service Center (2006).  INSEC surveillance system on IED/UXO/mine incidents: monthly report on civilian casualties of unintentional explosions, Nepal – June 2006.  Retrieved 5 November 2009 from </w:t>
      </w:r>
      <w:hyperlink r:id="rId134" w:history="1">
        <w:r w:rsidRPr="001A046A">
          <w:rPr>
            <w:rStyle w:val="Hyperlink"/>
            <w:rFonts w:ascii="Calibri" w:hAnsi="Calibri"/>
            <w:sz w:val="16"/>
            <w:szCs w:val="16"/>
          </w:rPr>
          <w:t>http://www.inseconline.org/pics/1244450908.pdf</w:t>
        </w:r>
      </w:hyperlink>
      <w:r w:rsidRPr="001A046A">
        <w:rPr>
          <w:rFonts w:ascii="Calibri" w:hAnsi="Calibri"/>
          <w:sz w:val="16"/>
          <w:szCs w:val="16"/>
        </w:rPr>
        <w:t xml:space="preserve">.  Informal Sector Service Center (2006).  INSEC surveillance system on explosive device incidents: bimonthly report on civilian casualties of unintentional explosions, July/August 2006.  Retrieved 5 November 2009 from </w:t>
      </w:r>
      <w:hyperlink r:id="rId135" w:history="1">
        <w:r w:rsidRPr="001A046A">
          <w:rPr>
            <w:rStyle w:val="Hyperlink"/>
            <w:rFonts w:ascii="Calibri" w:hAnsi="Calibri"/>
            <w:sz w:val="16"/>
            <w:szCs w:val="16"/>
          </w:rPr>
          <w:t>http://www.inseconline.org/pics/1244451007.pdf</w:t>
        </w:r>
      </w:hyperlink>
      <w:r w:rsidRPr="001A046A">
        <w:rPr>
          <w:rFonts w:ascii="Calibri" w:hAnsi="Calibri"/>
          <w:sz w:val="16"/>
          <w:szCs w:val="16"/>
        </w:rPr>
        <w:t xml:space="preserve">.  Informal Sector Service Center (2006).  INSEC surveillance system on explosive device incidents: bimonthly report on civilian casualties of unintentional explosions, September/October 2006.  Retrieved 5 November 2009 from </w:t>
      </w:r>
      <w:hyperlink r:id="rId136" w:history="1">
        <w:r w:rsidRPr="001A046A">
          <w:rPr>
            <w:rStyle w:val="Hyperlink"/>
            <w:rFonts w:ascii="Calibri" w:hAnsi="Calibri"/>
            <w:sz w:val="16"/>
            <w:szCs w:val="16"/>
          </w:rPr>
          <w:t>http://www.inseconline.org/pics/1244451007.pdf</w:t>
        </w:r>
      </w:hyperlink>
      <w:r w:rsidRPr="001A046A">
        <w:rPr>
          <w:rFonts w:ascii="Calibri" w:hAnsi="Calibri"/>
          <w:sz w:val="16"/>
          <w:szCs w:val="16"/>
        </w:rPr>
        <w:t>.</w:t>
      </w:r>
    </w:p>
    <w:p w:rsidR="005226B6" w:rsidRPr="001A046A" w:rsidRDefault="005226B6" w:rsidP="00B454FB">
      <w:pPr>
        <w:pStyle w:val="EndnoteText"/>
        <w:rPr>
          <w:rFonts w:ascii="Calibri" w:hAnsi="Calibri"/>
          <w:sz w:val="16"/>
          <w:szCs w:val="16"/>
        </w:rPr>
      </w:pPr>
      <w:r w:rsidRPr="001A046A">
        <w:rPr>
          <w:rFonts w:ascii="Calibri" w:hAnsi="Calibri"/>
          <w:sz w:val="16"/>
          <w:szCs w:val="16"/>
        </w:rPr>
        <w:t xml:space="preserve">Informal Sector Service Center (2007).  INSEC surveillance system on explosive device incidents: bi-monthly report on civilian casualties of unintentional explosions, November/December 2006.  Retrieved 5 November 2009 from </w:t>
      </w:r>
      <w:hyperlink r:id="rId137" w:history="1">
        <w:r w:rsidRPr="001A046A">
          <w:rPr>
            <w:rStyle w:val="Hyperlink"/>
            <w:rFonts w:ascii="Calibri" w:hAnsi="Calibri"/>
            <w:sz w:val="16"/>
            <w:szCs w:val="16"/>
          </w:rPr>
          <w:t>http://www.inseconline.org/pics/1244451031.pdf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January/February 2007.  Retrieved 5 November 2009 from </w:t>
      </w:r>
      <w:hyperlink r:id="rId138" w:history="1">
        <w:r w:rsidRPr="001A046A">
          <w:rPr>
            <w:rStyle w:val="Hyperlink"/>
            <w:rFonts w:ascii="Calibri" w:hAnsi="Calibri"/>
            <w:sz w:val="16"/>
            <w:szCs w:val="16"/>
          </w:rPr>
          <w:t>http://www.inseconline.org/pics/1244451287.pdf</w:t>
        </w:r>
      </w:hyperlink>
      <w:r w:rsidRPr="001A046A">
        <w:rPr>
          <w:rFonts w:ascii="Calibri" w:hAnsi="Calibri"/>
          <w:sz w:val="16"/>
          <w:szCs w:val="16"/>
        </w:rPr>
        <w:t>.</w:t>
      </w:r>
    </w:p>
    <w:p w:rsidR="005226B6" w:rsidRPr="001A046A" w:rsidRDefault="005226B6" w:rsidP="00B454FB">
      <w:pPr>
        <w:pStyle w:val="EndnoteText"/>
        <w:rPr>
          <w:rFonts w:ascii="Calibri" w:hAnsi="Calibri"/>
          <w:sz w:val="16"/>
          <w:szCs w:val="16"/>
        </w:rPr>
      </w:pPr>
      <w:r w:rsidRPr="001A046A">
        <w:rPr>
          <w:rFonts w:ascii="Calibri" w:hAnsi="Calibri"/>
          <w:sz w:val="16"/>
          <w:szCs w:val="16"/>
        </w:rPr>
        <w:t xml:space="preserve">Informal Sector Service Center (2007).  INSEC surveillance system on explosive device incidents: bimonthly report on civilian casualties of unintentional explosions, March/April 2007.  Retrieved 5 November 2009 from </w:t>
      </w:r>
      <w:hyperlink r:id="rId139" w:history="1">
        <w:r w:rsidRPr="001A046A">
          <w:rPr>
            <w:rStyle w:val="Hyperlink"/>
            <w:rFonts w:ascii="Calibri" w:hAnsi="Calibri"/>
            <w:sz w:val="16"/>
            <w:szCs w:val="16"/>
          </w:rPr>
          <w:t>http://www.inseconline.org/pics/1244451555.pdf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May/June 2007.  Retrieved 5 November 2009 from </w:t>
      </w:r>
      <w:hyperlink r:id="rId140" w:history="1">
        <w:r w:rsidRPr="001A046A">
          <w:rPr>
            <w:rStyle w:val="Hyperlink"/>
            <w:rFonts w:ascii="Calibri" w:hAnsi="Calibri"/>
            <w:sz w:val="16"/>
            <w:szCs w:val="16"/>
          </w:rPr>
          <w:t>http://www.inseconline.org/pics/1244451628.pdf</w:t>
        </w:r>
      </w:hyperlink>
      <w:r w:rsidRPr="001A046A">
        <w:rPr>
          <w:rFonts w:ascii="Calibri" w:hAnsi="Calibri"/>
          <w:sz w:val="16"/>
          <w:szCs w:val="16"/>
        </w:rPr>
        <w:t xml:space="preserve">.  Informal Sector Service Center (2007).  INSEC surveillance system on explosive device incidents: bimonthly report on civilian casualties of unintentional explosions, July/August 2007.  Retrieved 5 November 2009 from </w:t>
      </w:r>
      <w:hyperlink r:id="rId141" w:history="1">
        <w:r w:rsidRPr="001A046A">
          <w:rPr>
            <w:rStyle w:val="Hyperlink"/>
            <w:rFonts w:ascii="Calibri" w:hAnsi="Calibri"/>
            <w:sz w:val="16"/>
            <w:szCs w:val="16"/>
          </w:rPr>
          <w:t>http://www.inseconline.org/pics/1244451929.pdf</w:t>
        </w:r>
      </w:hyperlink>
      <w:r w:rsidRPr="001A046A">
        <w:rPr>
          <w:rFonts w:ascii="Calibri" w:hAnsi="Calibri"/>
          <w:sz w:val="16"/>
          <w:szCs w:val="16"/>
        </w:rPr>
        <w:t>.</w:t>
      </w:r>
    </w:p>
  </w:endnote>
  <w:endnote w:id="10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(2009).  Landmine monitor report 2009: Nepal.  Retrieved 15 March 2010 from </w:t>
      </w:r>
      <w:hyperlink r:id="rId142"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10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43" w:history="1">
        <w:r w:rsidRPr="001A046A">
          <w:rPr>
            <w:rStyle w:val="Hyperlink"/>
            <w:rFonts w:ascii="Calibri" w:hAnsi="Calibri"/>
            <w:sz w:val="16"/>
            <w:szCs w:val="16"/>
          </w:rPr>
          <w:t>http://www.inseconline.org/pics/1244450644.pdf</w:t>
        </w:r>
      </w:hyperlink>
      <w:r w:rsidRPr="001A046A">
        <w:rPr>
          <w:rFonts w:ascii="Calibri" w:hAnsi="Calibri"/>
          <w:sz w:val="16"/>
          <w:szCs w:val="16"/>
        </w:rPr>
        <w:t>.</w:t>
      </w:r>
    </w:p>
  </w:endnote>
  <w:endnote w:id="10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1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Mine Action Team (25 April 2010).  Personal communication with Programme Officer.</w:t>
      </w:r>
    </w:p>
  </w:endnote>
  <w:endnote w:id="11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1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(13 May 2010).  Personal communication with Mine Action Project Officer.</w:t>
      </w:r>
    </w:p>
  </w:endnote>
  <w:endnote w:id="11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1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44"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11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(13 May 2010).  Personal communication with Mine Action Project Officer.</w:t>
      </w:r>
    </w:p>
  </w:endnote>
  <w:endnote w:id="11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1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45"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11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(13 May 2010).  Personal communication with Mine Action Project Officer.</w:t>
      </w:r>
    </w:p>
  </w:endnote>
  <w:endnote w:id="119">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46"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120">
    <w:p w:rsidR="005226B6" w:rsidRPr="001A046A" w:rsidRDefault="005226B6">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47" w:history="1">
        <w:r w:rsidRPr="001A046A">
          <w:rPr>
            <w:rStyle w:val="Hyperlink"/>
            <w:rFonts w:ascii="Calibri" w:hAnsi="Calibri"/>
            <w:sz w:val="16"/>
            <w:szCs w:val="16"/>
          </w:rPr>
          <w:t>http://www.inseconline.org/pics/1244450644.pdf</w:t>
        </w:r>
      </w:hyperlink>
      <w:r w:rsidRPr="001A046A">
        <w:rPr>
          <w:rFonts w:ascii="Calibri" w:hAnsi="Calibri"/>
          <w:sz w:val="16"/>
          <w:szCs w:val="16"/>
        </w:rPr>
        <w:t xml:space="preserve">. </w:t>
      </w:r>
    </w:p>
  </w:endnote>
  <w:endnote w:id="121">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(19 July 2010).  New casualties. Victim-activated explosions - 2010.  INSEC update July 19, 2010.  Retrieved 8 August 2010 from </w:t>
      </w:r>
      <w:hyperlink r:id="rId148" w:history="1">
        <w:r w:rsidRPr="001A046A">
          <w:rPr>
            <w:rStyle w:val="Hyperlink"/>
            <w:rFonts w:ascii="Calibri" w:hAnsi="Calibri"/>
            <w:sz w:val="16"/>
            <w:szCs w:val="16"/>
          </w:rPr>
          <w:t>http://www.inseconline.org/pics/1279523096.pdf</w:t>
        </w:r>
      </w:hyperlink>
      <w:r w:rsidRPr="001A046A">
        <w:rPr>
          <w:rFonts w:ascii="Calibri" w:hAnsi="Calibri"/>
          <w:sz w:val="16"/>
          <w:szCs w:val="16"/>
        </w:rPr>
        <w:t>.</w:t>
      </w:r>
    </w:p>
  </w:endnote>
  <w:endnote w:id="122">
    <w:p w:rsidR="005226B6" w:rsidRPr="001A046A" w:rsidRDefault="005226B6">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(2008).  Landmine monitor report 2008: Nepal.  Retrieved 3 November 2009 from </w:t>
      </w:r>
      <w:hyperlink r:id="rId149" w:history="1">
        <w:r w:rsidRPr="001A046A">
          <w:rPr>
            <w:rStyle w:val="Hyperlink"/>
            <w:rFonts w:ascii="Calibri" w:hAnsi="Calibri"/>
            <w:sz w:val="16"/>
            <w:szCs w:val="16"/>
          </w:rPr>
          <w:t>http://www.the-monitor.org/index.php/publications/display?act=submit&amp;pqs_year=2008&amp;pqs_type=lm&amp;pqs_report=nepal&amp;pqs_section</w:t>
        </w:r>
      </w:hyperlink>
      <w:r w:rsidRPr="001A046A">
        <w:rPr>
          <w:rFonts w:ascii="Calibri" w:hAnsi="Calibri"/>
          <w:sz w:val="16"/>
          <w:szCs w:val="16"/>
        </w:rPr>
        <w:t xml:space="preserve">=.  International Campaign to Ban Landmines (2009).  Landmine monitor report 2009: Nepal.  Retrieved 15 March 2010 from </w:t>
      </w:r>
      <w:hyperlink r:id="rId150" w:history="1">
        <w:r w:rsidRPr="001A046A">
          <w:rPr>
            <w:rStyle w:val="Hyperlink"/>
            <w:rFonts w:ascii="Calibri" w:hAnsi="Calibri"/>
            <w:sz w:val="16"/>
            <w:szCs w:val="16"/>
          </w:rPr>
          <w:t>http://www.the-monitor.org/index.php/publications/display?act=submit&amp;pqs_year=2009&amp;pqs_type=lm&amp;pqs_report=nepal&amp;pqs_section</w:t>
        </w:r>
      </w:hyperlink>
      <w:r w:rsidRPr="001A046A">
        <w:rPr>
          <w:rFonts w:ascii="Calibri" w:hAnsi="Calibri"/>
          <w:sz w:val="16"/>
          <w:szCs w:val="16"/>
        </w:rPr>
        <w:t>=.</w:t>
      </w:r>
    </w:p>
  </w:endnote>
  <w:endnote w:id="123">
    <w:p w:rsidR="005226B6" w:rsidRPr="001A046A" w:rsidRDefault="005226B6">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(22 April 2010).  Personal communication with Mine Action Project Officer.</w:t>
      </w:r>
    </w:p>
  </w:endnote>
  <w:endnote w:id="124">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151"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125">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52" w:history="1">
        <w:r w:rsidRPr="001A046A">
          <w:rPr>
            <w:rStyle w:val="Hyperlink"/>
            <w:rFonts w:ascii="Calibri" w:hAnsi="Calibri"/>
            <w:sz w:val="16"/>
            <w:szCs w:val="16"/>
          </w:rPr>
          <w:t>http://www.inseconline.org/pics/1244450644.pdf</w:t>
        </w:r>
      </w:hyperlink>
      <w:r w:rsidRPr="001A046A">
        <w:rPr>
          <w:rFonts w:ascii="Calibri" w:hAnsi="Calibri"/>
          <w:sz w:val="16"/>
          <w:szCs w:val="16"/>
        </w:rPr>
        <w:t>.</w:t>
      </w:r>
    </w:p>
  </w:endnote>
  <w:endnote w:id="12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(9 November 2009).  Meeting with Mine Action Project Officer and Mine Action Monitoring Officer.  Kathmandu.</w:t>
      </w:r>
    </w:p>
  </w:endnote>
  <w:endnote w:id="127">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(2007).  Landmine monitor report 2007: Nepal.  Retrieved 3 November 2009 from </w:t>
      </w:r>
      <w:hyperlink r:id="rId153" w:history="1">
        <w:r w:rsidRPr="001A046A">
          <w:rPr>
            <w:rStyle w:val="Hyperlink"/>
            <w:rFonts w:ascii="Calibri" w:hAnsi="Calibri"/>
            <w:sz w:val="16"/>
            <w:szCs w:val="16"/>
          </w:rPr>
          <w:t>http://www.the-monitor.org/index.php/publications/display?act=submit&amp;pqs_year=2007&amp;pqs_type=lm&amp;pqs_report=nepal&amp;pqs_section</w:t>
        </w:r>
      </w:hyperlink>
      <w:r w:rsidRPr="001A046A">
        <w:rPr>
          <w:rFonts w:ascii="Calibri" w:hAnsi="Calibri"/>
          <w:sz w:val="16"/>
          <w:szCs w:val="16"/>
        </w:rPr>
        <w:t>=.</w:t>
      </w:r>
    </w:p>
  </w:endnote>
  <w:endnote w:id="128">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(22 April 2010).  Personal communication with Mine Action Project Officer.</w:t>
      </w:r>
    </w:p>
  </w:endnote>
  <w:endnote w:id="129">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(2009).  INSEC core programmes.  Retrieved 8 August 2010 from </w:t>
      </w:r>
      <w:hyperlink r:id="rId154" w:history="1">
        <w:r w:rsidRPr="001A046A">
          <w:rPr>
            <w:rStyle w:val="Hyperlink"/>
            <w:rFonts w:ascii="Calibri" w:hAnsi="Calibri"/>
            <w:sz w:val="16"/>
            <w:szCs w:val="16"/>
          </w:rPr>
          <w:t>http://www.insec.org.np/index.php?type=reports&amp;id=1&amp;lang=en</w:t>
        </w:r>
      </w:hyperlink>
      <w:r w:rsidRPr="001A046A">
        <w:rPr>
          <w:rFonts w:ascii="Calibri" w:hAnsi="Calibri"/>
          <w:sz w:val="16"/>
          <w:szCs w:val="16"/>
        </w:rPr>
        <w:t>.</w:t>
      </w:r>
    </w:p>
  </w:endnote>
  <w:endnote w:id="130">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(2009).  About us.  Retrieved 8 August 2010 from </w:t>
      </w:r>
      <w:hyperlink r:id="rId155" w:history="1">
        <w:r w:rsidRPr="001A046A">
          <w:rPr>
            <w:rStyle w:val="Hyperlink"/>
            <w:rFonts w:ascii="Calibri" w:hAnsi="Calibri"/>
            <w:sz w:val="16"/>
            <w:szCs w:val="16"/>
          </w:rPr>
          <w:t>http://www.insec.org.np/index.php?type=cms&amp;id=1&amp;lang=en</w:t>
        </w:r>
      </w:hyperlink>
      <w:r w:rsidRPr="001A046A">
        <w:rPr>
          <w:rFonts w:ascii="Calibri" w:hAnsi="Calibri"/>
          <w:sz w:val="16"/>
          <w:szCs w:val="16"/>
        </w:rPr>
        <w:t>.</w:t>
      </w:r>
    </w:p>
  </w:endnote>
  <w:endnote w:id="131">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International Campaign to Ban Landmines (2006).  Landmine monitor report 2006: Nepal.  Retrieved 3 November 2009 from </w:t>
      </w:r>
      <w:hyperlink r:id="rId156" w:history="1">
        <w:r w:rsidRPr="001A046A">
          <w:rPr>
            <w:rStyle w:val="Hyperlink"/>
            <w:rFonts w:ascii="Calibri" w:hAnsi="Calibri"/>
            <w:sz w:val="16"/>
            <w:szCs w:val="16"/>
          </w:rPr>
          <w:t>http://www.the-monitor.org/index.php/publications/display?act=submit&amp;pqs_year=2006&amp;pqs_type=lm&amp;pqs_report=nepal&amp;pqs_section</w:t>
        </w:r>
      </w:hyperlink>
      <w:r w:rsidRPr="001A046A">
        <w:rPr>
          <w:rFonts w:ascii="Calibri" w:hAnsi="Calibri"/>
          <w:sz w:val="16"/>
          <w:szCs w:val="16"/>
        </w:rPr>
        <w:t>=.</w:t>
      </w:r>
    </w:p>
  </w:endnote>
  <w:endnote w:id="132">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United Nations Children’s Fund Nepal (9 November 2009).  Meeting with Chief of Child Protection.  Kathmandu.</w:t>
      </w:r>
    </w:p>
  </w:endnote>
  <w:endnote w:id="133">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34">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(n.d.).  In the US.  Retrieved 8 August 2010 from </w:t>
      </w:r>
      <w:hyperlink r:id="rId157" w:history="1">
        <w:r w:rsidRPr="001A046A">
          <w:rPr>
            <w:rStyle w:val="Hyperlink"/>
            <w:rFonts w:ascii="Calibri" w:hAnsi="Calibri"/>
            <w:sz w:val="16"/>
            <w:szCs w:val="16"/>
          </w:rPr>
          <w:t>http://www.handicap-international.us/in-the-us/</w:t>
        </w:r>
      </w:hyperlink>
      <w:r w:rsidRPr="001A046A">
        <w:rPr>
          <w:rFonts w:ascii="Calibri" w:hAnsi="Calibri"/>
          <w:sz w:val="16"/>
          <w:szCs w:val="16"/>
        </w:rPr>
        <w:t>.</w:t>
      </w:r>
    </w:p>
  </w:endnote>
  <w:endnote w:id="135">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(2010).  About us.  Retrieved 8 August 2010 from </w:t>
      </w:r>
      <w:hyperlink r:id="rId158" w:history="1">
        <w:r w:rsidRPr="001A046A">
          <w:rPr>
            <w:rStyle w:val="Hyperlink"/>
            <w:rFonts w:ascii="Calibri" w:hAnsi="Calibri"/>
            <w:sz w:val="16"/>
            <w:szCs w:val="16"/>
          </w:rPr>
          <w:t>http://www.handicap-international.org.uk/about_us/index</w:t>
        </w:r>
      </w:hyperlink>
      <w:r w:rsidRPr="001A046A">
        <w:rPr>
          <w:rFonts w:ascii="Calibri" w:hAnsi="Calibri"/>
          <w:sz w:val="16"/>
          <w:szCs w:val="16"/>
        </w:rPr>
        <w:t>.</w:t>
      </w:r>
    </w:p>
  </w:endnote>
  <w:endnote w:id="136">
    <w:p w:rsidR="005226B6" w:rsidRPr="001A046A" w:rsidRDefault="005226B6" w:rsidP="00B454FB">
      <w:pPr>
        <w:pStyle w:val="EndnoteText"/>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(4 June 2010).  Personal communication with Disability Coordinator.</w:t>
      </w:r>
    </w:p>
  </w:endnote>
  <w:endnote w:id="137">
    <w:p w:rsidR="005226B6" w:rsidRPr="001A046A" w:rsidRDefault="005226B6" w:rsidP="00B454FB">
      <w:pPr>
        <w:autoSpaceDE w:val="0"/>
        <w:autoSpaceDN w:val="0"/>
        <w:adjustRightInd w:val="0"/>
        <w:rPr>
          <w:rFonts w:ascii="Calibri" w:hAnsi="Calibri" w:cs="Arial"/>
          <w:color w:val="000000"/>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59" w:history="1">
        <w:r w:rsidRPr="001A046A">
          <w:rPr>
            <w:rStyle w:val="Hyperlink"/>
            <w:rFonts w:ascii="Calibri" w:hAnsi="Calibri"/>
            <w:sz w:val="16"/>
            <w:szCs w:val="16"/>
          </w:rPr>
          <w:t>http://www.inseconline.org/pics/1244451067.pdf</w:t>
        </w:r>
      </w:hyperlink>
      <w:r w:rsidRPr="001A046A">
        <w:rPr>
          <w:rFonts w:ascii="Calibri" w:hAnsi="Calibri"/>
          <w:sz w:val="16"/>
          <w:szCs w:val="16"/>
        </w:rPr>
        <w:t>.</w:t>
      </w:r>
    </w:p>
  </w:endnote>
  <w:endnote w:id="138">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(10 November 2009).  Meeting with Deputy Country Director, Surgery Project Manager and Disability Coordinator.  Kathmandu.</w:t>
      </w:r>
    </w:p>
  </w:endnote>
  <w:endnote w:id="139">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Informal Sector Service Center (December 2006).  Explosive remnants of war and landmines in Nepal: understanding the threat.  Situation analysis and recommendations for future action.  Retrieved 8 August 2010 from </w:t>
      </w:r>
      <w:hyperlink r:id="rId160" w:history="1">
        <w:r w:rsidRPr="001A046A">
          <w:rPr>
            <w:rStyle w:val="Hyperlink"/>
            <w:rFonts w:ascii="Calibri" w:hAnsi="Calibri"/>
            <w:sz w:val="16"/>
            <w:szCs w:val="16"/>
          </w:rPr>
          <w:t>http://www.un.org.np/reports//INSEC/2006/Handicap%20Final%20Report.pdf</w:t>
        </w:r>
      </w:hyperlink>
      <w:r w:rsidRPr="001A046A">
        <w:rPr>
          <w:rFonts w:ascii="Calibri" w:hAnsi="Calibri"/>
          <w:sz w:val="16"/>
          <w:szCs w:val="16"/>
        </w:rPr>
        <w:t>.</w:t>
      </w:r>
    </w:p>
  </w:endnote>
  <w:endnote w:id="140">
    <w:p w:rsidR="005226B6" w:rsidRPr="001A046A" w:rsidRDefault="005226B6" w:rsidP="00B454FB">
      <w:pPr>
        <w:rPr>
          <w:rFonts w:ascii="Calibri" w:hAnsi="Calibri"/>
          <w:sz w:val="16"/>
          <w:szCs w:val="16"/>
        </w:rPr>
      </w:pPr>
      <w:r w:rsidRPr="001A046A">
        <w:rPr>
          <w:rStyle w:val="EndnoteReference"/>
          <w:rFonts w:ascii="Calibri" w:hAnsi="Calibri"/>
          <w:sz w:val="16"/>
          <w:szCs w:val="16"/>
        </w:rPr>
        <w:endnoteRef/>
      </w:r>
      <w:r w:rsidRPr="001A046A">
        <w:rPr>
          <w:rFonts w:ascii="Calibri" w:hAnsi="Calibri"/>
          <w:sz w:val="16"/>
          <w:szCs w:val="16"/>
        </w:rPr>
        <w:t xml:space="preserve"> Handicap International (10 November 2009).  Meeting with Deputy Country Director, Surgery Project Manager and Disability Coordinator.  Kathmandu.</w:t>
      </w:r>
    </w:p>
  </w:endnote>
  <w:endnote w:id="14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4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4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4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4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61" w:history="1">
        <w:r w:rsidRPr="00346B02">
          <w:rPr>
            <w:rStyle w:val="Hyperlink"/>
            <w:rFonts w:ascii="Calibri" w:hAnsi="Calibri"/>
            <w:sz w:val="16"/>
            <w:szCs w:val="16"/>
          </w:rPr>
          <w:t>http://www.inseconline.org/pics/1244451067.pdf</w:t>
        </w:r>
      </w:hyperlink>
      <w:r w:rsidRPr="00346B02">
        <w:rPr>
          <w:rFonts w:ascii="Calibri" w:hAnsi="Calibri"/>
          <w:sz w:val="16"/>
          <w:szCs w:val="16"/>
        </w:rPr>
        <w:t>.</w:t>
      </w:r>
    </w:p>
  </w:endnote>
  <w:endnote w:id="14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4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62" w:history="1">
        <w:r w:rsidRPr="00346B02">
          <w:rPr>
            <w:rStyle w:val="Hyperlink"/>
            <w:rFonts w:ascii="Calibri" w:hAnsi="Calibri"/>
            <w:sz w:val="16"/>
            <w:szCs w:val="16"/>
          </w:rPr>
          <w:t>http://www.inseconline.org/pics/1244451067.pdf</w:t>
        </w:r>
      </w:hyperlink>
      <w:r w:rsidRPr="00346B02">
        <w:rPr>
          <w:rFonts w:ascii="Calibri" w:hAnsi="Calibri"/>
          <w:sz w:val="16"/>
          <w:szCs w:val="16"/>
        </w:rPr>
        <w:t>.</w:t>
      </w:r>
    </w:p>
  </w:endnote>
  <w:endnote w:id="14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4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  Informal Sector Service Center (16 November 2009).  Meeting with Far Western Regional Office Regional Coordinator and Documentation Officer.  Dhangadhi, Kailali District.  </w:t>
      </w:r>
    </w:p>
  </w:endnote>
  <w:endnote w:id="150">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(2007).  Landmine monitor report 2007: Nepal.  Retrieved 3 November 2009 from </w:t>
      </w:r>
      <w:hyperlink r:id="rId163" w:history="1">
        <w:r w:rsidRPr="003115B7">
          <w:rPr>
            <w:rStyle w:val="Hyperlink"/>
            <w:rFonts w:ascii="Calibri" w:hAnsi="Calibri"/>
            <w:sz w:val="16"/>
            <w:szCs w:val="16"/>
          </w:rPr>
          <w:t>http://www.the-monitor.org/index.php/publications/display?act=submit&amp;pqs_year=2007&amp;pqs_type=lm&amp;pqs_report=nepal&amp;pqs_section</w:t>
        </w:r>
      </w:hyperlink>
      <w:r w:rsidRPr="003115B7">
        <w:rPr>
          <w:rFonts w:ascii="Calibri" w:hAnsi="Calibri"/>
          <w:sz w:val="16"/>
          <w:szCs w:val="16"/>
        </w:rPr>
        <w:t>=.</w:t>
      </w:r>
    </w:p>
  </w:endnote>
  <w:endnote w:id="151">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52">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(22 April 2010).  Personal communication with Head of Human Rights Education Department and Focal Point for Mine Action.</w:t>
      </w:r>
    </w:p>
  </w:endnote>
  <w:endnote w:id="153">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5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5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5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5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5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(22 April 2010).  Personal communication with Head of Human Rights Education Department and Focal Point for Mine Action.</w:t>
      </w:r>
    </w:p>
  </w:endnote>
  <w:endnote w:id="15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6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6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6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6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(2009).  INSEC surveillance system on explosive device incidents: report on civilian casualties of victim-activated explosions, Nepal – January to December 2008.  Retrieved 8 August 2010 from </w:t>
      </w:r>
      <w:hyperlink r:id="rId164" w:history="1">
        <w:r w:rsidRPr="00346B02">
          <w:rPr>
            <w:rStyle w:val="Hyperlink"/>
            <w:rFonts w:ascii="Calibri" w:hAnsi="Calibri"/>
            <w:sz w:val="16"/>
            <w:szCs w:val="16"/>
          </w:rPr>
          <w:t>http://www.inseconline.org/pics/1244452441.pdf</w:t>
        </w:r>
      </w:hyperlink>
      <w:r w:rsidRPr="00346B02">
        <w:rPr>
          <w:rFonts w:ascii="Calibri" w:hAnsi="Calibri"/>
          <w:sz w:val="16"/>
          <w:szCs w:val="16"/>
        </w:rPr>
        <w:t>.</w:t>
      </w:r>
    </w:p>
  </w:endnote>
  <w:endnote w:id="16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  2008 report pdf from Danee</w:t>
      </w:r>
    </w:p>
  </w:endnote>
  <w:endnote w:id="16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6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(2009).  INSEC surveillance system on explosive device incidents: report on civilian casualties of victim-activated explosions, Nepal – January to December 2008.  Retrieved 8 August 2010 from </w:t>
      </w:r>
      <w:hyperlink r:id="rId165" w:history="1">
        <w:r w:rsidRPr="00346B02">
          <w:rPr>
            <w:rStyle w:val="Hyperlink"/>
            <w:rFonts w:ascii="Calibri" w:hAnsi="Calibri"/>
            <w:sz w:val="16"/>
            <w:szCs w:val="16"/>
          </w:rPr>
          <w:t>http://www.inseconline.org/pics/1244452441.pdf</w:t>
        </w:r>
      </w:hyperlink>
      <w:r w:rsidRPr="00346B02">
        <w:rPr>
          <w:rFonts w:ascii="Calibri" w:hAnsi="Calibri"/>
          <w:sz w:val="16"/>
          <w:szCs w:val="16"/>
        </w:rPr>
        <w:t>.</w:t>
      </w:r>
    </w:p>
  </w:endnote>
  <w:endnote w:id="16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68">
    <w:p w:rsidR="005226B6" w:rsidRPr="00346B02" w:rsidRDefault="005226B6">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(22 April 2010).  Personal communication with Head of Human Rights Education Department and Focal Point for Mine Action.</w:t>
      </w:r>
    </w:p>
  </w:endnote>
  <w:endnote w:id="16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7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71">
    <w:p w:rsidR="005226B6" w:rsidRPr="00346B02" w:rsidRDefault="005226B6">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(22 April 2010).  Personal communication with Head of Human Rights Education Department and Focal Point for Mine Action.</w:t>
      </w:r>
    </w:p>
  </w:endnote>
  <w:endnote w:id="17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7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66" w:history="1">
        <w:r w:rsidRPr="00346B02">
          <w:rPr>
            <w:rStyle w:val="Hyperlink"/>
            <w:rFonts w:ascii="Calibri" w:hAnsi="Calibri"/>
            <w:sz w:val="16"/>
            <w:szCs w:val="16"/>
          </w:rPr>
          <w:t>http://www.inseconline.org/pics/1244451067.pdf</w:t>
        </w:r>
      </w:hyperlink>
      <w:r w:rsidRPr="00346B02">
        <w:rPr>
          <w:rFonts w:ascii="Calibri" w:hAnsi="Calibri"/>
          <w:sz w:val="16"/>
          <w:szCs w:val="16"/>
        </w:rPr>
        <w:t>.</w:t>
      </w:r>
    </w:p>
  </w:endnote>
  <w:endnote w:id="17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7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7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7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178">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Handicap International (10 November 2009).  Meeting with Deputy Country Director, Surgery Project Manager and Disability Coordinator.  Kathmandu.</w:t>
      </w:r>
    </w:p>
  </w:endnote>
  <w:endnote w:id="17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(2007).  INSEC surveillance on explosive device incidents: reports on civilian casualties of unintentional explosions, Nepal - January to December 2006.  Retrieved 5 November 2009 from </w:t>
      </w:r>
      <w:hyperlink r:id="rId167" w:history="1">
        <w:r w:rsidRPr="00346B02">
          <w:rPr>
            <w:rStyle w:val="Hyperlink"/>
            <w:rFonts w:ascii="Calibri" w:hAnsi="Calibri"/>
            <w:sz w:val="16"/>
            <w:szCs w:val="16"/>
          </w:rPr>
          <w:t>http://www.inseconline.org/pics/1244451067.pdf</w:t>
        </w:r>
      </w:hyperlink>
      <w:r w:rsidRPr="00346B02">
        <w:rPr>
          <w:rFonts w:ascii="Calibri" w:hAnsi="Calibri"/>
          <w:sz w:val="16"/>
          <w:szCs w:val="16"/>
        </w:rPr>
        <w:t>.</w:t>
      </w:r>
    </w:p>
  </w:endnote>
  <w:endnote w:id="18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8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Informal Sector Service Center (11 November 2009).  Meeting with Executive Director, Head of Human Rights Education Department and Focal Point for Mine Action and Head of Documentation Office.  Kathmandu.</w:t>
      </w:r>
    </w:p>
  </w:endnote>
  <w:endnote w:id="18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83">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18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168"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185">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69"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18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170"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18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(2007).  Landmine monitor report 2007: Nepal.  Retrieved 3 November 2009 from </w:t>
      </w:r>
      <w:hyperlink r:id="rId171" w:history="1">
        <w:r w:rsidRPr="003115B7">
          <w:rPr>
            <w:rStyle w:val="Hyperlink"/>
            <w:rFonts w:ascii="Calibri" w:hAnsi="Calibri"/>
            <w:sz w:val="16"/>
            <w:szCs w:val="16"/>
          </w:rPr>
          <w:t>http://www.the-monitor.org/index.php/publications/display?act=submit&amp;pqs_year=2007&amp;pqs_type=lm&amp;pqs_report=nepal&amp;pqs_section</w:t>
        </w:r>
      </w:hyperlink>
      <w:r w:rsidRPr="003115B7">
        <w:rPr>
          <w:rFonts w:ascii="Calibri" w:hAnsi="Calibri"/>
          <w:sz w:val="16"/>
          <w:szCs w:val="16"/>
        </w:rPr>
        <w:t>=.</w:t>
      </w:r>
    </w:p>
  </w:endnote>
  <w:endnote w:id="18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89">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(2006).  INSEC media surveillance on IED/UXO/mine incidents: report on civilian casualties of unintentional explosions, Nepal – January to May 2006.  Retrieved 5 November 2009 from </w:t>
      </w:r>
      <w:hyperlink r:id="rId172" w:history="1">
        <w:r w:rsidRPr="003115B7">
          <w:rPr>
            <w:rStyle w:val="Hyperlink"/>
            <w:rFonts w:ascii="Calibri" w:hAnsi="Calibri"/>
            <w:sz w:val="16"/>
            <w:szCs w:val="16"/>
          </w:rPr>
          <w:t>http://www.inseconline.org/pics/1244450644.pdf</w:t>
        </w:r>
      </w:hyperlink>
      <w:r w:rsidRPr="003115B7">
        <w:rPr>
          <w:rFonts w:ascii="Calibri" w:hAnsi="Calibri"/>
          <w:sz w:val="16"/>
          <w:szCs w:val="16"/>
        </w:rPr>
        <w:t xml:space="preserve">.  Informal Sector Service Center (2006).  INSEC surveillance system on IED/UXO/mine incidents: monthly report on civilian casualties of unintentional explosions, Nepal – June 2006.  Retrieved 5 November 2009 from </w:t>
      </w:r>
      <w:hyperlink r:id="rId173" w:history="1">
        <w:r w:rsidRPr="003115B7">
          <w:rPr>
            <w:rStyle w:val="Hyperlink"/>
            <w:rFonts w:ascii="Calibri" w:hAnsi="Calibri"/>
            <w:sz w:val="16"/>
            <w:szCs w:val="16"/>
          </w:rPr>
          <w:t>http://www.inseconline.org/pics/1244450908.pdf</w:t>
        </w:r>
      </w:hyperlink>
      <w:r w:rsidRPr="003115B7">
        <w:rPr>
          <w:rFonts w:ascii="Calibri" w:hAnsi="Calibri"/>
          <w:sz w:val="16"/>
          <w:szCs w:val="16"/>
        </w:rPr>
        <w:t xml:space="preserve">.  Informal Sector Service Center (2006).  INSEC surveillance system on explosive device incidents: bimonthly report on civilian casualties of unintentional explosions, July/August 2006.  Retrieved 5 November 2009 from </w:t>
      </w:r>
      <w:hyperlink r:id="rId174" w:history="1">
        <w:r w:rsidRPr="003115B7">
          <w:rPr>
            <w:rStyle w:val="Hyperlink"/>
            <w:rFonts w:ascii="Calibri" w:hAnsi="Calibri"/>
            <w:sz w:val="16"/>
            <w:szCs w:val="16"/>
          </w:rPr>
          <w:t>http://www.inseconline.org/pics/1244451007.pdf</w:t>
        </w:r>
      </w:hyperlink>
      <w:r w:rsidRPr="003115B7">
        <w:rPr>
          <w:rFonts w:ascii="Calibri" w:hAnsi="Calibri"/>
          <w:sz w:val="16"/>
          <w:szCs w:val="16"/>
        </w:rPr>
        <w:t xml:space="preserve">.  Informal Sector Service Center (2006).  INSEC surveillance system on explosive device incidents: bimonthly report on civilian casualties of unintentional explosions, September/October 2006.  Retrieved 5 November 2009 from </w:t>
      </w:r>
      <w:hyperlink r:id="rId175" w:history="1">
        <w:r w:rsidRPr="003115B7">
          <w:rPr>
            <w:rStyle w:val="Hyperlink"/>
            <w:rFonts w:ascii="Calibri" w:hAnsi="Calibri"/>
            <w:sz w:val="16"/>
            <w:szCs w:val="16"/>
          </w:rPr>
          <w:t>http://www.inseconline.org/pics/1244451007.pdf</w:t>
        </w:r>
      </w:hyperlink>
      <w:r w:rsidRPr="003115B7">
        <w:rPr>
          <w:rFonts w:ascii="Calibri" w:hAnsi="Calibri"/>
          <w:sz w:val="16"/>
          <w:szCs w:val="16"/>
        </w:rPr>
        <w:t>.</w:t>
      </w:r>
    </w:p>
    <w:p w:rsidR="005226B6" w:rsidRPr="003115B7" w:rsidRDefault="005226B6" w:rsidP="00B454FB">
      <w:pPr>
        <w:pStyle w:val="EndnoteText"/>
        <w:rPr>
          <w:rFonts w:ascii="Calibri" w:hAnsi="Calibri"/>
          <w:sz w:val="16"/>
          <w:szCs w:val="16"/>
        </w:rPr>
      </w:pPr>
      <w:r w:rsidRPr="003115B7">
        <w:rPr>
          <w:rFonts w:ascii="Calibri" w:hAnsi="Calibri"/>
          <w:sz w:val="16"/>
          <w:szCs w:val="16"/>
        </w:rPr>
        <w:t xml:space="preserve">Informal Sector Service Center (2007).  INSEC surveillance system on explosive device incidents: bi-monthly report on civilian casualties of unintentional explosions, November/December 2006.  Retrieved 5 November 2009 from </w:t>
      </w:r>
      <w:hyperlink r:id="rId176" w:history="1">
        <w:r w:rsidRPr="003115B7">
          <w:rPr>
            <w:rStyle w:val="Hyperlink"/>
            <w:rFonts w:ascii="Calibri" w:hAnsi="Calibri"/>
            <w:sz w:val="16"/>
            <w:szCs w:val="16"/>
          </w:rPr>
          <w:t>http://www.inseconline.org/pics/1244451031.pdf</w:t>
        </w:r>
      </w:hyperlink>
      <w:r w:rsidRPr="003115B7">
        <w:rPr>
          <w:rFonts w:ascii="Calibri" w:hAnsi="Calibri"/>
          <w:sz w:val="16"/>
          <w:szCs w:val="16"/>
        </w:rPr>
        <w:t xml:space="preserve">.  Informal Sector Service Center (2007).  INSEC surveillance system on explosive device incidents: bimonthly report on civilian casualties of unintentional explosions, January/February 2007.  Retrieved 5 November 2009 from </w:t>
      </w:r>
      <w:hyperlink r:id="rId177" w:history="1">
        <w:r w:rsidRPr="003115B7">
          <w:rPr>
            <w:rStyle w:val="Hyperlink"/>
            <w:rFonts w:ascii="Calibri" w:hAnsi="Calibri"/>
            <w:sz w:val="16"/>
            <w:szCs w:val="16"/>
          </w:rPr>
          <w:t>http://www.inseconline.org/pics/1244451287.pdf</w:t>
        </w:r>
      </w:hyperlink>
      <w:r w:rsidRPr="003115B7">
        <w:rPr>
          <w:rFonts w:ascii="Calibri" w:hAnsi="Calibri"/>
          <w:sz w:val="16"/>
          <w:szCs w:val="16"/>
        </w:rPr>
        <w:t>.</w:t>
      </w:r>
    </w:p>
    <w:p w:rsidR="005226B6" w:rsidRPr="003115B7" w:rsidRDefault="005226B6" w:rsidP="00B454FB">
      <w:pPr>
        <w:pStyle w:val="EndnoteText"/>
        <w:rPr>
          <w:rFonts w:ascii="Calibri" w:hAnsi="Calibri"/>
          <w:sz w:val="16"/>
          <w:szCs w:val="16"/>
        </w:rPr>
      </w:pPr>
      <w:r w:rsidRPr="003115B7">
        <w:rPr>
          <w:rFonts w:ascii="Calibri" w:hAnsi="Calibri"/>
          <w:sz w:val="16"/>
          <w:szCs w:val="16"/>
        </w:rPr>
        <w:t xml:space="preserve">Informal Sector Service Center (2007).  INSEC surveillance system on explosive device incidents: bimonthly report on civilian casualties of unintentional explosions, March/April 2007.  Retrieved 5 November 2009 from </w:t>
      </w:r>
      <w:hyperlink r:id="rId178" w:history="1">
        <w:r w:rsidRPr="003115B7">
          <w:rPr>
            <w:rStyle w:val="Hyperlink"/>
            <w:rFonts w:ascii="Calibri" w:hAnsi="Calibri"/>
            <w:sz w:val="16"/>
            <w:szCs w:val="16"/>
          </w:rPr>
          <w:t>http://www.inseconline.org/pics/1244451555.pdf</w:t>
        </w:r>
      </w:hyperlink>
      <w:r w:rsidRPr="003115B7">
        <w:rPr>
          <w:rFonts w:ascii="Calibri" w:hAnsi="Calibri"/>
          <w:sz w:val="16"/>
          <w:szCs w:val="16"/>
        </w:rPr>
        <w:t xml:space="preserve">.  Informal Sector Service Center (2007).  INSEC surveillance system on explosive device incidents: bimonthly report on civilian casualties of unintentional explosions, May/June 2007.  Retrieved 5 November 2009 from </w:t>
      </w:r>
      <w:hyperlink r:id="rId179" w:history="1">
        <w:r w:rsidRPr="003115B7">
          <w:rPr>
            <w:rStyle w:val="Hyperlink"/>
            <w:rFonts w:ascii="Calibri" w:hAnsi="Calibri"/>
            <w:sz w:val="16"/>
            <w:szCs w:val="16"/>
          </w:rPr>
          <w:t>http://www.inseconline.org/pics/1244451628.pdf</w:t>
        </w:r>
      </w:hyperlink>
      <w:r w:rsidRPr="003115B7">
        <w:rPr>
          <w:rFonts w:ascii="Calibri" w:hAnsi="Calibri"/>
          <w:sz w:val="16"/>
          <w:szCs w:val="16"/>
        </w:rPr>
        <w:t xml:space="preserve">.  Informal Sector Service Center (2007).  INSEC surveillance system on explosive device incidents: bimonthly report on civilian casualties of unintentional explosions, July/August 2007.  Retrieved 5 November 2009 from </w:t>
      </w:r>
      <w:hyperlink r:id="rId180" w:history="1">
        <w:r w:rsidRPr="003115B7">
          <w:rPr>
            <w:rStyle w:val="Hyperlink"/>
            <w:rFonts w:ascii="Calibri" w:hAnsi="Calibri"/>
            <w:sz w:val="16"/>
            <w:szCs w:val="16"/>
          </w:rPr>
          <w:t>http://www.inseconline.org/pics/1244451929.pdf</w:t>
        </w:r>
      </w:hyperlink>
      <w:r w:rsidRPr="003115B7">
        <w:rPr>
          <w:rFonts w:ascii="Calibri" w:hAnsi="Calibri"/>
          <w:sz w:val="16"/>
          <w:szCs w:val="16"/>
        </w:rPr>
        <w:t>.</w:t>
      </w:r>
    </w:p>
  </w:endnote>
  <w:endnote w:id="190">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Joshi SK (2007).  Kathmandu University Medical Journal, 5(1, 17): 2-3.  Injuries in Nepal: a growing public health problem.  Retrieved 8 August 2010 from </w:t>
      </w:r>
      <w:hyperlink r:id="rId181" w:history="1">
        <w:r w:rsidRPr="003115B7">
          <w:rPr>
            <w:rStyle w:val="Hyperlink"/>
            <w:rFonts w:ascii="Calibri" w:hAnsi="Calibri"/>
            <w:sz w:val="16"/>
            <w:szCs w:val="16"/>
          </w:rPr>
          <w:t>http://kumj.com.np/ftp/issue/17/editorial2.pdf</w:t>
        </w:r>
      </w:hyperlink>
      <w:r w:rsidRPr="003115B7">
        <w:rPr>
          <w:rFonts w:ascii="Calibri" w:hAnsi="Calibri"/>
          <w:sz w:val="16"/>
          <w:szCs w:val="16"/>
        </w:rPr>
        <w:t xml:space="preserve">.  World Health Organization (2004).  The global burden of disease: 2004 update.  Retrieved 8 August 2010 from </w:t>
      </w:r>
      <w:hyperlink r:id="rId182" w:history="1">
        <w:r w:rsidRPr="003115B7">
          <w:rPr>
            <w:rStyle w:val="Hyperlink"/>
            <w:rFonts w:ascii="Calibri" w:hAnsi="Calibri"/>
            <w:sz w:val="16"/>
            <w:szCs w:val="16"/>
          </w:rPr>
          <w:t>http://www.who.int/healthinfo/global_burden_disease/estimates_country/en/index.html</w:t>
        </w:r>
      </w:hyperlink>
      <w:r w:rsidRPr="003115B7">
        <w:rPr>
          <w:rFonts w:ascii="Calibri" w:hAnsi="Calibri"/>
          <w:sz w:val="16"/>
          <w:szCs w:val="16"/>
        </w:rPr>
        <w:t>.</w:t>
      </w:r>
    </w:p>
  </w:endnote>
  <w:endnote w:id="191">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Centers for Disease Control and Prevention (27 July 2001).  </w:t>
      </w:r>
      <w:r w:rsidRPr="003115B7">
        <w:rPr>
          <w:rFonts w:ascii="Calibri" w:hAnsi="Calibri" w:cs="Arial"/>
          <w:color w:val="000000"/>
          <w:sz w:val="16"/>
          <w:szCs w:val="16"/>
        </w:rPr>
        <w:t xml:space="preserve">Morbidity and Mortality Weekly Report, 50(RR13): 1-35.  </w:t>
      </w:r>
      <w:r w:rsidRPr="003115B7">
        <w:rPr>
          <w:rFonts w:ascii="Calibri" w:hAnsi="Calibri"/>
          <w:sz w:val="16"/>
          <w:szCs w:val="16"/>
        </w:rPr>
        <w:t xml:space="preserve">Updated guidelines for evaluating public health surveillance systems: recommendations from the Guidelines Working Group. Retrieved 8 August 2010 from </w:t>
      </w:r>
      <w:hyperlink r:id="rId183" w:history="1">
        <w:r w:rsidRPr="003115B7">
          <w:rPr>
            <w:rStyle w:val="Hyperlink"/>
            <w:rFonts w:ascii="Calibri" w:hAnsi="Calibri"/>
            <w:sz w:val="16"/>
            <w:szCs w:val="16"/>
          </w:rPr>
          <w:t>http://www.cdc.gov/mmwr/preview/mmwrhtml/rr5013a1.htm</w:t>
        </w:r>
      </w:hyperlink>
      <w:r w:rsidRPr="003115B7">
        <w:rPr>
          <w:rFonts w:ascii="Calibri" w:hAnsi="Calibri"/>
          <w:sz w:val="16"/>
          <w:szCs w:val="16"/>
        </w:rPr>
        <w:t>.</w:t>
      </w:r>
    </w:p>
  </w:endnote>
  <w:endnote w:id="19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93">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84"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 xml:space="preserve">=.  International Campaign to Ban Landmines (2009).  Landmine monitor report 2009: Nepal.  Retrieved 15 March 2010 from </w:t>
      </w:r>
      <w:hyperlink r:id="rId185"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19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Centers for Disease Control and Prevention (27 July 2001).  </w:t>
      </w:r>
      <w:r w:rsidRPr="003115B7">
        <w:rPr>
          <w:rFonts w:ascii="Calibri" w:hAnsi="Calibri" w:cs="Arial"/>
          <w:color w:val="000000"/>
          <w:sz w:val="16"/>
          <w:szCs w:val="16"/>
        </w:rPr>
        <w:t xml:space="preserve">Morbidity and Mortality Weekly Report, 50(RR13): 1-35.  </w:t>
      </w:r>
      <w:r w:rsidRPr="003115B7">
        <w:rPr>
          <w:rFonts w:ascii="Calibri" w:hAnsi="Calibri"/>
          <w:sz w:val="16"/>
          <w:szCs w:val="16"/>
        </w:rPr>
        <w:t xml:space="preserve">Updated guidelines for evaluating public health surveillance systems: recommendations from the Guidelines Working Group. Retrieved 8 August 2010 from </w:t>
      </w:r>
      <w:hyperlink r:id="rId186" w:history="1">
        <w:r w:rsidRPr="003115B7">
          <w:rPr>
            <w:rStyle w:val="Hyperlink"/>
            <w:rFonts w:ascii="Calibri" w:hAnsi="Calibri"/>
            <w:sz w:val="16"/>
            <w:szCs w:val="16"/>
          </w:rPr>
          <w:t>http://www.cdc.gov/mmwr/preview/mmwrhtml/rr5013a1.htm</w:t>
        </w:r>
      </w:hyperlink>
      <w:r w:rsidRPr="003115B7">
        <w:rPr>
          <w:rFonts w:ascii="Calibri" w:hAnsi="Calibri"/>
          <w:sz w:val="16"/>
          <w:szCs w:val="16"/>
        </w:rPr>
        <w:t>.</w:t>
      </w:r>
    </w:p>
  </w:endnote>
  <w:endnote w:id="19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9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9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9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19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00">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Informal Sector Service Center (16 November 2009).  Meeting with Far Western Regional Office Regional Coordinator and Documentation Officer.  Dhangadhi, Kailali District.</w:t>
      </w:r>
    </w:p>
  </w:endnote>
  <w:endnote w:id="201">
    <w:p w:rsidR="005226B6" w:rsidRPr="003115B7" w:rsidRDefault="005226B6">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Centers for Disease Control and Prevention (27 July 2001).  </w:t>
      </w:r>
      <w:r w:rsidRPr="003115B7">
        <w:rPr>
          <w:rFonts w:ascii="Calibri" w:hAnsi="Calibri" w:cs="Arial"/>
          <w:color w:val="000000"/>
          <w:sz w:val="16"/>
          <w:szCs w:val="16"/>
        </w:rPr>
        <w:t xml:space="preserve">Morbidity and Mortality Weekly Report, 50(RR13): 1-35.  </w:t>
      </w:r>
      <w:r w:rsidRPr="003115B7">
        <w:rPr>
          <w:rFonts w:ascii="Calibri" w:hAnsi="Calibri"/>
          <w:sz w:val="16"/>
          <w:szCs w:val="16"/>
        </w:rPr>
        <w:t xml:space="preserve">Updated guidelines for evaluating public health surveillance systems: recommendations from the Guidelines Working Group. Retrieved 8 August 2010 from </w:t>
      </w:r>
      <w:hyperlink r:id="rId187" w:history="1">
        <w:r w:rsidRPr="003115B7">
          <w:rPr>
            <w:rStyle w:val="Hyperlink"/>
            <w:rFonts w:ascii="Calibri" w:hAnsi="Calibri"/>
            <w:sz w:val="16"/>
            <w:szCs w:val="16"/>
          </w:rPr>
          <w:t>http://www.cdc.gov/mmwr/preview/mmwrhtml/rr5013a1.htm</w:t>
        </w:r>
      </w:hyperlink>
      <w:r w:rsidRPr="003115B7">
        <w:rPr>
          <w:rFonts w:ascii="Calibri" w:hAnsi="Calibri"/>
          <w:sz w:val="16"/>
          <w:szCs w:val="16"/>
        </w:rPr>
        <w:t>.</w:t>
      </w:r>
    </w:p>
  </w:endnote>
  <w:endnote w:id="202">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03">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Mine Action Service (November 2005).  IMAS mine risk education best practice guidebook 12: glossary of terms and resources.  Retrieved</w:t>
      </w:r>
      <w:r w:rsidRPr="003115B7">
        <w:rPr>
          <w:rFonts w:ascii="Calibri" w:hAnsi="Calibri" w:cs="Arial"/>
          <w:sz w:val="16"/>
          <w:szCs w:val="16"/>
        </w:rPr>
        <w:t xml:space="preserve"> 8 August 2010 from</w:t>
      </w:r>
      <w:r w:rsidRPr="003115B7">
        <w:rPr>
          <w:rFonts w:ascii="Calibri" w:hAnsi="Calibri"/>
          <w:sz w:val="16"/>
          <w:szCs w:val="16"/>
        </w:rPr>
        <w:t xml:space="preserve"> </w:t>
      </w:r>
      <w:hyperlink r:id="rId188" w:history="1">
        <w:r w:rsidRPr="003115B7">
          <w:rPr>
            <w:rStyle w:val="Hyperlink"/>
            <w:rFonts w:ascii="Calibri" w:hAnsi="Calibri"/>
            <w:sz w:val="16"/>
            <w:szCs w:val="16"/>
          </w:rPr>
          <w:t>http://ocha-gwapps1.unog.ch/rw/lib.nsf/db900sid/RURI-6P9RL9/$file/imas-12gen-nov05.pdf?openelement</w:t>
        </w:r>
      </w:hyperlink>
      <w:r w:rsidRPr="003115B7">
        <w:rPr>
          <w:rFonts w:ascii="Calibri" w:hAnsi="Calibri"/>
          <w:sz w:val="16"/>
          <w:szCs w:val="16"/>
        </w:rPr>
        <w:t xml:space="preserve">. </w:t>
      </w:r>
    </w:p>
  </w:endnote>
  <w:endnote w:id="204">
    <w:p w:rsidR="005226B6" w:rsidRPr="003115B7" w:rsidRDefault="005226B6" w:rsidP="00B454FB">
      <w:pPr>
        <w:pStyle w:val="EndnoteText"/>
        <w:tabs>
          <w:tab w:val="left" w:pos="3645"/>
        </w:tabs>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Mine Action Service (November 2005).  IMAS mine risk education best practice guidebook 1: an introduction to mine risk education.</w:t>
      </w:r>
      <w:r w:rsidRPr="003115B7">
        <w:rPr>
          <w:rFonts w:ascii="Calibri" w:hAnsi="Calibri" w:cs="Arial"/>
          <w:sz w:val="16"/>
          <w:szCs w:val="16"/>
        </w:rPr>
        <w:t xml:space="preserve">  Retrieved 8 August 2010 from</w:t>
      </w:r>
      <w:r w:rsidRPr="003115B7">
        <w:rPr>
          <w:rFonts w:ascii="Calibri" w:hAnsi="Calibri"/>
          <w:sz w:val="16"/>
          <w:szCs w:val="16"/>
        </w:rPr>
        <w:t xml:space="preserve"> </w:t>
      </w:r>
      <w:hyperlink r:id="rId189" w:history="1">
        <w:r w:rsidRPr="003115B7">
          <w:rPr>
            <w:rStyle w:val="Hyperlink"/>
            <w:rFonts w:ascii="Calibri" w:hAnsi="Calibri"/>
            <w:sz w:val="16"/>
            <w:szCs w:val="16"/>
          </w:rPr>
          <w:t>http://ocha-gwapps1.unog.ch/rw/lib.nsf/db900sid/RURI-6NRPJC/$file/imas-gen-nov05.pdf?openelement</w:t>
        </w:r>
      </w:hyperlink>
      <w:r w:rsidRPr="003115B7">
        <w:rPr>
          <w:rFonts w:ascii="Calibri" w:hAnsi="Calibri"/>
          <w:sz w:val="16"/>
          <w:szCs w:val="16"/>
        </w:rPr>
        <w:t>.</w:t>
      </w:r>
    </w:p>
  </w:endnote>
  <w:endnote w:id="205">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Electronic Mine Information Network (June 2010).  Mine risk education.  Retrieved 8 August 2010 from </w:t>
      </w:r>
      <w:hyperlink r:id="rId190" w:history="1">
        <w:r w:rsidRPr="003115B7">
          <w:rPr>
            <w:rStyle w:val="Hyperlink"/>
            <w:rFonts w:ascii="Calibri" w:hAnsi="Calibri"/>
            <w:sz w:val="16"/>
            <w:szCs w:val="16"/>
          </w:rPr>
          <w:t>http://www.mineaction.org/overview.asp?o=17</w:t>
        </w:r>
      </w:hyperlink>
      <w:r w:rsidRPr="003115B7">
        <w:rPr>
          <w:rFonts w:ascii="Calibri" w:hAnsi="Calibri"/>
          <w:sz w:val="16"/>
          <w:szCs w:val="16"/>
        </w:rPr>
        <w:t>.</w:t>
      </w:r>
    </w:p>
  </w:endnote>
  <w:endnote w:id="206">
    <w:p w:rsidR="005226B6" w:rsidRPr="003115B7" w:rsidRDefault="005226B6">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(2007).  2008 UNICEF Annual Work Plan.  Internal document.  United Nations Children’s Fund Nepal (2008).  2009 UNICEF Annual Work Plan.  Internal document.</w:t>
      </w:r>
    </w:p>
  </w:endnote>
  <w:endnote w:id="20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0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0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1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11">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91"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12">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13">
    <w:p w:rsidR="005226B6" w:rsidRPr="003115B7" w:rsidRDefault="005226B6" w:rsidP="00B454FB">
      <w:pPr>
        <w:rPr>
          <w:rFonts w:ascii="Calibri" w:hAnsi="Calibri"/>
          <w:b/>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(31 May 2010).  Personal communication with Mine Action Project Officer.</w:t>
      </w:r>
    </w:p>
  </w:endnote>
  <w:endnote w:id="21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15">
    <w:p w:rsidR="005226B6" w:rsidRPr="00346B02"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(2007).  2008 UNICEF Annual Work Plan.  Internal document.</w:t>
      </w:r>
    </w:p>
  </w:endnote>
  <w:endnote w:id="21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(2007).  Landmine monitor report 2007: Nepal.  Retrieved 3 November 2009 from </w:t>
      </w:r>
      <w:hyperlink r:id="rId192" w:history="1">
        <w:r w:rsidRPr="003115B7">
          <w:rPr>
            <w:rStyle w:val="Hyperlink"/>
            <w:rFonts w:ascii="Calibri" w:hAnsi="Calibri"/>
            <w:sz w:val="16"/>
            <w:szCs w:val="16"/>
          </w:rPr>
          <w:t>http://www.the-monitor.org/index.php/publications/display?act=submit&amp;pqs_year=2007&amp;pqs_type=lm&amp;pqs_report=nepal&amp;pqs_section</w:t>
        </w:r>
      </w:hyperlink>
      <w:r w:rsidRPr="003115B7">
        <w:rPr>
          <w:rFonts w:ascii="Calibri" w:hAnsi="Calibri"/>
          <w:sz w:val="16"/>
          <w:szCs w:val="16"/>
        </w:rPr>
        <w:t>=.</w:t>
      </w:r>
    </w:p>
  </w:endnote>
  <w:endnote w:id="21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93"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18">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Nepalese Army (25 November 2009).  Meeting with Commanding Officer, Colonel Deputy Director of Engineers and Major Operations Officers.  Kathmandu.</w:t>
      </w:r>
    </w:p>
  </w:endnote>
  <w:endnote w:id="219">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w:t>
      </w:r>
    </w:p>
  </w:endnote>
  <w:endnote w:id="220">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21">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2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23">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Nepal Red Cross Society (18 November 2009).  Meeting with Kailali District Mine Risk Education Focal Person.  Dhangadhi, Kailali District.</w:t>
      </w:r>
    </w:p>
  </w:endnote>
  <w:endnote w:id="22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25">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Nepalese Army (25 November 2009).  Meeting with Commanding Officer, Colonel Deputy Director of Engineers and Major Operations Officers.  Kathmandu.</w:t>
      </w:r>
    </w:p>
  </w:endnote>
  <w:endnote w:id="22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(2007).  2008 UNICEF Annual Work Plan.  Internal document.  United Nations Children’s Fund Nepal (2008).  2009 UNICEF Annual Work Plan.  Internal document.</w:t>
      </w:r>
    </w:p>
  </w:endnote>
  <w:endnote w:id="22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94"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28">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2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30">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195"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231">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32">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196"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233">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3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97"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35">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3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3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198"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38">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(2007).  Landmine monitor report 2007: Nepal.  Retrieved 3 November 2009 from </w:t>
      </w:r>
      <w:hyperlink r:id="rId199" w:history="1">
        <w:r w:rsidRPr="003115B7">
          <w:rPr>
            <w:rStyle w:val="Hyperlink"/>
            <w:rFonts w:ascii="Calibri" w:hAnsi="Calibri"/>
            <w:sz w:val="16"/>
            <w:szCs w:val="16"/>
          </w:rPr>
          <w:t>http://www.the-monitor.org/index.php/publications/display?act=submit&amp;pqs_year=2007&amp;pqs_type=lm&amp;pqs_report=nepal&amp;pqs_section</w:t>
        </w:r>
      </w:hyperlink>
      <w:r w:rsidRPr="003115B7">
        <w:rPr>
          <w:rFonts w:ascii="Calibri" w:hAnsi="Calibri"/>
          <w:sz w:val="16"/>
          <w:szCs w:val="16"/>
        </w:rPr>
        <w:t>=.</w:t>
      </w:r>
    </w:p>
  </w:endnote>
  <w:endnote w:id="239">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4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41">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(2009).  Telephonic FAQ for MRE focal points.  Internal document.</w:t>
      </w:r>
    </w:p>
  </w:endnote>
  <w:endnote w:id="242">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(2008).  2009 UNICEF Annual Work Plan.  Internal document.</w:t>
      </w:r>
    </w:p>
  </w:endnote>
  <w:endnote w:id="243">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4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45">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4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47">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48">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Nepal Red Cross Society (18 November 2009).  Meeting with Kailali District Mine Risk Education Focal Person.  Dhangadhi, Kailali District.</w:t>
      </w:r>
    </w:p>
  </w:endnote>
  <w:endnote w:id="249">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50">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51">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Committee of the Red Cross and Nepal Red Cross Society (20 November 2009).  Meeting with National Field Officer and Cooperation Delegate (ICRC) and Mine Action Focal Person and Chief of Youth Organization and Programs (NRCS).  Kathmandu.</w:t>
      </w:r>
    </w:p>
  </w:endnote>
  <w:endnote w:id="25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5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Nepal Red Cross Society (18 November 2009).  Meeting with Kailali District Mine Risk Education Focal Person.  Dhangadhi, Kailali District.</w:t>
      </w:r>
    </w:p>
  </w:endnote>
  <w:endnote w:id="25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55">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5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5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58">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Nepal Red Cross Society (18 November 2009).  Meeting with Kailali District Mine Risk Education Focal Person.  Dhangadhi, Kailali District.</w:t>
      </w:r>
    </w:p>
  </w:endnote>
  <w:endnote w:id="259">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60">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(2005).  Landmine monitor report 2005: Nepal.  Retrieved 3 November 2009 from </w:t>
      </w:r>
      <w:hyperlink r:id="rId200" w:history="1">
        <w:r w:rsidRPr="003115B7">
          <w:rPr>
            <w:rStyle w:val="Hyperlink"/>
            <w:rFonts w:ascii="Calibri" w:hAnsi="Calibri"/>
            <w:sz w:val="16"/>
            <w:szCs w:val="16"/>
          </w:rPr>
          <w:t>http://www.the-monitor.org/index.php/publications/display?act=submit&amp;pqs_year=2005&amp;pqs_type=lm&amp;pqs_report=nepal&amp;pqs_section</w:t>
        </w:r>
      </w:hyperlink>
      <w:r w:rsidRPr="003115B7">
        <w:rPr>
          <w:rFonts w:ascii="Calibri" w:hAnsi="Calibri"/>
          <w:sz w:val="16"/>
          <w:szCs w:val="16"/>
        </w:rPr>
        <w:t>=.</w:t>
      </w:r>
    </w:p>
  </w:endnote>
  <w:endnote w:id="26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Nepalese Army (25 November 2009).  Meeting with Commanding Officer, Colonel Deputy Director of Engineers and Major Operations Officers.  Kathmandu.</w:t>
      </w:r>
    </w:p>
  </w:endnote>
  <w:endnote w:id="26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6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64">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201"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65">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(2008).  2009 UNICEF Annual Work Plan.  Internal document.</w:t>
      </w:r>
    </w:p>
  </w:endnote>
  <w:endnote w:id="26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202"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267">
    <w:p w:rsidR="005226B6" w:rsidRPr="00346B02"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26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6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Nepal National Dalit Society Welfare Organization (23 November 2009).  Meeting with National President, Executive Director and Project Coordinator.  Kathmandu.</w:t>
      </w:r>
    </w:p>
  </w:endnote>
  <w:endnote w:id="27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7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7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Nepal National Dalit Society Welfare Organization (23 November 2009).  Meeting with National President, Executive Director and Project Coordinator.  Kathmandu.</w:t>
      </w:r>
    </w:p>
  </w:endnote>
  <w:endnote w:id="27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(2007).  2008 UNICEF Annual Work Plan.  Internal document.  United Nations Children’s Fund Nepal (2008).  2009 UNICEF Annual Work Plan.  Internal document.</w:t>
      </w:r>
    </w:p>
  </w:endnote>
  <w:endnote w:id="27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(2 November 2008).  Mine risk education for school children proposition of concept paper.  Internal document.</w:t>
      </w:r>
    </w:p>
  </w:endnote>
  <w:endnote w:id="27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7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w:t>
      </w:r>
    </w:p>
  </w:endnote>
  <w:endnote w:id="27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7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79">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w:t>
      </w:r>
    </w:p>
  </w:endnote>
  <w:endnote w:id="280">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8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8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Kalika Secondary School (17 November 2009).  Meeting with head teacher and teaching staff.  Baliya VDC, Kailali District.</w:t>
      </w:r>
    </w:p>
  </w:endnote>
  <w:endnote w:id="28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w:t>
      </w:r>
    </w:p>
  </w:endnote>
  <w:endnote w:id="28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8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8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Kalika Secondary School (17 November 2009).  Meeting with head teacher and teaching staff.  Baliya VDC, Kailali District.</w:t>
      </w:r>
    </w:p>
  </w:endnote>
  <w:endnote w:id="28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28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8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Kailali District Education Office (17 November 2009).  Meeting with Planning Section Officer.  Dhangadhi, Kailali District.</w:t>
      </w:r>
    </w:p>
  </w:endnote>
  <w:endnote w:id="29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Kalika Secondary School (17 November 2009).  Meeting with head teacher and teaching staff.  Baliya VDC, Kailali District.</w:t>
      </w:r>
    </w:p>
  </w:endnote>
  <w:endnote w:id="294">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Kailali District Education Office (17 November 2009).  Meeting with Planning Section Officer.  Dhangadhi, Kailali District.</w:t>
      </w:r>
    </w:p>
  </w:endnote>
  <w:endnote w:id="295">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Kalika Secondary School (17 November 2009).  Meeting with head teacher and teaching staff.  Baliya VDC, Kailali District.</w:t>
      </w:r>
    </w:p>
  </w:endnote>
  <w:endnote w:id="297">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8">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299">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0">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4">
    <w:p w:rsidR="005226B6" w:rsidRPr="00346B02" w:rsidRDefault="005226B6" w:rsidP="00B454FB">
      <w:pPr>
        <w:pStyle w:val="EndnoteText"/>
        <w:rPr>
          <w:rFonts w:ascii="Calibri" w:hAnsi="Calibri"/>
          <w:b/>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Kalika Secondary School (17 November 2009).  Observation of mine risk education session.  Baliya VDC, Kailali District.</w:t>
      </w:r>
    </w:p>
  </w:endnote>
  <w:endnote w:id="305">
    <w:p w:rsidR="005226B6" w:rsidRPr="00346B02" w:rsidRDefault="005226B6" w:rsidP="00B454FB">
      <w:pPr>
        <w:pStyle w:val="EndnoteText"/>
        <w:rPr>
          <w:rFonts w:ascii="Calibri" w:hAnsi="Calibri"/>
          <w:b/>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6">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Kailali District Education Office (17 November 2009).  Meeting with Planning Section Officer.  Dhangadhi, Kailali District.</w:t>
      </w:r>
    </w:p>
  </w:endnote>
  <w:endnote w:id="307">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08">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  Kailali District Education Office (17 November 2009).  Meeting with Planning Section Officer.  Dhangadhi, Kailali District.</w:t>
      </w:r>
    </w:p>
  </w:endnote>
  <w:endnote w:id="309">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Kailali District Education Office (17 November 2009).  Meeting with Planning Section Officer.  Dhangadhi, Kailali District.</w:t>
      </w:r>
    </w:p>
  </w:endnote>
  <w:endnote w:id="310">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1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Department of Education (12 November 2009).  Meeting with Planning Officer for Budget Section and Focal Point for Mine Risk Education, Head of Monitoring Section and Section Officer for Planning and Focal Point for UNICEF Education Activities.  Kathmandu.</w:t>
      </w:r>
    </w:p>
  </w:endnote>
  <w:endnote w:id="31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1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14">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Kailali District Education Office (17 November 2009).  Meeting with Planning Section Officer.  Dhangadhi, Kailali District.</w:t>
      </w:r>
    </w:p>
  </w:endnote>
  <w:endnote w:id="315">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(2007).  2008 UNICEF Annual Work Plan.  Internal document.</w:t>
      </w:r>
    </w:p>
  </w:endnote>
  <w:endnote w:id="316">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(2008).  2009 UNICEF Annual Work Plan.  Internal document.</w:t>
      </w:r>
    </w:p>
  </w:endnote>
  <w:endnote w:id="31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(2007).  Landmine monitor report 2007: Nepal.  Retrieved 3 November 2009 from </w:t>
      </w:r>
      <w:hyperlink r:id="rId203" w:history="1">
        <w:r w:rsidRPr="003115B7">
          <w:rPr>
            <w:rStyle w:val="Hyperlink"/>
            <w:rFonts w:ascii="Calibri" w:hAnsi="Calibri"/>
            <w:sz w:val="16"/>
            <w:szCs w:val="16"/>
          </w:rPr>
          <w:t>http://www.the-monitor.org/index.php/publications/display?act=submit&amp;pqs_year=2007&amp;pqs_type=lm&amp;pqs_report=nepal&amp;pqs_section</w:t>
        </w:r>
      </w:hyperlink>
      <w:r w:rsidRPr="003115B7">
        <w:rPr>
          <w:rFonts w:ascii="Calibri" w:hAnsi="Calibri"/>
          <w:sz w:val="16"/>
          <w:szCs w:val="16"/>
        </w:rPr>
        <w:t>=.</w:t>
      </w:r>
    </w:p>
  </w:endnote>
  <w:endnote w:id="318">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Project Officer and Mine Action Monitoring Officer.  Kathmandu.</w:t>
      </w:r>
    </w:p>
  </w:endnote>
  <w:endnote w:id="31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2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2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22">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204"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32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Project Officer and Mine Action Monitoring Officer.  Kathmandu.</w:t>
      </w:r>
    </w:p>
  </w:endnote>
  <w:endnote w:id="32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2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26">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(2006).  Landmine monitor report 2006: Nepal.  Retrieved 3 November 2009 from </w:t>
      </w:r>
      <w:hyperlink r:id="rId205" w:history="1">
        <w:r w:rsidRPr="003115B7">
          <w:rPr>
            <w:rStyle w:val="Hyperlink"/>
            <w:rFonts w:ascii="Calibri" w:hAnsi="Calibri"/>
            <w:sz w:val="16"/>
            <w:szCs w:val="16"/>
          </w:rPr>
          <w:t>http://www.the-monitor.org/index.php/publications/display?act=submit&amp;pqs_year=2006&amp;pqs_type=lm&amp;pqs_report=nepal&amp;pqs_section</w:t>
        </w:r>
      </w:hyperlink>
      <w:r w:rsidRPr="003115B7">
        <w:rPr>
          <w:rFonts w:ascii="Calibri" w:hAnsi="Calibri"/>
          <w:sz w:val="16"/>
          <w:szCs w:val="16"/>
        </w:rPr>
        <w:t>=.</w:t>
      </w:r>
    </w:p>
  </w:endnote>
  <w:endnote w:id="327">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(2009).  Landmine monitor report 2009: Nepal.  Retrieved 15 March 2010 from </w:t>
      </w:r>
      <w:hyperlink r:id="rId206" w:history="1">
        <w:r w:rsidRPr="003115B7">
          <w:rPr>
            <w:rStyle w:val="Hyperlink"/>
            <w:rFonts w:ascii="Calibri" w:hAnsi="Calibri"/>
            <w:sz w:val="16"/>
            <w:szCs w:val="16"/>
          </w:rPr>
          <w:t>http://www.the-monitor.org/index.php/publications/display?act=submit&amp;pqs_year=2009&amp;pqs_type=lm&amp;pqs_report=nepal&amp;pqs_section</w:t>
        </w:r>
      </w:hyperlink>
      <w:r w:rsidRPr="003115B7">
        <w:rPr>
          <w:rFonts w:ascii="Calibri" w:hAnsi="Calibri"/>
          <w:sz w:val="16"/>
          <w:szCs w:val="16"/>
        </w:rPr>
        <w:t>=.</w:t>
      </w:r>
    </w:p>
  </w:endnote>
  <w:endnote w:id="328">
    <w:p w:rsidR="005226B6" w:rsidRPr="003115B7" w:rsidRDefault="005226B6" w:rsidP="00B454FB">
      <w:pPr>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(2008).  2009 UNICEF Annual Work Plan.  Internal document.</w:t>
      </w:r>
    </w:p>
  </w:endnote>
  <w:endnote w:id="329">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207"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33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Children’s Fund Nepal (9 November 2009).  Meeting with Mine Action Monitoring Officer.  Kathmandu.</w:t>
      </w:r>
    </w:p>
  </w:endnote>
  <w:endnote w:id="33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3">
    <w:p w:rsidR="005226B6" w:rsidRPr="003115B7"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International Campaign to Ban Landmines (2008).  Landmine monitor report 2008: Nepal.  Retrieved 3 November 2009 from </w:t>
      </w:r>
      <w:hyperlink r:id="rId208" w:history="1">
        <w:r w:rsidRPr="003115B7">
          <w:rPr>
            <w:rStyle w:val="Hyperlink"/>
            <w:rFonts w:ascii="Calibri" w:hAnsi="Calibri"/>
            <w:sz w:val="16"/>
            <w:szCs w:val="16"/>
          </w:rPr>
          <w:t>http://www.the-monitor.org/index.php/publications/display?act=submit&amp;pqs_year=2008&amp;pqs_type=lm&amp;pqs_report=nepal&amp;pqs_section</w:t>
        </w:r>
      </w:hyperlink>
      <w:r w:rsidRPr="003115B7">
        <w:rPr>
          <w:rFonts w:ascii="Calibri" w:hAnsi="Calibri"/>
          <w:sz w:val="16"/>
          <w:szCs w:val="16"/>
        </w:rPr>
        <w:t>=.</w:t>
      </w:r>
    </w:p>
  </w:endnote>
  <w:endnote w:id="334">
    <w:p w:rsidR="005226B6" w:rsidRPr="00346B02" w:rsidRDefault="005226B6" w:rsidP="00B454FB">
      <w:pPr>
        <w:pStyle w:val="EndnoteText"/>
        <w:rPr>
          <w:rFonts w:ascii="Calibri" w:hAnsi="Calibri"/>
          <w:sz w:val="16"/>
          <w:szCs w:val="16"/>
        </w:rPr>
      </w:pPr>
      <w:r w:rsidRPr="003115B7">
        <w:rPr>
          <w:rStyle w:val="EndnoteReference"/>
          <w:rFonts w:ascii="Calibri" w:hAnsi="Calibri"/>
          <w:sz w:val="16"/>
          <w:szCs w:val="16"/>
        </w:rPr>
        <w:endnoteRef/>
      </w:r>
      <w:r w:rsidRPr="003115B7">
        <w:rPr>
          <w:rFonts w:ascii="Calibri" w:hAnsi="Calibri"/>
          <w:sz w:val="16"/>
          <w:szCs w:val="16"/>
        </w:rPr>
        <w:t xml:space="preserve"> United Nations Children’s Fund Nepal (9 November 2009).  Meeting with Mine Action Monitoring Officer.  Kathmandu.</w:t>
      </w:r>
    </w:p>
  </w:endnote>
  <w:endnote w:id="33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3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49">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0">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1">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2">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3">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4">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5">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6">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7">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8">
    <w:p w:rsidR="005226B6" w:rsidRPr="00346B02" w:rsidRDefault="005226B6" w:rsidP="00B454FB">
      <w:pPr>
        <w:pStyle w:val="EndnoteText"/>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59">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United Nations Mine Action Service (November 2005).  IMAS mine risk education best practice guidebook 8: evaluation.  Retrieved 8 August 2010 from </w:t>
      </w:r>
      <w:hyperlink r:id="rId209" w:history="1">
        <w:r w:rsidRPr="00346B02">
          <w:rPr>
            <w:rStyle w:val="Hyperlink"/>
            <w:rFonts w:ascii="Calibri" w:hAnsi="Calibri"/>
            <w:sz w:val="16"/>
            <w:szCs w:val="16"/>
          </w:rPr>
          <w:t>http://ocha-gwapps1.unog.ch/rw/lib.nsf/db900sid/RURI-6P2RT3/$file/imas-8gen-nov05.pdf?openelement</w:t>
        </w:r>
      </w:hyperlink>
      <w:r w:rsidRPr="00346B02">
        <w:rPr>
          <w:rFonts w:ascii="Calibri" w:hAnsi="Calibri"/>
          <w:sz w:val="16"/>
          <w:szCs w:val="16"/>
        </w:rPr>
        <w:t>.</w:t>
      </w:r>
    </w:p>
  </w:endnote>
  <w:endnote w:id="360">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61">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62">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63">
    <w:p w:rsidR="005226B6" w:rsidRPr="00346B02" w:rsidRDefault="005226B6" w:rsidP="00B454FB">
      <w:pPr>
        <w:rPr>
          <w:rFonts w:ascii="Calibri" w:hAnsi="Calibri"/>
          <w:sz w:val="16"/>
          <w:szCs w:val="16"/>
        </w:rPr>
      </w:pPr>
      <w:r w:rsidRPr="00346B02">
        <w:rPr>
          <w:rStyle w:val="EndnoteReference"/>
          <w:rFonts w:ascii="Calibri" w:hAnsi="Calibri"/>
          <w:sz w:val="16"/>
          <w:szCs w:val="16"/>
        </w:rPr>
        <w:endnoteRef/>
      </w:r>
      <w:r w:rsidRPr="00346B02">
        <w:rPr>
          <w:rFonts w:ascii="Calibri" w:hAnsi="Calibri"/>
          <w:sz w:val="16"/>
          <w:szCs w:val="16"/>
        </w:rPr>
        <w:t xml:space="preserve"> </w:t>
      </w:r>
      <w:r w:rsidRPr="00346B02">
        <w:rPr>
          <w:rFonts w:ascii="Calibri" w:hAnsi="Calibri"/>
          <w:i/>
          <w:sz w:val="16"/>
          <w:szCs w:val="16"/>
        </w:rPr>
        <w:t>Ibid.</w:t>
      </w:r>
    </w:p>
  </w:endnote>
  <w:endnote w:id="364">
    <w:p w:rsidR="005226B6" w:rsidRPr="00E22DE7" w:rsidRDefault="005226B6" w:rsidP="00B454FB">
      <w:pPr>
        <w:rPr>
          <w:rFonts w:ascii="Calibri" w:hAnsi="Calibri"/>
          <w:sz w:val="16"/>
          <w:szCs w:val="16"/>
        </w:rPr>
      </w:pPr>
      <w:r w:rsidRPr="00E22DE7">
        <w:rPr>
          <w:rStyle w:val="EndnoteReference"/>
          <w:rFonts w:ascii="Calibri" w:hAnsi="Calibri"/>
          <w:sz w:val="16"/>
          <w:szCs w:val="16"/>
        </w:rPr>
        <w:endnoteRef/>
      </w:r>
      <w:r w:rsidRPr="00E22DE7">
        <w:rPr>
          <w:rFonts w:ascii="Calibri" w:hAnsi="Calibri"/>
          <w:sz w:val="16"/>
          <w:szCs w:val="16"/>
        </w:rPr>
        <w:t xml:space="preserve"> Informal Sector Service Center (2007).  INSEC surveillance on explosive device Incidents: reports on civilian casualties of unintentional explosions, Nepal – January to December 2006.  Retrieved 8 August 2010 from </w:t>
      </w:r>
      <w:hyperlink r:id="rId210" w:history="1">
        <w:r w:rsidRPr="00E22DE7">
          <w:rPr>
            <w:rStyle w:val="Hyperlink"/>
            <w:rFonts w:ascii="Calibri" w:hAnsi="Calibri"/>
            <w:sz w:val="16"/>
            <w:szCs w:val="16"/>
          </w:rPr>
          <w:t>http://www.inseconline.org/pics/1244451067.pdf</w:t>
        </w:r>
      </w:hyperlink>
      <w:r w:rsidRPr="00E22DE7">
        <w:rPr>
          <w:rFonts w:ascii="Calibri" w:hAnsi="Calibri"/>
          <w:sz w:val="16"/>
          <w:szCs w:val="16"/>
        </w:rPr>
        <w:t xml:space="preserve">.  Informal Sector Service Center (2008).  INSEC surveillance system on explosive device incidents: reports on civilian casualties of unintentional explosions, Nepal – January to December 2007.  Retrieved 5 November 2009 from </w:t>
      </w:r>
      <w:hyperlink r:id="rId211" w:history="1">
        <w:r w:rsidRPr="00E22DE7">
          <w:rPr>
            <w:rStyle w:val="Hyperlink"/>
            <w:rFonts w:ascii="Calibri" w:hAnsi="Calibri"/>
            <w:sz w:val="16"/>
            <w:szCs w:val="16"/>
          </w:rPr>
          <w:t>http://www.inseconline.org/pics/1244452080.pdf</w:t>
        </w:r>
      </w:hyperlink>
      <w:r w:rsidRPr="00E22DE7">
        <w:rPr>
          <w:rFonts w:ascii="Calibri" w:hAnsi="Calibri"/>
          <w:sz w:val="16"/>
          <w:szCs w:val="16"/>
        </w:rPr>
        <w:t xml:space="preserve">.  Informal Sector Service Center (2009).  INSEC surveillance system on explosive device incidents: report on civilian casualties of victim-activated explosions, Nepal – January to December 2008.  Retrieved 8 August 2010 from </w:t>
      </w:r>
      <w:hyperlink r:id="rId212" w:history="1">
        <w:r w:rsidRPr="00E22DE7">
          <w:rPr>
            <w:rStyle w:val="Hyperlink"/>
            <w:rFonts w:ascii="Calibri" w:hAnsi="Calibri"/>
            <w:sz w:val="16"/>
            <w:szCs w:val="16"/>
          </w:rPr>
          <w:t>http://www.inseconline.org/pics/1244452441.pdf</w:t>
        </w:r>
      </w:hyperlink>
      <w:r w:rsidRPr="00E22DE7">
        <w:rPr>
          <w:rFonts w:ascii="Calibri" w:hAnsi="Calibri"/>
          <w:sz w:val="16"/>
          <w:szCs w:val="16"/>
        </w:rPr>
        <w:t>.  Informal Sector Service Center (2010).  INSEC surveillance system on</w:t>
      </w:r>
      <w:r w:rsidRPr="00E22DE7">
        <w:rPr>
          <w:rFonts w:ascii="Calibri" w:hAnsi="Calibri"/>
          <w:i/>
          <w:sz w:val="16"/>
          <w:szCs w:val="16"/>
        </w:rPr>
        <w:t xml:space="preserve"> </w:t>
      </w:r>
      <w:r w:rsidRPr="00E22DE7">
        <w:rPr>
          <w:rFonts w:ascii="Calibri" w:hAnsi="Calibri"/>
          <w:sz w:val="16"/>
          <w:szCs w:val="16"/>
        </w:rPr>
        <w:t>explosive devices incidents: report</w:t>
      </w:r>
      <w:r w:rsidRPr="00E22DE7">
        <w:rPr>
          <w:rFonts w:ascii="Calibri" w:hAnsi="Calibri"/>
          <w:i/>
          <w:sz w:val="16"/>
          <w:szCs w:val="16"/>
        </w:rPr>
        <w:t xml:space="preserve"> </w:t>
      </w:r>
      <w:r w:rsidRPr="00E22DE7">
        <w:rPr>
          <w:rFonts w:ascii="Calibri" w:hAnsi="Calibri"/>
          <w:sz w:val="16"/>
          <w:szCs w:val="16"/>
        </w:rPr>
        <w:t>on casualties of victim-activated explosions, Nepal, January-December 2009.  Retrieved 29 April 2010 from</w:t>
      </w:r>
      <w:r w:rsidRPr="00E22DE7">
        <w:rPr>
          <w:rFonts w:ascii="Calibri" w:hAnsi="Calibri"/>
          <w:i/>
          <w:sz w:val="16"/>
          <w:szCs w:val="16"/>
        </w:rPr>
        <w:t xml:space="preserve"> </w:t>
      </w:r>
      <w:hyperlink r:id="rId213" w:history="1">
        <w:r w:rsidRPr="00E22DE7">
          <w:rPr>
            <w:rStyle w:val="Hyperlink"/>
            <w:rFonts w:ascii="Calibri" w:hAnsi="Calibri"/>
            <w:sz w:val="16"/>
            <w:szCs w:val="16"/>
          </w:rPr>
          <w:t>http://www.inseconline.org/pics/1271926138.pdf</w:t>
        </w:r>
      </w:hyperlink>
      <w:r w:rsidRPr="00E22DE7">
        <w:rPr>
          <w:rFonts w:ascii="Calibri" w:hAnsi="Calibri"/>
          <w:sz w:val="16"/>
          <w:szCs w:val="16"/>
        </w:rPr>
        <w:t>.</w:t>
      </w:r>
    </w:p>
  </w:endnote>
  <w:endnote w:id="365">
    <w:p w:rsidR="005226B6" w:rsidRPr="00E22DE7" w:rsidRDefault="005226B6" w:rsidP="00B454FB">
      <w:pPr>
        <w:pStyle w:val="EndnoteText"/>
        <w:rPr>
          <w:rFonts w:ascii="Calibri" w:hAnsi="Calibri"/>
          <w:sz w:val="16"/>
          <w:szCs w:val="16"/>
        </w:rPr>
      </w:pPr>
      <w:r w:rsidRPr="00E22DE7">
        <w:rPr>
          <w:rStyle w:val="EndnoteReference"/>
          <w:rFonts w:ascii="Calibri" w:hAnsi="Calibri"/>
          <w:sz w:val="16"/>
          <w:szCs w:val="16"/>
        </w:rPr>
        <w:endnoteRef/>
      </w:r>
      <w:r w:rsidRPr="00E22DE7">
        <w:rPr>
          <w:rFonts w:ascii="Calibri" w:hAnsi="Calibri"/>
          <w:sz w:val="16"/>
          <w:szCs w:val="16"/>
        </w:rPr>
        <w:t xml:space="preserve"> Informal Sector Service Center (2007).  INSEC surveillance on explosive device Incidents: reports on civilian casualties of unintentional explosions, Nepal – January to December 2006.  Retrieved 8 August 2010 from </w:t>
      </w:r>
      <w:hyperlink r:id="rId214" w:history="1">
        <w:r w:rsidRPr="00E22DE7">
          <w:rPr>
            <w:rStyle w:val="Hyperlink"/>
            <w:rFonts w:ascii="Calibri" w:hAnsi="Calibri"/>
            <w:sz w:val="16"/>
            <w:szCs w:val="16"/>
          </w:rPr>
          <w:t>http://www.inseconline.org/pics/1244451067.pdf</w:t>
        </w:r>
      </w:hyperlink>
      <w:r w:rsidRPr="00E22DE7">
        <w:rPr>
          <w:rFonts w:ascii="Calibri" w:hAnsi="Calibri"/>
          <w:sz w:val="16"/>
          <w:szCs w:val="16"/>
        </w:rPr>
        <w:t xml:space="preserve">.  </w:t>
      </w:r>
    </w:p>
  </w:endnote>
  <w:endnote w:id="366">
    <w:p w:rsidR="005226B6" w:rsidRPr="00E22DE7" w:rsidRDefault="005226B6" w:rsidP="00B454FB">
      <w:pPr>
        <w:pStyle w:val="EndnoteText"/>
        <w:rPr>
          <w:rFonts w:ascii="Calibri" w:hAnsi="Calibri"/>
          <w:sz w:val="16"/>
          <w:szCs w:val="16"/>
        </w:rPr>
      </w:pPr>
      <w:r w:rsidRPr="00E22DE7">
        <w:rPr>
          <w:rStyle w:val="EndnoteReference"/>
          <w:rFonts w:ascii="Calibri" w:hAnsi="Calibri"/>
          <w:sz w:val="16"/>
          <w:szCs w:val="16"/>
        </w:rPr>
        <w:endnoteRef/>
      </w:r>
      <w:r w:rsidRPr="00E22DE7">
        <w:rPr>
          <w:rFonts w:ascii="Calibri" w:hAnsi="Calibri"/>
          <w:sz w:val="16"/>
          <w:szCs w:val="16"/>
        </w:rPr>
        <w:t xml:space="preserve"> Informal Sector Service Center (2010).  INSEC surveillance system on</w:t>
      </w:r>
      <w:r w:rsidRPr="00E22DE7">
        <w:rPr>
          <w:rFonts w:ascii="Calibri" w:hAnsi="Calibri"/>
          <w:i/>
          <w:sz w:val="16"/>
          <w:szCs w:val="16"/>
        </w:rPr>
        <w:t xml:space="preserve"> </w:t>
      </w:r>
      <w:r w:rsidRPr="00E22DE7">
        <w:rPr>
          <w:rFonts w:ascii="Calibri" w:hAnsi="Calibri"/>
          <w:sz w:val="16"/>
          <w:szCs w:val="16"/>
        </w:rPr>
        <w:t>explosive devices incidents: report</w:t>
      </w:r>
      <w:r w:rsidRPr="00E22DE7">
        <w:rPr>
          <w:rFonts w:ascii="Calibri" w:hAnsi="Calibri"/>
          <w:i/>
          <w:sz w:val="16"/>
          <w:szCs w:val="16"/>
        </w:rPr>
        <w:t xml:space="preserve"> </w:t>
      </w:r>
      <w:r w:rsidRPr="00E22DE7">
        <w:rPr>
          <w:rFonts w:ascii="Calibri" w:hAnsi="Calibri"/>
          <w:sz w:val="16"/>
          <w:szCs w:val="16"/>
        </w:rPr>
        <w:t>on casualties of victim-activated explosions, Nepal, January-December 2009.  Retrieved 29 April 2010 from</w:t>
      </w:r>
      <w:r w:rsidRPr="00E22DE7">
        <w:rPr>
          <w:rFonts w:ascii="Calibri" w:hAnsi="Calibri"/>
          <w:i/>
          <w:sz w:val="16"/>
          <w:szCs w:val="16"/>
        </w:rPr>
        <w:t xml:space="preserve"> </w:t>
      </w:r>
      <w:hyperlink r:id="rId215" w:history="1">
        <w:r w:rsidRPr="00E22DE7">
          <w:rPr>
            <w:rStyle w:val="Hyperlink"/>
            <w:rFonts w:ascii="Calibri" w:hAnsi="Calibri"/>
            <w:sz w:val="16"/>
            <w:szCs w:val="16"/>
          </w:rPr>
          <w:t>http://www.inseconline.org/pics/1271926138.pdf</w:t>
        </w:r>
      </w:hyperlink>
      <w:r w:rsidRPr="00E22DE7">
        <w:rPr>
          <w:rFonts w:ascii="Calibri" w:hAnsi="Calibri"/>
          <w:sz w:val="16"/>
          <w:szCs w:val="16"/>
        </w:rPr>
        <w:t>.</w:t>
      </w:r>
    </w:p>
  </w:endnote>
  <w:endnote w:id="367">
    <w:p w:rsidR="005226B6" w:rsidRPr="00E22DE7" w:rsidRDefault="005226B6" w:rsidP="00B454FB">
      <w:pPr>
        <w:pStyle w:val="EndnoteText"/>
        <w:rPr>
          <w:rFonts w:ascii="Calibri" w:hAnsi="Calibri"/>
          <w:sz w:val="16"/>
          <w:szCs w:val="16"/>
        </w:rPr>
      </w:pPr>
      <w:r w:rsidRPr="00E22DE7">
        <w:rPr>
          <w:rStyle w:val="EndnoteReference"/>
          <w:rFonts w:ascii="Calibri" w:hAnsi="Calibri"/>
          <w:sz w:val="16"/>
          <w:szCs w:val="16"/>
        </w:rPr>
        <w:endnoteRef/>
      </w:r>
      <w:r w:rsidRPr="00E22DE7">
        <w:rPr>
          <w:rFonts w:ascii="Calibri" w:hAnsi="Calibri"/>
          <w:sz w:val="16"/>
          <w:szCs w:val="16"/>
        </w:rPr>
        <w:t xml:space="preserve"> Informal Sector Service Center (2 April 2010).  New casualties. Victim-activated explosions - 2010.  INSEC update March 31.  Retrieved April 2010 from </w:t>
      </w:r>
      <w:hyperlink r:id="rId216" w:history="1">
        <w:r w:rsidRPr="00E22DE7">
          <w:rPr>
            <w:rStyle w:val="Hyperlink"/>
            <w:rFonts w:ascii="Calibri" w:hAnsi="Calibri"/>
            <w:sz w:val="16"/>
            <w:szCs w:val="16"/>
          </w:rPr>
          <w:t>http://www.inseconline.org</w:t>
        </w:r>
      </w:hyperlink>
      <w:r w:rsidRPr="00E22DE7">
        <w:rPr>
          <w:rFonts w:ascii="Calibri" w:hAnsi="Calibri"/>
          <w:sz w:val="16"/>
          <w:szCs w:val="16"/>
        </w:rPr>
        <w:t>.</w:t>
      </w:r>
    </w:p>
  </w:endnote>
  <w:endnote w:id="368">
    <w:p w:rsidR="005226B6" w:rsidRDefault="005226B6" w:rsidP="00B454FB">
      <w:pPr>
        <w:pStyle w:val="EndnoteText"/>
      </w:pPr>
      <w:r w:rsidRPr="00E22DE7">
        <w:rPr>
          <w:rStyle w:val="EndnoteReference"/>
          <w:rFonts w:ascii="Calibri" w:hAnsi="Calibri"/>
          <w:sz w:val="16"/>
          <w:szCs w:val="16"/>
        </w:rPr>
        <w:endnoteRef/>
      </w:r>
      <w:r w:rsidRPr="00E22DE7">
        <w:rPr>
          <w:rFonts w:ascii="Calibri" w:hAnsi="Calibri"/>
          <w:sz w:val="16"/>
          <w:szCs w:val="16"/>
        </w:rPr>
        <w:t xml:space="preserve"> Center for Research on Environment Health and Population Activities (February 2008).  Knowledge attitude and practice (KAP) survey on improvised explosive devices (IED), landmines and explosive remnants of war (ERW).</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Times-Bold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6B6" w:rsidRDefault="00E61047">
    <w:pPr>
      <w:pStyle w:val="Footer"/>
      <w:jc w:val="right"/>
    </w:pPr>
    <w:r>
      <w:fldChar w:fldCharType="begin"/>
    </w:r>
    <w:r>
      <w:instrText xml:space="preserve"> PAGE   \* MERGEFORMAT </w:instrText>
    </w:r>
    <w:r>
      <w:fldChar w:fldCharType="separate"/>
    </w:r>
    <w:r w:rsidR="00DF37D4">
      <w:rPr>
        <w:noProof/>
      </w:rPr>
      <w:t>2</w:t>
    </w:r>
    <w:r>
      <w:rPr>
        <w:noProof/>
      </w:rPr>
      <w:fldChar w:fldCharType="end"/>
    </w:r>
  </w:p>
  <w:p w:rsidR="005226B6" w:rsidRDefault="00522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6B6" w:rsidRDefault="00E61047">
    <w:pPr>
      <w:pStyle w:val="Footer"/>
      <w:jc w:val="center"/>
    </w:pPr>
    <w:r>
      <w:fldChar w:fldCharType="begin"/>
    </w:r>
    <w:r>
      <w:instrText xml:space="preserve"> PAGE   \* MERGEFORMAT </w:instrText>
    </w:r>
    <w:r>
      <w:fldChar w:fldCharType="separate"/>
    </w:r>
    <w:r w:rsidR="00DF37D4">
      <w:rPr>
        <w:noProof/>
      </w:rPr>
      <w:t>48</w:t>
    </w:r>
    <w:r>
      <w:rPr>
        <w:noProof/>
      </w:rPr>
      <w:fldChar w:fldCharType="end"/>
    </w:r>
  </w:p>
  <w:p w:rsidR="005226B6" w:rsidRDefault="005226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047" w:rsidRDefault="00E61047" w:rsidP="00B454FB">
      <w:r>
        <w:separator/>
      </w:r>
    </w:p>
  </w:footnote>
  <w:footnote w:type="continuationSeparator" w:id="0">
    <w:p w:rsidR="00E61047" w:rsidRDefault="00E61047" w:rsidP="00B454FB">
      <w:r>
        <w:continuationSeparator/>
      </w:r>
    </w:p>
  </w:footnote>
  <w:footnote w:id="1">
    <w:p w:rsidR="005226B6" w:rsidRPr="00AC66B8" w:rsidRDefault="005226B6" w:rsidP="00B454FB">
      <w:pPr>
        <w:pStyle w:val="FootnoteText"/>
        <w:rPr>
          <w:rFonts w:ascii="Calibri" w:hAnsi="Calibri"/>
          <w:sz w:val="16"/>
          <w:szCs w:val="16"/>
        </w:rPr>
      </w:pPr>
      <w:r w:rsidRPr="00AC66B8">
        <w:rPr>
          <w:rStyle w:val="FootnoteReference"/>
          <w:rFonts w:ascii="Calibri" w:hAnsi="Calibri"/>
          <w:sz w:val="16"/>
          <w:szCs w:val="16"/>
        </w:rPr>
        <w:footnoteRef/>
      </w:r>
      <w:r w:rsidRPr="00AC66B8">
        <w:rPr>
          <w:rFonts w:ascii="Calibri" w:hAnsi="Calibri"/>
          <w:sz w:val="16"/>
          <w:szCs w:val="16"/>
        </w:rPr>
        <w:t xml:space="preserve"> Additional information about Dropbox is available at </w:t>
      </w:r>
      <w:hyperlink r:id="rId1" w:history="1">
        <w:r w:rsidRPr="00AC66B8">
          <w:rPr>
            <w:rStyle w:val="Hyperlink"/>
            <w:rFonts w:ascii="Calibri" w:hAnsi="Calibri"/>
            <w:sz w:val="16"/>
            <w:szCs w:val="16"/>
          </w:rPr>
          <w:t>http://www.getdropbox.com</w:t>
        </w:r>
      </w:hyperlink>
      <w:r w:rsidRPr="00AC66B8">
        <w:rPr>
          <w:rFonts w:ascii="Calibri" w:hAnsi="Calibri"/>
          <w:sz w:val="16"/>
          <w:szCs w:val="16"/>
        </w:rPr>
        <w:t xml:space="preserve">. </w:t>
      </w:r>
    </w:p>
  </w:footnote>
  <w:footnote w:id="2">
    <w:p w:rsidR="005226B6" w:rsidRPr="00AC66B8" w:rsidRDefault="005226B6" w:rsidP="00B454FB">
      <w:pPr>
        <w:pStyle w:val="FootnoteText"/>
        <w:rPr>
          <w:rFonts w:ascii="Calibri" w:hAnsi="Calibri"/>
          <w:sz w:val="16"/>
          <w:szCs w:val="16"/>
        </w:rPr>
      </w:pPr>
      <w:r w:rsidRPr="00AC66B8">
        <w:rPr>
          <w:rStyle w:val="FootnoteReference"/>
          <w:rFonts w:ascii="Calibri" w:hAnsi="Calibri"/>
          <w:sz w:val="16"/>
          <w:szCs w:val="16"/>
        </w:rPr>
        <w:footnoteRef/>
      </w:r>
      <w:r w:rsidRPr="00AC66B8">
        <w:rPr>
          <w:rFonts w:ascii="Calibri" w:hAnsi="Calibri"/>
          <w:sz w:val="16"/>
          <w:szCs w:val="16"/>
        </w:rPr>
        <w:t xml:space="preserve"> The Royal Nepalese Army (RNA) was renamed the Nepalese Army (NA) in 2006; names and acronyms used in this report alternate </w:t>
      </w:r>
      <w:r>
        <w:rPr>
          <w:rFonts w:ascii="Calibri" w:hAnsi="Calibri"/>
          <w:sz w:val="16"/>
          <w:szCs w:val="16"/>
        </w:rPr>
        <w:t>according to</w:t>
      </w:r>
      <w:r w:rsidRPr="00AC66B8">
        <w:rPr>
          <w:rFonts w:ascii="Calibri" w:hAnsi="Calibri"/>
          <w:sz w:val="16"/>
          <w:szCs w:val="16"/>
        </w:rPr>
        <w:t xml:space="preserve"> the year </w:t>
      </w:r>
      <w:r>
        <w:rPr>
          <w:rFonts w:ascii="Calibri" w:hAnsi="Calibri"/>
          <w:sz w:val="16"/>
          <w:szCs w:val="16"/>
        </w:rPr>
        <w:t xml:space="preserve">of the action </w:t>
      </w:r>
      <w:r w:rsidRPr="00AC66B8">
        <w:rPr>
          <w:rFonts w:ascii="Calibri" w:hAnsi="Calibri"/>
          <w:sz w:val="16"/>
          <w:szCs w:val="16"/>
        </w:rPr>
        <w:t>discussed.</w:t>
      </w:r>
    </w:p>
  </w:footnote>
  <w:footnote w:id="3">
    <w:p w:rsidR="005226B6" w:rsidRPr="00601A13" w:rsidRDefault="005226B6">
      <w:pPr>
        <w:pStyle w:val="FootnoteText"/>
        <w:rPr>
          <w:rFonts w:ascii="Calibri" w:hAnsi="Calibri"/>
          <w:sz w:val="16"/>
          <w:szCs w:val="16"/>
        </w:rPr>
      </w:pPr>
      <w:r w:rsidRPr="00601A13">
        <w:rPr>
          <w:rStyle w:val="FootnoteReference"/>
          <w:rFonts w:ascii="Calibri" w:hAnsi="Calibri"/>
          <w:sz w:val="16"/>
          <w:szCs w:val="16"/>
        </w:rPr>
        <w:footnoteRef/>
      </w:r>
      <w:r w:rsidRPr="00601A13">
        <w:rPr>
          <w:rFonts w:ascii="Calibri" w:hAnsi="Calibri"/>
          <w:sz w:val="16"/>
          <w:szCs w:val="16"/>
        </w:rPr>
        <w:t xml:space="preserve"> Data on the economic status of injured individuals are not available for 2007.</w:t>
      </w:r>
    </w:p>
  </w:footnote>
  <w:footnote w:id="4">
    <w:p w:rsidR="005226B6" w:rsidRPr="008C1D1C" w:rsidRDefault="005226B6">
      <w:pPr>
        <w:pStyle w:val="FootnoteText"/>
        <w:rPr>
          <w:rFonts w:ascii="Calibri" w:hAnsi="Calibri"/>
          <w:sz w:val="16"/>
          <w:szCs w:val="16"/>
        </w:rPr>
      </w:pPr>
      <w:r w:rsidRPr="008C1D1C">
        <w:rPr>
          <w:rStyle w:val="FootnoteReference"/>
          <w:rFonts w:ascii="Calibri" w:hAnsi="Calibri"/>
          <w:sz w:val="16"/>
          <w:szCs w:val="16"/>
        </w:rPr>
        <w:footnoteRef/>
      </w:r>
      <w:r w:rsidRPr="008C1D1C">
        <w:rPr>
          <w:rFonts w:ascii="Calibri" w:hAnsi="Calibri"/>
          <w:sz w:val="16"/>
          <w:szCs w:val="16"/>
        </w:rPr>
        <w:t xml:space="preserve"> NCBL began recording ED injury data in 1998.  However, NCBL did not use a standardized case definition, distinguish between intentional and unintentional explosions or disaggregate data by device type.  This limits the usefulness of the data for MA activities. </w:t>
      </w:r>
    </w:p>
  </w:footnote>
  <w:footnote w:id="5">
    <w:p w:rsidR="005226B6" w:rsidRPr="00EC452E" w:rsidRDefault="005226B6">
      <w:pPr>
        <w:pStyle w:val="FootnoteText"/>
        <w:rPr>
          <w:rFonts w:ascii="Calibri" w:hAnsi="Calibri"/>
          <w:sz w:val="16"/>
          <w:szCs w:val="16"/>
        </w:rPr>
      </w:pPr>
      <w:r w:rsidRPr="00EC452E">
        <w:rPr>
          <w:rStyle w:val="FootnoteReference"/>
          <w:rFonts w:ascii="Calibri" w:hAnsi="Calibri"/>
          <w:sz w:val="16"/>
          <w:szCs w:val="16"/>
        </w:rPr>
        <w:footnoteRef/>
      </w:r>
      <w:r w:rsidRPr="00EC452E">
        <w:rPr>
          <w:rFonts w:ascii="Calibri" w:hAnsi="Calibri"/>
          <w:sz w:val="16"/>
          <w:szCs w:val="16"/>
        </w:rPr>
        <w:t xml:space="preserve"> Although INSEC uses the term “unintentional” to describe victim-activated explosions and resulting injuries in some of its publications, this evaluation report refers to such incidents as “victim-activated explosions” (VAE) for the sake of consistency.</w:t>
      </w:r>
    </w:p>
  </w:footnote>
  <w:footnote w:id="6">
    <w:p w:rsidR="005226B6" w:rsidRPr="008C1D1C" w:rsidRDefault="005226B6" w:rsidP="00B454FB">
      <w:pPr>
        <w:pStyle w:val="FootnoteText"/>
        <w:rPr>
          <w:rFonts w:ascii="Calibri" w:hAnsi="Calibri"/>
          <w:sz w:val="16"/>
          <w:szCs w:val="16"/>
          <w:highlight w:val="magenta"/>
        </w:rPr>
      </w:pPr>
      <w:r w:rsidRPr="008C1D1C">
        <w:rPr>
          <w:rStyle w:val="FootnoteReference"/>
          <w:rFonts w:ascii="Calibri" w:hAnsi="Calibri"/>
          <w:sz w:val="16"/>
          <w:szCs w:val="16"/>
        </w:rPr>
        <w:footnoteRef/>
      </w:r>
      <w:r w:rsidRPr="008C1D1C">
        <w:rPr>
          <w:rFonts w:ascii="Calibri" w:hAnsi="Calibri"/>
          <w:sz w:val="16"/>
          <w:szCs w:val="16"/>
        </w:rPr>
        <w:t xml:space="preserve"> UN Security Council Resolution 1612 established a monitoring and reporting mechanism </w:t>
      </w:r>
      <w:r>
        <w:rPr>
          <w:rFonts w:ascii="Calibri" w:hAnsi="Calibri"/>
          <w:sz w:val="16"/>
          <w:szCs w:val="16"/>
        </w:rPr>
        <w:t xml:space="preserve">(MRM) </w:t>
      </w:r>
      <w:r w:rsidRPr="008C1D1C">
        <w:rPr>
          <w:rFonts w:ascii="Calibri" w:hAnsi="Calibri"/>
          <w:sz w:val="16"/>
          <w:szCs w:val="16"/>
        </w:rPr>
        <w:t>to measure six violations of children’s rights during situations of armed conflict.  These violations are killing and maiming of children; abduction of children; attacks on schools and hospitals; sexual violence perpetrated against children; recruitment of child soldiers; and denial of humanitarian access to children.</w:t>
      </w:r>
      <w:r>
        <w:rPr>
          <w:rFonts w:ascii="Calibri" w:hAnsi="Calibri"/>
          <w:sz w:val="16"/>
          <w:szCs w:val="16"/>
        </w:rPr>
        <w:t xml:space="preserve">  A brief explanation of Resolution 1612 and the MRM can be found at </w:t>
      </w:r>
      <w:hyperlink r:id="rId2" w:history="1">
        <w:r w:rsidRPr="00067AD0">
          <w:rPr>
            <w:rStyle w:val="Hyperlink"/>
            <w:rFonts w:ascii="Calibri" w:hAnsi="Calibri"/>
            <w:sz w:val="16"/>
            <w:szCs w:val="16"/>
          </w:rPr>
          <w:t>http://ph.one.un.org/response/clusters/protection/childprotection/mrm/MRM%20factsheet.pdf</w:t>
        </w:r>
      </w:hyperlink>
      <w:r>
        <w:rPr>
          <w:rFonts w:ascii="Calibri" w:hAnsi="Calibri"/>
          <w:sz w:val="16"/>
          <w:szCs w:val="16"/>
        </w:rPr>
        <w:t xml:space="preserve">. </w:t>
      </w:r>
    </w:p>
  </w:footnote>
  <w:footnote w:id="7">
    <w:p w:rsidR="005226B6" w:rsidRPr="00466A5E" w:rsidRDefault="005226B6" w:rsidP="00B454FB">
      <w:pPr>
        <w:pStyle w:val="FootnoteText"/>
        <w:rPr>
          <w:rFonts w:ascii="Calibri" w:hAnsi="Calibri"/>
          <w:sz w:val="16"/>
          <w:szCs w:val="16"/>
        </w:rPr>
      </w:pPr>
      <w:r w:rsidRPr="00466A5E">
        <w:rPr>
          <w:rStyle w:val="FootnoteReference"/>
          <w:rFonts w:ascii="Calibri" w:hAnsi="Calibri"/>
          <w:sz w:val="16"/>
          <w:szCs w:val="16"/>
        </w:rPr>
        <w:footnoteRef/>
      </w:r>
      <w:r>
        <w:rPr>
          <w:rFonts w:ascii="Calibri" w:hAnsi="Calibri"/>
          <w:sz w:val="16"/>
          <w:szCs w:val="16"/>
        </w:rPr>
        <w:t xml:space="preserve"> A list of some of INSEC’s </w:t>
      </w:r>
      <w:r w:rsidRPr="00466A5E">
        <w:rPr>
          <w:rFonts w:ascii="Calibri" w:hAnsi="Calibri"/>
          <w:sz w:val="16"/>
          <w:szCs w:val="16"/>
        </w:rPr>
        <w:t>partner</w:t>
      </w:r>
      <w:r>
        <w:rPr>
          <w:rFonts w:ascii="Calibri" w:hAnsi="Calibri"/>
          <w:sz w:val="16"/>
          <w:szCs w:val="16"/>
        </w:rPr>
        <w:t xml:space="preserve"> organization</w:t>
      </w:r>
      <w:r w:rsidRPr="00466A5E">
        <w:rPr>
          <w:rFonts w:ascii="Calibri" w:hAnsi="Calibri"/>
          <w:sz w:val="16"/>
          <w:szCs w:val="16"/>
        </w:rPr>
        <w:t xml:space="preserve">s is available at </w:t>
      </w:r>
      <w:hyperlink r:id="rId3" w:history="1">
        <w:r w:rsidRPr="00466A5E">
          <w:rPr>
            <w:rStyle w:val="Hyperlink"/>
            <w:rFonts w:ascii="Calibri" w:hAnsi="Calibri"/>
            <w:sz w:val="16"/>
            <w:szCs w:val="16"/>
          </w:rPr>
          <w:t>http://www.insec.org.np/index.php?type=cms&amp;id=6&amp;lang=en</w:t>
        </w:r>
      </w:hyperlink>
      <w:r w:rsidRPr="00466A5E">
        <w:rPr>
          <w:rFonts w:ascii="Calibri" w:hAnsi="Calibri"/>
          <w:sz w:val="16"/>
          <w:szCs w:val="16"/>
        </w:rPr>
        <w:t>.</w:t>
      </w:r>
    </w:p>
  </w:footnote>
  <w:footnote w:id="8">
    <w:p w:rsidR="005226B6" w:rsidRPr="000D4723" w:rsidRDefault="005226B6">
      <w:pPr>
        <w:pStyle w:val="FootnoteText"/>
        <w:rPr>
          <w:rFonts w:ascii="Calibri" w:hAnsi="Calibri"/>
          <w:sz w:val="16"/>
          <w:szCs w:val="16"/>
        </w:rPr>
      </w:pPr>
      <w:r w:rsidRPr="000D4723">
        <w:rPr>
          <w:rStyle w:val="FootnoteReference"/>
          <w:rFonts w:ascii="Calibri" w:hAnsi="Calibri"/>
          <w:sz w:val="16"/>
          <w:szCs w:val="16"/>
        </w:rPr>
        <w:footnoteRef/>
      </w:r>
      <w:r w:rsidRPr="000D4723">
        <w:rPr>
          <w:rFonts w:ascii="Calibri" w:hAnsi="Calibri"/>
          <w:sz w:val="16"/>
          <w:szCs w:val="16"/>
        </w:rPr>
        <w:t xml:space="preserve"> The Information Management System for Mine Action (IMSMA), developed by the Swiss Federal Institute of Technology Zurich and administered by the Geneva International Centre for Humanitarian Demining, is a computer database and geographic information system designed for use by demining and ED disposal specialists and other MA stakeholders.  More information about IMSMA is available at </w:t>
      </w:r>
      <w:hyperlink r:id="rId4" w:history="1">
        <w:r w:rsidRPr="00067AD0">
          <w:rPr>
            <w:rStyle w:val="Hyperlink"/>
            <w:rFonts w:ascii="Calibri" w:hAnsi="Calibri"/>
            <w:sz w:val="16"/>
            <w:szCs w:val="16"/>
          </w:rPr>
          <w:t>http://www.gichd.org/operational-assistance-research/information-management-imsma/imsma/overview/</w:t>
        </w:r>
      </w:hyperlink>
      <w:r w:rsidRPr="000D4723">
        <w:rPr>
          <w:rFonts w:ascii="Calibri" w:hAnsi="Calibri"/>
          <w:sz w:val="16"/>
          <w:szCs w:val="16"/>
        </w:rPr>
        <w:t>.</w:t>
      </w:r>
    </w:p>
  </w:footnote>
  <w:footnote w:id="9">
    <w:p w:rsidR="005226B6" w:rsidRPr="00AC66B8" w:rsidRDefault="005226B6" w:rsidP="00B454FB">
      <w:pPr>
        <w:pStyle w:val="FootnoteText"/>
        <w:rPr>
          <w:rFonts w:ascii="Calibri" w:hAnsi="Calibri"/>
          <w:sz w:val="16"/>
          <w:szCs w:val="16"/>
        </w:rPr>
      </w:pPr>
      <w:r w:rsidRPr="00AC66B8">
        <w:rPr>
          <w:rStyle w:val="FootnoteReference"/>
          <w:rFonts w:ascii="Calibri" w:hAnsi="Calibri"/>
          <w:sz w:val="16"/>
          <w:szCs w:val="16"/>
        </w:rPr>
        <w:footnoteRef/>
      </w:r>
      <w:r w:rsidRPr="00AC66B8">
        <w:rPr>
          <w:rFonts w:ascii="Calibri" w:hAnsi="Calibri"/>
          <w:sz w:val="16"/>
          <w:szCs w:val="16"/>
        </w:rPr>
        <w:t xml:space="preserve"> Additional information about Dropbox is available at </w:t>
      </w:r>
      <w:hyperlink r:id="rId5" w:history="1">
        <w:r w:rsidRPr="00AC66B8">
          <w:rPr>
            <w:rStyle w:val="Hyperlink"/>
            <w:rFonts w:ascii="Calibri" w:hAnsi="Calibri"/>
            <w:sz w:val="16"/>
            <w:szCs w:val="16"/>
          </w:rPr>
          <w:t>http://www.getdropbox.com</w:t>
        </w:r>
      </w:hyperlink>
      <w:r w:rsidRPr="00AC66B8">
        <w:rPr>
          <w:rFonts w:ascii="Calibri" w:hAnsi="Calibri"/>
          <w:sz w:val="16"/>
          <w:szCs w:val="16"/>
        </w:rPr>
        <w:t xml:space="preserve">. </w:t>
      </w:r>
    </w:p>
  </w:footnote>
  <w:footnote w:id="10">
    <w:p w:rsidR="005226B6" w:rsidRPr="00326F87" w:rsidRDefault="005226B6" w:rsidP="00B454FB">
      <w:pPr>
        <w:pStyle w:val="FootnoteText"/>
        <w:rPr>
          <w:rFonts w:ascii="Calibri" w:hAnsi="Calibri"/>
          <w:sz w:val="16"/>
          <w:szCs w:val="16"/>
        </w:rPr>
      </w:pPr>
      <w:r w:rsidRPr="00326F87">
        <w:rPr>
          <w:rStyle w:val="FootnoteReference"/>
          <w:rFonts w:ascii="Calibri" w:hAnsi="Calibri"/>
          <w:sz w:val="16"/>
          <w:szCs w:val="16"/>
        </w:rPr>
        <w:footnoteRef/>
      </w:r>
      <w:r w:rsidRPr="00326F87">
        <w:rPr>
          <w:rFonts w:ascii="Calibri" w:hAnsi="Calibri"/>
          <w:sz w:val="16"/>
          <w:szCs w:val="16"/>
        </w:rPr>
        <w:t xml:space="preserve"> For the 2006 report, data were collected from January through May via media reporting and from June through December via the surveillance s</w:t>
      </w:r>
      <w:r>
        <w:rPr>
          <w:rFonts w:ascii="Calibri" w:hAnsi="Calibri"/>
          <w:sz w:val="16"/>
          <w:szCs w:val="16"/>
        </w:rPr>
        <w:t>ystem.</w:t>
      </w:r>
    </w:p>
  </w:footnote>
  <w:footnote w:id="11">
    <w:p w:rsidR="005226B6" w:rsidRPr="00AC66B8" w:rsidRDefault="005226B6" w:rsidP="00B454FB">
      <w:pPr>
        <w:pStyle w:val="FootnoteText"/>
        <w:rPr>
          <w:rFonts w:ascii="Calibri" w:hAnsi="Calibri"/>
          <w:sz w:val="16"/>
          <w:szCs w:val="16"/>
        </w:rPr>
      </w:pPr>
      <w:r w:rsidRPr="00AC66B8">
        <w:rPr>
          <w:rStyle w:val="FootnoteReference"/>
          <w:rFonts w:ascii="Calibri" w:hAnsi="Calibri"/>
          <w:sz w:val="16"/>
          <w:szCs w:val="16"/>
        </w:rPr>
        <w:footnoteRef/>
      </w:r>
      <w:r w:rsidRPr="00AC66B8">
        <w:rPr>
          <w:rFonts w:ascii="Calibri" w:hAnsi="Calibri"/>
          <w:sz w:val="16"/>
          <w:szCs w:val="16"/>
        </w:rPr>
        <w:t xml:space="preserve"> Additional information about Dropbox is available at </w:t>
      </w:r>
      <w:hyperlink r:id="rId6" w:history="1">
        <w:r w:rsidRPr="00AC66B8">
          <w:rPr>
            <w:rStyle w:val="Hyperlink"/>
            <w:rFonts w:ascii="Calibri" w:hAnsi="Calibri"/>
            <w:sz w:val="16"/>
            <w:szCs w:val="16"/>
          </w:rPr>
          <w:t>http://www.getdropbox.com</w:t>
        </w:r>
      </w:hyperlink>
      <w:r w:rsidRPr="00AC66B8">
        <w:rPr>
          <w:rFonts w:ascii="Calibri" w:hAnsi="Calibri"/>
          <w:sz w:val="16"/>
          <w:szCs w:val="16"/>
        </w:rPr>
        <w:t xml:space="preserve">. </w:t>
      </w:r>
    </w:p>
  </w:footnote>
  <w:footnote w:id="12">
    <w:p w:rsidR="005226B6" w:rsidRPr="00AC66B8" w:rsidRDefault="005226B6" w:rsidP="00B454FB">
      <w:pPr>
        <w:pStyle w:val="FootnoteText"/>
        <w:rPr>
          <w:rFonts w:ascii="Calibri" w:hAnsi="Calibri"/>
          <w:sz w:val="16"/>
          <w:szCs w:val="16"/>
        </w:rPr>
      </w:pPr>
      <w:r w:rsidRPr="00AC66B8">
        <w:rPr>
          <w:rStyle w:val="FootnoteReference"/>
          <w:rFonts w:ascii="Calibri" w:hAnsi="Calibri"/>
          <w:sz w:val="16"/>
          <w:szCs w:val="16"/>
        </w:rPr>
        <w:footnoteRef/>
      </w:r>
      <w:r w:rsidRPr="00AC66B8">
        <w:rPr>
          <w:rFonts w:ascii="Calibri" w:hAnsi="Calibri"/>
          <w:sz w:val="16"/>
          <w:szCs w:val="16"/>
        </w:rPr>
        <w:t xml:space="preserve"> Additional information about Dropbox is available at </w:t>
      </w:r>
      <w:hyperlink r:id="rId7" w:history="1">
        <w:r w:rsidRPr="00AC66B8">
          <w:rPr>
            <w:rStyle w:val="Hyperlink"/>
            <w:rFonts w:ascii="Calibri" w:hAnsi="Calibri"/>
            <w:sz w:val="16"/>
            <w:szCs w:val="16"/>
          </w:rPr>
          <w:t>http://www.getdropbox.com</w:t>
        </w:r>
      </w:hyperlink>
      <w:r w:rsidRPr="00AC66B8">
        <w:rPr>
          <w:rFonts w:ascii="Calibri" w:hAnsi="Calibri"/>
          <w:sz w:val="16"/>
          <w:szCs w:val="16"/>
        </w:rPr>
        <w:t xml:space="preserve">. </w:t>
      </w:r>
    </w:p>
  </w:footnote>
  <w:footnote w:id="13">
    <w:p w:rsidR="005226B6" w:rsidRPr="00B85C23" w:rsidRDefault="005226B6" w:rsidP="00B454FB">
      <w:pPr>
        <w:pStyle w:val="FootnoteText"/>
        <w:rPr>
          <w:rFonts w:ascii="Calibri" w:hAnsi="Calibri"/>
          <w:sz w:val="16"/>
          <w:szCs w:val="16"/>
        </w:rPr>
      </w:pPr>
      <w:r w:rsidRPr="00B85C23">
        <w:rPr>
          <w:rStyle w:val="FootnoteReference"/>
          <w:rFonts w:ascii="Calibri" w:hAnsi="Calibri"/>
          <w:sz w:val="16"/>
          <w:szCs w:val="16"/>
        </w:rPr>
        <w:footnoteRef/>
      </w:r>
      <w:r w:rsidRPr="00B85C23">
        <w:rPr>
          <w:rFonts w:ascii="Calibri" w:hAnsi="Calibri"/>
          <w:sz w:val="16"/>
          <w:szCs w:val="16"/>
        </w:rPr>
        <w:t xml:space="preserve"> “IEC” refers to information, education and communication.  The phrase “(including IEC)” was </w:t>
      </w:r>
      <w:r>
        <w:rPr>
          <w:rFonts w:ascii="Calibri" w:hAnsi="Calibri"/>
          <w:sz w:val="16"/>
          <w:szCs w:val="16"/>
        </w:rPr>
        <w:t xml:space="preserve">not </w:t>
      </w:r>
      <w:r w:rsidRPr="00B85C23">
        <w:rPr>
          <w:rFonts w:ascii="Calibri" w:hAnsi="Calibri"/>
          <w:sz w:val="16"/>
          <w:szCs w:val="16"/>
        </w:rPr>
        <w:t>included in the 200</w:t>
      </w:r>
      <w:r>
        <w:rPr>
          <w:rFonts w:ascii="Calibri" w:hAnsi="Calibri"/>
          <w:sz w:val="16"/>
          <w:szCs w:val="16"/>
        </w:rPr>
        <w:t>8</w:t>
      </w:r>
      <w:r w:rsidRPr="00B85C23">
        <w:rPr>
          <w:rFonts w:ascii="Calibri" w:hAnsi="Calibri"/>
          <w:sz w:val="16"/>
          <w:szCs w:val="16"/>
        </w:rPr>
        <w:t xml:space="preserve"> work plan</w:t>
      </w:r>
      <w:r>
        <w:rPr>
          <w:rFonts w:ascii="Calibri" w:hAnsi="Calibri"/>
          <w:sz w:val="16"/>
          <w:szCs w:val="16"/>
        </w:rPr>
        <w:t>.</w:t>
      </w:r>
    </w:p>
  </w:footnote>
  <w:footnote w:id="14">
    <w:p w:rsidR="005226B6" w:rsidRPr="008C2D14" w:rsidRDefault="005226B6" w:rsidP="00B454FB">
      <w:pPr>
        <w:pStyle w:val="FootnoteText"/>
        <w:rPr>
          <w:rFonts w:ascii="Calibri" w:hAnsi="Calibri"/>
          <w:sz w:val="16"/>
          <w:szCs w:val="16"/>
          <w:highlight w:val="magenta"/>
        </w:rPr>
      </w:pPr>
      <w:r w:rsidRPr="008C2D14">
        <w:rPr>
          <w:rStyle w:val="FootnoteReference"/>
          <w:rFonts w:ascii="Calibri" w:hAnsi="Calibri"/>
          <w:sz w:val="16"/>
          <w:szCs w:val="16"/>
        </w:rPr>
        <w:footnoteRef/>
      </w:r>
      <w:r w:rsidRPr="008C2D14">
        <w:rPr>
          <w:rFonts w:ascii="Calibri" w:hAnsi="Calibri"/>
          <w:sz w:val="16"/>
          <w:szCs w:val="16"/>
        </w:rPr>
        <w:t xml:space="preserve"> The World Health Organization Statistical Information System </w:t>
      </w:r>
      <w:r>
        <w:rPr>
          <w:rFonts w:ascii="Calibri" w:hAnsi="Calibri"/>
          <w:sz w:val="16"/>
          <w:szCs w:val="16"/>
        </w:rPr>
        <w:t xml:space="preserve">(available at </w:t>
      </w:r>
      <w:hyperlink r:id="rId8" w:history="1">
        <w:r w:rsidRPr="00067AD0">
          <w:rPr>
            <w:rStyle w:val="Hyperlink"/>
            <w:rFonts w:ascii="Calibri" w:hAnsi="Calibri"/>
            <w:sz w:val="16"/>
            <w:szCs w:val="16"/>
          </w:rPr>
          <w:t>http://www.who.int/whosis/en/</w:t>
        </w:r>
      </w:hyperlink>
      <w:r>
        <w:rPr>
          <w:rFonts w:ascii="Calibri" w:hAnsi="Calibri"/>
          <w:sz w:val="16"/>
          <w:szCs w:val="16"/>
        </w:rPr>
        <w:t xml:space="preserve">) </w:t>
      </w:r>
      <w:r w:rsidRPr="008C2D14">
        <w:rPr>
          <w:rFonts w:ascii="Calibri" w:hAnsi="Calibri"/>
          <w:sz w:val="16"/>
          <w:szCs w:val="16"/>
        </w:rPr>
        <w:t>reported an adult literacy rate of 48.6</w:t>
      </w:r>
      <w:r>
        <w:rPr>
          <w:rFonts w:ascii="Calibri" w:hAnsi="Calibri"/>
          <w:sz w:val="16"/>
          <w:szCs w:val="16"/>
        </w:rPr>
        <w:t xml:space="preserve"> </w:t>
      </w:r>
      <w:r w:rsidRPr="008C2D14">
        <w:rPr>
          <w:rFonts w:ascii="Calibri" w:hAnsi="Calibri"/>
          <w:sz w:val="16"/>
          <w:szCs w:val="16"/>
        </w:rPr>
        <w:t>% in 2001.</w:t>
      </w:r>
    </w:p>
  </w:footnote>
  <w:footnote w:id="15">
    <w:p w:rsidR="005226B6" w:rsidRPr="00C34B7E" w:rsidRDefault="005226B6" w:rsidP="00B454FB">
      <w:pPr>
        <w:pStyle w:val="FootnoteText"/>
        <w:rPr>
          <w:rFonts w:ascii="Calibri" w:hAnsi="Calibri"/>
          <w:sz w:val="16"/>
          <w:szCs w:val="16"/>
        </w:rPr>
      </w:pPr>
      <w:r w:rsidRPr="00C34B7E">
        <w:rPr>
          <w:rStyle w:val="FootnoteReference"/>
          <w:rFonts w:ascii="Calibri" w:hAnsi="Calibri"/>
          <w:sz w:val="16"/>
          <w:szCs w:val="16"/>
        </w:rPr>
        <w:footnoteRef/>
      </w:r>
      <w:r w:rsidRPr="00C34B7E">
        <w:rPr>
          <w:rFonts w:ascii="Calibri" w:hAnsi="Calibri"/>
          <w:sz w:val="16"/>
          <w:szCs w:val="16"/>
        </w:rPr>
        <w:t xml:space="preserve"> The sample included 180 Bhojpuri and 181 Nepali speakers; 177 males and 194 females</w:t>
      </w:r>
      <w:r>
        <w:rPr>
          <w:rFonts w:ascii="Calibri" w:hAnsi="Calibri"/>
          <w:sz w:val="16"/>
          <w:szCs w:val="16"/>
        </w:rPr>
        <w:t>;</w:t>
      </w:r>
      <w:r w:rsidRPr="00C34B7E">
        <w:rPr>
          <w:rFonts w:ascii="Calibri" w:hAnsi="Calibri"/>
          <w:sz w:val="16"/>
          <w:szCs w:val="16"/>
        </w:rPr>
        <w:t xml:space="preserve"> 191 adults and 180 children; </w:t>
      </w:r>
      <w:r>
        <w:rPr>
          <w:rFonts w:ascii="Calibri" w:hAnsi="Calibri"/>
          <w:sz w:val="16"/>
          <w:szCs w:val="16"/>
        </w:rPr>
        <w:t xml:space="preserve">and </w:t>
      </w:r>
      <w:r w:rsidRPr="00C34B7E">
        <w:rPr>
          <w:rFonts w:ascii="Calibri" w:hAnsi="Calibri"/>
          <w:sz w:val="16"/>
          <w:szCs w:val="16"/>
        </w:rPr>
        <w:t>85 illiterate individuals</w:t>
      </w:r>
      <w:r>
        <w:rPr>
          <w:rFonts w:ascii="Calibri" w:hAnsi="Calibri"/>
          <w:sz w:val="16"/>
          <w:szCs w:val="16"/>
        </w:rPr>
        <w:t>.</w:t>
      </w:r>
    </w:p>
  </w:footnote>
  <w:footnote w:id="16">
    <w:p w:rsidR="005226B6" w:rsidRPr="00A61BC4" w:rsidRDefault="005226B6" w:rsidP="00B454FB">
      <w:pPr>
        <w:pStyle w:val="FootnoteText"/>
        <w:rPr>
          <w:rFonts w:ascii="Calibri" w:hAnsi="Calibri"/>
          <w:sz w:val="16"/>
          <w:szCs w:val="16"/>
        </w:rPr>
      </w:pPr>
      <w:r w:rsidRPr="00A61BC4">
        <w:rPr>
          <w:rStyle w:val="FootnoteReference"/>
          <w:rFonts w:ascii="Calibri" w:hAnsi="Calibri"/>
          <w:sz w:val="16"/>
          <w:szCs w:val="16"/>
        </w:rPr>
        <w:footnoteRef/>
      </w:r>
      <w:r w:rsidRPr="00A61BC4">
        <w:rPr>
          <w:rFonts w:ascii="Calibri" w:hAnsi="Calibri"/>
          <w:sz w:val="16"/>
          <w:szCs w:val="16"/>
        </w:rPr>
        <w:t xml:space="preserve"> The phrase “child clubs” was not included in the 2008 work plan.</w:t>
      </w:r>
    </w:p>
  </w:footnote>
  <w:footnote w:id="17">
    <w:p w:rsidR="005226B6" w:rsidRPr="00C34B7E" w:rsidRDefault="005226B6" w:rsidP="00B454FB">
      <w:pPr>
        <w:pStyle w:val="FootnoteText"/>
        <w:rPr>
          <w:rFonts w:ascii="Calibri" w:hAnsi="Calibri"/>
          <w:sz w:val="16"/>
          <w:szCs w:val="16"/>
        </w:rPr>
      </w:pPr>
      <w:r w:rsidRPr="00C34B7E">
        <w:rPr>
          <w:rStyle w:val="FootnoteReference"/>
          <w:rFonts w:ascii="Calibri" w:hAnsi="Calibri"/>
          <w:sz w:val="16"/>
          <w:szCs w:val="16"/>
        </w:rPr>
        <w:footnoteRef/>
      </w:r>
      <w:r w:rsidRPr="00C34B7E">
        <w:rPr>
          <w:rFonts w:ascii="Calibri" w:hAnsi="Calibri"/>
          <w:sz w:val="16"/>
          <w:szCs w:val="16"/>
        </w:rPr>
        <w:t xml:space="preserve"> These highly affected districts were Bajhang, Bara, Dailekh, Dang, Dhanusha, Kailali, Kalikot, Kavre, Khotang, Mahottari, Morang, Nawalparasi, Palpa, Rautahat, Rolpa, Rukum, Rupandehi, Sarlahi, Sindhuli, and Surkhet.</w:t>
      </w:r>
    </w:p>
  </w:footnote>
  <w:footnote w:id="18">
    <w:p w:rsidR="005226B6" w:rsidRPr="00F242DE" w:rsidRDefault="005226B6">
      <w:pPr>
        <w:pStyle w:val="FootnoteText"/>
        <w:rPr>
          <w:rFonts w:ascii="Calibri" w:hAnsi="Calibri"/>
          <w:sz w:val="16"/>
          <w:szCs w:val="16"/>
        </w:rPr>
      </w:pPr>
      <w:r w:rsidRPr="00F242DE">
        <w:rPr>
          <w:rStyle w:val="FootnoteReference"/>
          <w:rFonts w:ascii="Calibri" w:hAnsi="Calibri"/>
          <w:sz w:val="16"/>
          <w:szCs w:val="16"/>
        </w:rPr>
        <w:footnoteRef/>
      </w:r>
      <w:r w:rsidRPr="00F242DE">
        <w:rPr>
          <w:rFonts w:ascii="Calibri" w:hAnsi="Calibri"/>
          <w:sz w:val="16"/>
          <w:szCs w:val="16"/>
        </w:rPr>
        <w:t xml:space="preserve"> </w:t>
      </w:r>
      <w:r>
        <w:rPr>
          <w:rFonts w:ascii="Calibri" w:hAnsi="Calibri"/>
          <w:sz w:val="16"/>
          <w:szCs w:val="16"/>
        </w:rPr>
        <w:t xml:space="preserve">Because private schools tend to be centrally located within districts, </w:t>
      </w:r>
      <w:r w:rsidRPr="00F242DE">
        <w:rPr>
          <w:rFonts w:ascii="Calibri" w:hAnsi="Calibri"/>
          <w:sz w:val="16"/>
          <w:szCs w:val="16"/>
        </w:rPr>
        <w:t xml:space="preserve">UNICEF MA personnel </w:t>
      </w:r>
      <w:r>
        <w:rPr>
          <w:rFonts w:ascii="Calibri" w:hAnsi="Calibri"/>
          <w:sz w:val="16"/>
          <w:szCs w:val="16"/>
        </w:rPr>
        <w:t xml:space="preserve">believe that private school students are at lower risk of injury.  For this reason, MRE activities </w:t>
      </w:r>
      <w:r w:rsidRPr="00F242DE">
        <w:rPr>
          <w:rFonts w:ascii="Calibri" w:hAnsi="Calibri"/>
          <w:sz w:val="16"/>
          <w:szCs w:val="16"/>
        </w:rPr>
        <w:t>have no</w:t>
      </w:r>
      <w:r>
        <w:rPr>
          <w:rFonts w:ascii="Calibri" w:hAnsi="Calibri"/>
          <w:sz w:val="16"/>
          <w:szCs w:val="16"/>
        </w:rPr>
        <w:t>t targeted any private schools</w:t>
      </w:r>
      <w:r w:rsidRPr="00F242DE">
        <w:rPr>
          <w:rFonts w:ascii="Calibri" w:hAnsi="Calibri"/>
          <w:sz w:val="16"/>
          <w:szCs w:val="16"/>
        </w:rPr>
        <w:t>.</w:t>
      </w:r>
    </w:p>
  </w:footnote>
  <w:footnote w:id="19">
    <w:p w:rsidR="005226B6" w:rsidRPr="00863B0E" w:rsidRDefault="005226B6" w:rsidP="00B454FB">
      <w:pPr>
        <w:pStyle w:val="FootnoteText"/>
        <w:rPr>
          <w:rFonts w:ascii="Calibri" w:hAnsi="Calibri"/>
          <w:sz w:val="16"/>
          <w:szCs w:val="16"/>
        </w:rPr>
      </w:pPr>
      <w:r w:rsidRPr="00863B0E">
        <w:rPr>
          <w:rStyle w:val="FootnoteReference"/>
          <w:rFonts w:ascii="Calibri" w:hAnsi="Calibri"/>
          <w:sz w:val="16"/>
          <w:szCs w:val="16"/>
        </w:rPr>
        <w:footnoteRef/>
      </w:r>
      <w:r w:rsidRPr="00863B0E">
        <w:rPr>
          <w:rFonts w:ascii="Calibri" w:hAnsi="Calibri"/>
          <w:sz w:val="16"/>
          <w:szCs w:val="16"/>
        </w:rPr>
        <w:t xml:space="preserve"> Additional information about </w:t>
      </w:r>
      <w:r w:rsidRPr="00863B0E">
        <w:rPr>
          <w:rFonts w:ascii="Calibri" w:eastAsia="Cambria" w:hAnsi="Calibri"/>
          <w:i/>
          <w:sz w:val="16"/>
          <w:szCs w:val="16"/>
        </w:rPr>
        <w:t>Saathi Sanga Man Ka Kura</w:t>
      </w:r>
      <w:r w:rsidRPr="00863B0E">
        <w:rPr>
          <w:rFonts w:ascii="Calibri" w:hAnsi="Calibri"/>
          <w:sz w:val="16"/>
          <w:szCs w:val="16"/>
        </w:rPr>
        <w:t xml:space="preserve"> is available at </w:t>
      </w:r>
      <w:hyperlink r:id="rId9" w:history="1">
        <w:r w:rsidRPr="00863B0E">
          <w:rPr>
            <w:rStyle w:val="Hyperlink"/>
            <w:rFonts w:ascii="Calibri" w:hAnsi="Calibri"/>
            <w:sz w:val="16"/>
            <w:szCs w:val="16"/>
          </w:rPr>
          <w:t>http://www.ssmk.org/about-us</w:t>
        </w:r>
      </w:hyperlink>
      <w:r w:rsidRPr="00863B0E">
        <w:rPr>
          <w:rFonts w:ascii="Calibri" w:hAnsi="Calibri"/>
          <w:sz w:val="16"/>
          <w:szCs w:val="16"/>
        </w:rPr>
        <w:t>.</w:t>
      </w:r>
    </w:p>
  </w:footnote>
  <w:footnote w:id="20">
    <w:p w:rsidR="005226B6" w:rsidRPr="006317A0" w:rsidRDefault="005226B6" w:rsidP="00B454FB">
      <w:pPr>
        <w:pStyle w:val="FootnoteText"/>
        <w:rPr>
          <w:rFonts w:ascii="Calibri" w:hAnsi="Calibri"/>
          <w:sz w:val="16"/>
          <w:szCs w:val="16"/>
        </w:rPr>
      </w:pPr>
      <w:r w:rsidRPr="006317A0">
        <w:rPr>
          <w:rStyle w:val="FootnoteReference"/>
          <w:rFonts w:ascii="Calibri" w:hAnsi="Calibri"/>
          <w:sz w:val="16"/>
          <w:szCs w:val="16"/>
        </w:rPr>
        <w:footnoteRef/>
      </w:r>
      <w:r w:rsidRPr="006317A0">
        <w:rPr>
          <w:rFonts w:ascii="Calibri" w:hAnsi="Calibri"/>
          <w:sz w:val="16"/>
          <w:szCs w:val="16"/>
        </w:rPr>
        <w:t xml:space="preserve"> “MoE” refers to the Ministry of Education (MOE).  The DOE (rather than the MOE) is UNICEF’s main implementing partner for systematic MRE conducted in schools.</w:t>
      </w:r>
    </w:p>
  </w:footnote>
  <w:footnote w:id="21">
    <w:p w:rsidR="005226B6" w:rsidRPr="005D028A" w:rsidRDefault="005226B6">
      <w:pPr>
        <w:pStyle w:val="FootnoteText"/>
        <w:rPr>
          <w:rFonts w:ascii="Calibri" w:hAnsi="Calibri"/>
          <w:sz w:val="16"/>
          <w:szCs w:val="16"/>
        </w:rPr>
      </w:pPr>
      <w:r w:rsidRPr="005D028A">
        <w:rPr>
          <w:rStyle w:val="FootnoteReference"/>
          <w:rFonts w:ascii="Calibri" w:hAnsi="Calibri"/>
          <w:sz w:val="16"/>
          <w:szCs w:val="16"/>
        </w:rPr>
        <w:footnoteRef/>
      </w:r>
      <w:r w:rsidRPr="005D028A">
        <w:rPr>
          <w:rFonts w:ascii="Calibri" w:hAnsi="Calibri"/>
          <w:sz w:val="16"/>
          <w:szCs w:val="16"/>
        </w:rPr>
        <w:t xml:space="preserve"> All monitoring forms used in the field are in Nepali; English versions are appended to this report.</w:t>
      </w:r>
    </w:p>
  </w:footnote>
  <w:footnote w:id="22">
    <w:p w:rsidR="005226B6" w:rsidRPr="003B234F" w:rsidRDefault="005226B6" w:rsidP="00B454FB">
      <w:pPr>
        <w:pStyle w:val="FootnoteText"/>
        <w:rPr>
          <w:rFonts w:ascii="Calibri" w:hAnsi="Calibri"/>
          <w:sz w:val="16"/>
          <w:szCs w:val="16"/>
        </w:rPr>
      </w:pPr>
      <w:r w:rsidRPr="003B234F">
        <w:rPr>
          <w:rStyle w:val="FootnoteReference"/>
          <w:rFonts w:ascii="Calibri" w:hAnsi="Calibri"/>
          <w:sz w:val="16"/>
          <w:szCs w:val="16"/>
        </w:rPr>
        <w:footnoteRef/>
      </w:r>
      <w:r w:rsidRPr="003B234F">
        <w:rPr>
          <w:rFonts w:ascii="Calibri" w:hAnsi="Calibri"/>
          <w:sz w:val="16"/>
          <w:szCs w:val="16"/>
        </w:rPr>
        <w:t xml:space="preserve"> Some short (5- to 30-minute) </w:t>
      </w:r>
      <w:r>
        <w:rPr>
          <w:rFonts w:ascii="Calibri" w:hAnsi="Calibri"/>
          <w:sz w:val="16"/>
          <w:szCs w:val="16"/>
        </w:rPr>
        <w:t>MRE sessions</w:t>
      </w:r>
      <w:r w:rsidRPr="003B234F">
        <w:rPr>
          <w:rFonts w:ascii="Calibri" w:hAnsi="Calibri"/>
          <w:sz w:val="16"/>
          <w:szCs w:val="16"/>
        </w:rPr>
        <w:t xml:space="preserve"> focus on the most important MRE messages and are referred to as “orientations”; UNICEF MA personnel believe tha</w:t>
      </w:r>
      <w:r>
        <w:rPr>
          <w:rFonts w:ascii="Calibri" w:hAnsi="Calibri"/>
          <w:sz w:val="16"/>
          <w:szCs w:val="16"/>
        </w:rPr>
        <w:t>t using this term</w:t>
      </w:r>
      <w:r w:rsidRPr="003B234F">
        <w:rPr>
          <w:rFonts w:ascii="Calibri" w:hAnsi="Calibri"/>
          <w:sz w:val="16"/>
          <w:szCs w:val="16"/>
        </w:rPr>
        <w:t xml:space="preserve"> may encourage participation from individuals who feel that they cannot spare the time for longer trainings.</w:t>
      </w:r>
    </w:p>
  </w:footnote>
  <w:footnote w:id="23">
    <w:p w:rsidR="005226B6" w:rsidRPr="00717E42" w:rsidRDefault="005226B6">
      <w:pPr>
        <w:pStyle w:val="FootnoteText"/>
        <w:rPr>
          <w:rFonts w:ascii="Calibri" w:hAnsi="Calibri"/>
          <w:sz w:val="16"/>
          <w:szCs w:val="16"/>
        </w:rPr>
      </w:pPr>
      <w:r w:rsidRPr="00717E42">
        <w:rPr>
          <w:rStyle w:val="FootnoteReference"/>
          <w:rFonts w:ascii="Calibri" w:hAnsi="Calibri"/>
          <w:sz w:val="16"/>
          <w:szCs w:val="16"/>
        </w:rPr>
        <w:footnoteRef/>
      </w:r>
      <w:r w:rsidRPr="00717E42">
        <w:rPr>
          <w:rFonts w:ascii="Calibri" w:hAnsi="Calibri"/>
          <w:sz w:val="16"/>
          <w:szCs w:val="16"/>
        </w:rPr>
        <w:t xml:space="preserve"> According to the World Health Organization Statistical Information System</w:t>
      </w:r>
      <w:r>
        <w:rPr>
          <w:rFonts w:ascii="Calibri" w:hAnsi="Calibri"/>
          <w:sz w:val="16"/>
          <w:szCs w:val="16"/>
        </w:rPr>
        <w:t xml:space="preserve"> (available at </w:t>
      </w:r>
      <w:hyperlink r:id="rId10" w:history="1">
        <w:r w:rsidRPr="00067AD0">
          <w:rPr>
            <w:rStyle w:val="Hyperlink"/>
            <w:rFonts w:ascii="Calibri" w:hAnsi="Calibri"/>
            <w:sz w:val="16"/>
            <w:szCs w:val="16"/>
          </w:rPr>
          <w:t>http://www.who.int/whosis/en/</w:t>
        </w:r>
      </w:hyperlink>
      <w:r>
        <w:rPr>
          <w:rFonts w:ascii="Calibri" w:hAnsi="Calibri"/>
          <w:sz w:val="16"/>
          <w:szCs w:val="16"/>
        </w:rPr>
        <w:t>)</w:t>
      </w:r>
      <w:r w:rsidRPr="00717E42">
        <w:rPr>
          <w:rFonts w:ascii="Calibri" w:hAnsi="Calibri"/>
          <w:sz w:val="16"/>
          <w:szCs w:val="16"/>
        </w:rPr>
        <w:t>, net primary school enrollment was 84 % among males and 74 % among females in 2004.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3132"/>
    <w:multiLevelType w:val="hybridMultilevel"/>
    <w:tmpl w:val="13C2476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46A7B25"/>
    <w:multiLevelType w:val="hybridMultilevel"/>
    <w:tmpl w:val="770A51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48101E5"/>
    <w:multiLevelType w:val="hybridMultilevel"/>
    <w:tmpl w:val="9EB27E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58B4C1E"/>
    <w:multiLevelType w:val="hybridMultilevel"/>
    <w:tmpl w:val="9B3248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59D75F0"/>
    <w:multiLevelType w:val="hybridMultilevel"/>
    <w:tmpl w:val="9A6CA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5E670CA"/>
    <w:multiLevelType w:val="hybridMultilevel"/>
    <w:tmpl w:val="A7342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5FE0C22"/>
    <w:multiLevelType w:val="hybridMultilevel"/>
    <w:tmpl w:val="023E7432"/>
    <w:lvl w:ilvl="0" w:tplc="3D0A20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C20E7B"/>
    <w:multiLevelType w:val="hybridMultilevel"/>
    <w:tmpl w:val="5148C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972C03"/>
    <w:multiLevelType w:val="hybridMultilevel"/>
    <w:tmpl w:val="4010F35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D385212"/>
    <w:multiLevelType w:val="multilevel"/>
    <w:tmpl w:val="120E0C1C"/>
    <w:lvl w:ilvl="0">
      <w:start w:val="2"/>
      <w:numFmt w:val="upperRoman"/>
      <w:pStyle w:val="Heading1"/>
      <w:lvlText w:val="%1."/>
      <w:lvlJc w:val="left"/>
      <w:pPr>
        <w:ind w:left="0"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sz w:val="20"/>
        <w:szCs w:val="20"/>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0">
    <w:nsid w:val="0DB347BF"/>
    <w:multiLevelType w:val="hybridMultilevel"/>
    <w:tmpl w:val="4E381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861058"/>
    <w:multiLevelType w:val="hybridMultilevel"/>
    <w:tmpl w:val="6C405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10C30E1"/>
    <w:multiLevelType w:val="hybridMultilevel"/>
    <w:tmpl w:val="C6AE8B46"/>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111A4A94"/>
    <w:multiLevelType w:val="hybridMultilevel"/>
    <w:tmpl w:val="3CC83E4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1162062C"/>
    <w:multiLevelType w:val="hybridMultilevel"/>
    <w:tmpl w:val="EF0C2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1981B64"/>
    <w:multiLevelType w:val="hybridMultilevel"/>
    <w:tmpl w:val="EFC62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31D6752"/>
    <w:multiLevelType w:val="hybridMultilevel"/>
    <w:tmpl w:val="0F8005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5117138"/>
    <w:multiLevelType w:val="hybridMultilevel"/>
    <w:tmpl w:val="C1E642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43C68AF8">
      <w:start w:val="1"/>
      <w:numFmt w:val="decimal"/>
      <w:lvlText w:val="%3."/>
      <w:lvlJc w:val="left"/>
      <w:pPr>
        <w:tabs>
          <w:tab w:val="num" w:pos="2160"/>
        </w:tabs>
        <w:ind w:left="2160" w:hanging="360"/>
      </w:pPr>
      <w:rPr>
        <w:rFont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5145F1A"/>
    <w:multiLevelType w:val="hybridMultilevel"/>
    <w:tmpl w:val="E110D73A"/>
    <w:lvl w:ilvl="0" w:tplc="58AC5664">
      <w:start w:val="1"/>
      <w:numFmt w:val="decimal"/>
      <w:lvlText w:val="%1)"/>
      <w:lvlJc w:val="left"/>
      <w:pPr>
        <w:ind w:left="504" w:hanging="360"/>
      </w:pPr>
      <w:rPr>
        <w:b w:val="0"/>
      </w:rPr>
    </w:lvl>
    <w:lvl w:ilvl="1" w:tplc="04090019">
      <w:start w:val="1"/>
      <w:numFmt w:val="decimal"/>
      <w:lvlText w:val="%2."/>
      <w:lvlJc w:val="left"/>
      <w:pPr>
        <w:tabs>
          <w:tab w:val="num" w:pos="864"/>
        </w:tabs>
        <w:ind w:left="864" w:hanging="360"/>
      </w:pPr>
    </w:lvl>
    <w:lvl w:ilvl="2" w:tplc="0409001B">
      <w:start w:val="1"/>
      <w:numFmt w:val="decimal"/>
      <w:lvlText w:val="%3."/>
      <w:lvlJc w:val="left"/>
      <w:pPr>
        <w:tabs>
          <w:tab w:val="num" w:pos="1584"/>
        </w:tabs>
        <w:ind w:left="1584" w:hanging="360"/>
      </w:pPr>
    </w:lvl>
    <w:lvl w:ilvl="3" w:tplc="0409000F">
      <w:start w:val="1"/>
      <w:numFmt w:val="decimal"/>
      <w:lvlText w:val="%4."/>
      <w:lvlJc w:val="left"/>
      <w:pPr>
        <w:tabs>
          <w:tab w:val="num" w:pos="2304"/>
        </w:tabs>
        <w:ind w:left="2304" w:hanging="360"/>
      </w:pPr>
    </w:lvl>
    <w:lvl w:ilvl="4" w:tplc="04090019">
      <w:start w:val="1"/>
      <w:numFmt w:val="decimal"/>
      <w:lvlText w:val="%5."/>
      <w:lvlJc w:val="left"/>
      <w:pPr>
        <w:tabs>
          <w:tab w:val="num" w:pos="3024"/>
        </w:tabs>
        <w:ind w:left="3024" w:hanging="360"/>
      </w:pPr>
    </w:lvl>
    <w:lvl w:ilvl="5" w:tplc="0409001B">
      <w:start w:val="1"/>
      <w:numFmt w:val="decimal"/>
      <w:lvlText w:val="%6."/>
      <w:lvlJc w:val="left"/>
      <w:pPr>
        <w:tabs>
          <w:tab w:val="num" w:pos="3744"/>
        </w:tabs>
        <w:ind w:left="3744" w:hanging="360"/>
      </w:pPr>
    </w:lvl>
    <w:lvl w:ilvl="6" w:tplc="0409000F">
      <w:start w:val="1"/>
      <w:numFmt w:val="decimal"/>
      <w:lvlText w:val="%7."/>
      <w:lvlJc w:val="left"/>
      <w:pPr>
        <w:tabs>
          <w:tab w:val="num" w:pos="4464"/>
        </w:tabs>
        <w:ind w:left="4464" w:hanging="360"/>
      </w:pPr>
    </w:lvl>
    <w:lvl w:ilvl="7" w:tplc="04090019">
      <w:start w:val="1"/>
      <w:numFmt w:val="decimal"/>
      <w:lvlText w:val="%8."/>
      <w:lvlJc w:val="left"/>
      <w:pPr>
        <w:tabs>
          <w:tab w:val="num" w:pos="5184"/>
        </w:tabs>
        <w:ind w:left="5184" w:hanging="360"/>
      </w:pPr>
    </w:lvl>
    <w:lvl w:ilvl="8" w:tplc="0409001B">
      <w:start w:val="1"/>
      <w:numFmt w:val="decimal"/>
      <w:lvlText w:val="%9."/>
      <w:lvlJc w:val="left"/>
      <w:pPr>
        <w:tabs>
          <w:tab w:val="num" w:pos="5904"/>
        </w:tabs>
        <w:ind w:left="5904" w:hanging="360"/>
      </w:pPr>
    </w:lvl>
  </w:abstractNum>
  <w:abstractNum w:abstractNumId="19">
    <w:nsid w:val="15935091"/>
    <w:multiLevelType w:val="hybridMultilevel"/>
    <w:tmpl w:val="3D50834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17612B1F"/>
    <w:multiLevelType w:val="hybridMultilevel"/>
    <w:tmpl w:val="125240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1BA37452"/>
    <w:multiLevelType w:val="hybridMultilevel"/>
    <w:tmpl w:val="9F062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DDB00AB"/>
    <w:multiLevelType w:val="hybridMultilevel"/>
    <w:tmpl w:val="A0E4E97C"/>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1F19285D"/>
    <w:multiLevelType w:val="hybridMultilevel"/>
    <w:tmpl w:val="43D227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1F606EE8"/>
    <w:multiLevelType w:val="hybridMultilevel"/>
    <w:tmpl w:val="044E9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32508DB"/>
    <w:multiLevelType w:val="hybridMultilevel"/>
    <w:tmpl w:val="BF78F1C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24F03440"/>
    <w:multiLevelType w:val="hybridMultilevel"/>
    <w:tmpl w:val="5C0ED9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60262FC"/>
    <w:multiLevelType w:val="hybridMultilevel"/>
    <w:tmpl w:val="62084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297D04"/>
    <w:multiLevelType w:val="hybridMultilevel"/>
    <w:tmpl w:val="36BEA4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C41DED"/>
    <w:multiLevelType w:val="hybridMultilevel"/>
    <w:tmpl w:val="7796274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2AF83730"/>
    <w:multiLevelType w:val="hybridMultilevel"/>
    <w:tmpl w:val="F7D691B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2B993E63"/>
    <w:multiLevelType w:val="hybridMultilevel"/>
    <w:tmpl w:val="4246FD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2C87778E"/>
    <w:multiLevelType w:val="hybridMultilevel"/>
    <w:tmpl w:val="A4EEE3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DE13B88"/>
    <w:multiLevelType w:val="hybridMultilevel"/>
    <w:tmpl w:val="23782C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304209BF"/>
    <w:multiLevelType w:val="hybridMultilevel"/>
    <w:tmpl w:val="3760E3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3118210A"/>
    <w:multiLevelType w:val="hybridMultilevel"/>
    <w:tmpl w:val="88BE6624"/>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31A94FF4"/>
    <w:multiLevelType w:val="hybridMultilevel"/>
    <w:tmpl w:val="094E3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3284EB4"/>
    <w:multiLevelType w:val="hybridMultilevel"/>
    <w:tmpl w:val="4034A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4A856E4"/>
    <w:multiLevelType w:val="hybridMultilevel"/>
    <w:tmpl w:val="4524C32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3549667B"/>
    <w:multiLevelType w:val="hybridMultilevel"/>
    <w:tmpl w:val="935217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393C7B7D"/>
    <w:multiLevelType w:val="hybridMultilevel"/>
    <w:tmpl w:val="69AA2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9B16E93"/>
    <w:multiLevelType w:val="hybridMultilevel"/>
    <w:tmpl w:val="BE0425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3CA0006A"/>
    <w:multiLevelType w:val="hybridMultilevel"/>
    <w:tmpl w:val="0CB613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405A03D8"/>
    <w:multiLevelType w:val="hybridMultilevel"/>
    <w:tmpl w:val="2ACAE466"/>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nsid w:val="40C91205"/>
    <w:multiLevelType w:val="hybridMultilevel"/>
    <w:tmpl w:val="E02ED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144173F"/>
    <w:multiLevelType w:val="hybridMultilevel"/>
    <w:tmpl w:val="FB0EEB8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42D532B2"/>
    <w:multiLevelType w:val="hybridMultilevel"/>
    <w:tmpl w:val="13448B7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43CE6D3D"/>
    <w:multiLevelType w:val="hybridMultilevel"/>
    <w:tmpl w:val="F46A5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45F473D5"/>
    <w:multiLevelType w:val="hybridMultilevel"/>
    <w:tmpl w:val="D61805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6950811"/>
    <w:multiLevelType w:val="hybridMultilevel"/>
    <w:tmpl w:val="D0B64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1B58E8"/>
    <w:multiLevelType w:val="hybridMultilevel"/>
    <w:tmpl w:val="00309F3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49B02090"/>
    <w:multiLevelType w:val="hybridMultilevel"/>
    <w:tmpl w:val="E8EC4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9EC1F01"/>
    <w:multiLevelType w:val="hybridMultilevel"/>
    <w:tmpl w:val="4574E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A2C31BE"/>
    <w:multiLevelType w:val="hybridMultilevel"/>
    <w:tmpl w:val="EBF825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4A7D6DA3"/>
    <w:multiLevelType w:val="hybridMultilevel"/>
    <w:tmpl w:val="C0BC7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4B1652E3"/>
    <w:multiLevelType w:val="hybridMultilevel"/>
    <w:tmpl w:val="0DD61C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4BC80464"/>
    <w:multiLevelType w:val="hybridMultilevel"/>
    <w:tmpl w:val="E8E2ED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nsid w:val="4C285807"/>
    <w:multiLevelType w:val="hybridMultilevel"/>
    <w:tmpl w:val="BD449236"/>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4C6926DF"/>
    <w:multiLevelType w:val="hybridMultilevel"/>
    <w:tmpl w:val="C2689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4D155841"/>
    <w:multiLevelType w:val="hybridMultilevel"/>
    <w:tmpl w:val="F8509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06B698D"/>
    <w:multiLevelType w:val="hybridMultilevel"/>
    <w:tmpl w:val="ADC624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bullet"/>
      <w:lvlText w:val=""/>
      <w:lvlJc w:val="left"/>
      <w:pPr>
        <w:ind w:left="180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1">
    <w:nsid w:val="51E16D93"/>
    <w:multiLevelType w:val="hybridMultilevel"/>
    <w:tmpl w:val="F1FAB59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nsid w:val="52DA4C6D"/>
    <w:multiLevelType w:val="hybridMultilevel"/>
    <w:tmpl w:val="7ECA86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3D2727D"/>
    <w:multiLevelType w:val="hybridMultilevel"/>
    <w:tmpl w:val="EE52745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
    <w:nsid w:val="55073D70"/>
    <w:multiLevelType w:val="hybridMultilevel"/>
    <w:tmpl w:val="41C8272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5">
    <w:nsid w:val="59111F03"/>
    <w:multiLevelType w:val="hybridMultilevel"/>
    <w:tmpl w:val="D79898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594F6B7B"/>
    <w:multiLevelType w:val="hybridMultilevel"/>
    <w:tmpl w:val="4440E0F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nsid w:val="5A2918E7"/>
    <w:multiLevelType w:val="hybridMultilevel"/>
    <w:tmpl w:val="52CAAAB4"/>
    <w:lvl w:ilvl="0" w:tplc="4F8077B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B3968E4"/>
    <w:multiLevelType w:val="hybridMultilevel"/>
    <w:tmpl w:val="812C1A2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nsid w:val="5BC27E2F"/>
    <w:multiLevelType w:val="hybridMultilevel"/>
    <w:tmpl w:val="4574E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C4B037F"/>
    <w:multiLevelType w:val="hybridMultilevel"/>
    <w:tmpl w:val="B19420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1">
    <w:nsid w:val="5D426A9A"/>
    <w:multiLevelType w:val="hybridMultilevel"/>
    <w:tmpl w:val="C9BCBD48"/>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2">
    <w:nsid w:val="5E07006D"/>
    <w:multiLevelType w:val="hybridMultilevel"/>
    <w:tmpl w:val="F3B038D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nsid w:val="5E425A51"/>
    <w:multiLevelType w:val="hybridMultilevel"/>
    <w:tmpl w:val="23EED7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5EBC2390"/>
    <w:multiLevelType w:val="hybridMultilevel"/>
    <w:tmpl w:val="2DCA14F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5">
    <w:nsid w:val="601D7DAD"/>
    <w:multiLevelType w:val="hybridMultilevel"/>
    <w:tmpl w:val="BFF226E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6">
    <w:nsid w:val="60C11458"/>
    <w:multiLevelType w:val="hybridMultilevel"/>
    <w:tmpl w:val="3AF649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61DE5B36"/>
    <w:multiLevelType w:val="hybridMultilevel"/>
    <w:tmpl w:val="0106AF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21C1209"/>
    <w:multiLevelType w:val="hybridMultilevel"/>
    <w:tmpl w:val="10AAB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62AF11E7"/>
    <w:multiLevelType w:val="hybridMultilevel"/>
    <w:tmpl w:val="07AA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2DB3E1A"/>
    <w:multiLevelType w:val="hybridMultilevel"/>
    <w:tmpl w:val="F5F20010"/>
    <w:lvl w:ilvl="0" w:tplc="04090011">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63905D65"/>
    <w:multiLevelType w:val="hybridMultilevel"/>
    <w:tmpl w:val="613EF99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2">
    <w:nsid w:val="65BF2A06"/>
    <w:multiLevelType w:val="hybridMultilevel"/>
    <w:tmpl w:val="D56E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6284C81"/>
    <w:multiLevelType w:val="hybridMultilevel"/>
    <w:tmpl w:val="46A0E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66CA13A8"/>
    <w:multiLevelType w:val="hybridMultilevel"/>
    <w:tmpl w:val="734A4DC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5">
    <w:nsid w:val="676B4758"/>
    <w:multiLevelType w:val="hybridMultilevel"/>
    <w:tmpl w:val="57167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679A5871"/>
    <w:multiLevelType w:val="hybridMultilevel"/>
    <w:tmpl w:val="7D187B7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7">
    <w:nsid w:val="67B26794"/>
    <w:multiLevelType w:val="hybridMultilevel"/>
    <w:tmpl w:val="BF1E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B2534AB"/>
    <w:multiLevelType w:val="hybridMultilevel"/>
    <w:tmpl w:val="3BD248A4"/>
    <w:lvl w:ilvl="0" w:tplc="1906571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DB217BB"/>
    <w:multiLevelType w:val="hybridMultilevel"/>
    <w:tmpl w:val="6E0AF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6DEF4AC6"/>
    <w:multiLevelType w:val="hybridMultilevel"/>
    <w:tmpl w:val="83DADA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711F7EF3"/>
    <w:multiLevelType w:val="hybridMultilevel"/>
    <w:tmpl w:val="168C4C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729D47D4"/>
    <w:multiLevelType w:val="hybridMultilevel"/>
    <w:tmpl w:val="984E6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77316E8A"/>
    <w:multiLevelType w:val="hybridMultilevel"/>
    <w:tmpl w:val="E9D64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1"/>
  </w:num>
  <w:num w:numId="2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0"/>
  </w:num>
  <w:num w:numId="44">
    <w:abstractNumId w:val="11"/>
  </w:num>
  <w:num w:numId="45">
    <w:abstractNumId w:val="8"/>
  </w:num>
  <w:num w:numId="46">
    <w:abstractNumId w:val="62"/>
  </w:num>
  <w:num w:numId="47">
    <w:abstractNumId w:val="88"/>
  </w:num>
  <w:num w:numId="48">
    <w:abstractNumId w:val="51"/>
  </w:num>
  <w:num w:numId="49">
    <w:abstractNumId w:val="6"/>
  </w:num>
  <w:num w:numId="50">
    <w:abstractNumId w:val="67"/>
  </w:num>
  <w:num w:numId="51">
    <w:abstractNumId w:val="49"/>
  </w:num>
  <w:num w:numId="52">
    <w:abstractNumId w:val="37"/>
  </w:num>
  <w:num w:numId="53">
    <w:abstractNumId w:val="85"/>
  </w:num>
  <w:num w:numId="54">
    <w:abstractNumId w:val="73"/>
  </w:num>
  <w:num w:numId="55">
    <w:abstractNumId w:val="15"/>
  </w:num>
  <w:num w:numId="56">
    <w:abstractNumId w:val="39"/>
  </w:num>
  <w:num w:numId="57">
    <w:abstractNumId w:val="44"/>
  </w:num>
  <w:num w:numId="58">
    <w:abstractNumId w:val="82"/>
  </w:num>
  <w:num w:numId="59">
    <w:abstractNumId w:val="10"/>
  </w:num>
  <w:num w:numId="60">
    <w:abstractNumId w:val="79"/>
  </w:num>
  <w:num w:numId="61">
    <w:abstractNumId w:val="40"/>
  </w:num>
  <w:num w:numId="62">
    <w:abstractNumId w:val="53"/>
  </w:num>
  <w:num w:numId="63">
    <w:abstractNumId w:val="78"/>
  </w:num>
  <w:num w:numId="64">
    <w:abstractNumId w:val="47"/>
  </w:num>
  <w:num w:numId="65">
    <w:abstractNumId w:val="76"/>
  </w:num>
  <w:num w:numId="66">
    <w:abstractNumId w:val="54"/>
  </w:num>
  <w:num w:numId="67">
    <w:abstractNumId w:val="26"/>
  </w:num>
  <w:num w:numId="68">
    <w:abstractNumId w:val="36"/>
  </w:num>
  <w:num w:numId="69">
    <w:abstractNumId w:val="89"/>
  </w:num>
  <w:num w:numId="70">
    <w:abstractNumId w:val="5"/>
  </w:num>
  <w:num w:numId="71">
    <w:abstractNumId w:val="65"/>
  </w:num>
  <w:num w:numId="72">
    <w:abstractNumId w:val="32"/>
  </w:num>
  <w:num w:numId="73">
    <w:abstractNumId w:val="24"/>
  </w:num>
  <w:num w:numId="74">
    <w:abstractNumId w:val="28"/>
  </w:num>
  <w:num w:numId="75">
    <w:abstractNumId w:val="27"/>
  </w:num>
  <w:num w:numId="76">
    <w:abstractNumId w:val="21"/>
  </w:num>
  <w:num w:numId="77">
    <w:abstractNumId w:val="14"/>
  </w:num>
  <w:num w:numId="78">
    <w:abstractNumId w:val="69"/>
  </w:num>
  <w:num w:numId="79">
    <w:abstractNumId w:val="52"/>
  </w:num>
  <w:num w:numId="80">
    <w:abstractNumId w:val="41"/>
  </w:num>
  <w:num w:numId="81">
    <w:abstractNumId w:val="92"/>
  </w:num>
  <w:num w:numId="82">
    <w:abstractNumId w:val="48"/>
  </w:num>
  <w:num w:numId="83">
    <w:abstractNumId w:val="58"/>
  </w:num>
  <w:num w:numId="84">
    <w:abstractNumId w:val="7"/>
  </w:num>
  <w:num w:numId="85">
    <w:abstractNumId w:val="93"/>
  </w:num>
  <w:num w:numId="86">
    <w:abstractNumId w:val="83"/>
  </w:num>
  <w:num w:numId="87">
    <w:abstractNumId w:val="91"/>
  </w:num>
  <w:num w:numId="88">
    <w:abstractNumId w:val="59"/>
  </w:num>
  <w:num w:numId="89">
    <w:abstractNumId w:val="90"/>
  </w:num>
  <w:num w:numId="90">
    <w:abstractNumId w:val="77"/>
  </w:num>
  <w:num w:numId="91">
    <w:abstractNumId w:val="16"/>
  </w:num>
  <w:num w:numId="92">
    <w:abstractNumId w:val="55"/>
  </w:num>
  <w:num w:numId="93">
    <w:abstractNumId w:val="4"/>
  </w:num>
  <w:num w:numId="94">
    <w:abstractNumId w:val="8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4"/>
  <w:hyphenationZone w:val="425"/>
  <w:drawingGridHorizontalSpacing w:val="120"/>
  <w:displayHorizontalDrawingGridEvery w:val="2"/>
  <w:characterSpacingControl w:val="doNotCompress"/>
  <w:hdrShapeDefaults>
    <o:shapedefaults v:ext="edit" spidmax="2049"/>
  </w:hdrShapeDefaults>
  <w:footnotePr>
    <w:numFmt w:val="lowerRoman"/>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EB2"/>
    <w:rsid w:val="00024565"/>
    <w:rsid w:val="000E1D07"/>
    <w:rsid w:val="000F38EC"/>
    <w:rsid w:val="00103954"/>
    <w:rsid w:val="00197F0B"/>
    <w:rsid w:val="00327ABA"/>
    <w:rsid w:val="00364D71"/>
    <w:rsid w:val="003C25FD"/>
    <w:rsid w:val="003C5C31"/>
    <w:rsid w:val="00407A28"/>
    <w:rsid w:val="00411383"/>
    <w:rsid w:val="005226B6"/>
    <w:rsid w:val="005243F1"/>
    <w:rsid w:val="0069131C"/>
    <w:rsid w:val="006E411E"/>
    <w:rsid w:val="007F4EB2"/>
    <w:rsid w:val="008C6A74"/>
    <w:rsid w:val="008C78B9"/>
    <w:rsid w:val="008F4A2A"/>
    <w:rsid w:val="00A6783B"/>
    <w:rsid w:val="00B35389"/>
    <w:rsid w:val="00B454FB"/>
    <w:rsid w:val="00B84185"/>
    <w:rsid w:val="00B933FB"/>
    <w:rsid w:val="00BE312A"/>
    <w:rsid w:val="00C416BA"/>
    <w:rsid w:val="00C44309"/>
    <w:rsid w:val="00C84344"/>
    <w:rsid w:val="00CC57C3"/>
    <w:rsid w:val="00DF37D4"/>
    <w:rsid w:val="00E61047"/>
    <w:rsid w:val="00ED27D3"/>
    <w:rsid w:val="00F64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EB2"/>
    <w:rPr>
      <w:rFonts w:ascii="Times New Roman" w:eastAsia="Times New Roman" w:hAnsi="Times New Roman"/>
      <w:sz w:val="24"/>
      <w:szCs w:val="24"/>
    </w:rPr>
  </w:style>
  <w:style w:type="paragraph" w:styleId="Heading1">
    <w:name w:val="heading 1"/>
    <w:basedOn w:val="Normal"/>
    <w:next w:val="Normal"/>
    <w:link w:val="Heading1Char"/>
    <w:uiPriority w:val="9"/>
    <w:qFormat/>
    <w:rsid w:val="008462F3"/>
    <w:pPr>
      <w:keepNext/>
      <w:keepLines/>
      <w:numPr>
        <w:numId w:val="1"/>
      </w:numPr>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8462F3"/>
    <w:pPr>
      <w:keepNext/>
      <w:keepLines/>
      <w:numPr>
        <w:ilvl w:val="1"/>
        <w:numId w:val="1"/>
      </w:numPr>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8462F3"/>
    <w:pPr>
      <w:keepNext/>
      <w:keepLines/>
      <w:numPr>
        <w:ilvl w:val="2"/>
        <w:numId w:val="1"/>
      </w:numPr>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8462F3"/>
    <w:pPr>
      <w:keepNext/>
      <w:keepLines/>
      <w:numPr>
        <w:ilvl w:val="3"/>
        <w:numId w:val="1"/>
      </w:numPr>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8462F3"/>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uiPriority w:val="9"/>
    <w:qFormat/>
    <w:rsid w:val="008462F3"/>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iPriority w:val="9"/>
    <w:qFormat/>
    <w:rsid w:val="008462F3"/>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qFormat/>
    <w:rsid w:val="008462F3"/>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qFormat/>
    <w:rsid w:val="008462F3"/>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EC4A81"/>
    <w:rPr>
      <w:rFonts w:ascii="Tahoma" w:hAnsi="Tahoma" w:cs="Tahoma"/>
      <w:sz w:val="16"/>
      <w:szCs w:val="16"/>
    </w:rPr>
  </w:style>
  <w:style w:type="character" w:customStyle="1" w:styleId="BalloonTextChar">
    <w:name w:val="Balloon Text Char"/>
    <w:basedOn w:val="DefaultParagraphFont"/>
    <w:uiPriority w:val="99"/>
    <w:semiHidden/>
    <w:rsid w:val="006C0E8D"/>
    <w:rPr>
      <w:rFonts w:ascii="Lucida Grande" w:hAnsi="Lucida Grande"/>
      <w:sz w:val="18"/>
      <w:szCs w:val="18"/>
    </w:rPr>
  </w:style>
  <w:style w:type="character" w:customStyle="1" w:styleId="TextedebullesCar">
    <w:name w:val="Texte de bulles Car"/>
    <w:basedOn w:val="DefaultParagraphFont"/>
    <w:uiPriority w:val="99"/>
    <w:semiHidden/>
    <w:rsid w:val="0002110A"/>
    <w:rPr>
      <w:rFonts w:ascii="Lucida Grande" w:hAnsi="Lucida Grande"/>
      <w:sz w:val="18"/>
      <w:szCs w:val="18"/>
    </w:rPr>
  </w:style>
  <w:style w:type="character" w:customStyle="1" w:styleId="TextedebullesCar0">
    <w:name w:val="Texte de bulles Car"/>
    <w:basedOn w:val="DefaultParagraphFont"/>
    <w:uiPriority w:val="99"/>
    <w:semiHidden/>
    <w:rsid w:val="00AC0992"/>
    <w:rPr>
      <w:rFonts w:ascii="Lucida Grande" w:hAnsi="Lucida Grande"/>
      <w:sz w:val="18"/>
      <w:szCs w:val="18"/>
    </w:rPr>
  </w:style>
  <w:style w:type="character" w:customStyle="1" w:styleId="BalloonTextChar0">
    <w:name w:val="Balloon Text Char"/>
    <w:basedOn w:val="DefaultParagraphFont"/>
    <w:uiPriority w:val="99"/>
    <w:semiHidden/>
    <w:rsid w:val="0049581B"/>
    <w:rPr>
      <w:rFonts w:ascii="Lucida Grande" w:hAnsi="Lucida Grande"/>
      <w:sz w:val="18"/>
      <w:szCs w:val="18"/>
    </w:rPr>
  </w:style>
  <w:style w:type="paragraph" w:customStyle="1" w:styleId="ColorfulList-Accent11">
    <w:name w:val="Colorful List - Accent 11"/>
    <w:basedOn w:val="Normal"/>
    <w:uiPriority w:val="34"/>
    <w:qFormat/>
    <w:rsid w:val="007F4EB2"/>
    <w:pPr>
      <w:ind w:left="720"/>
      <w:contextualSpacing/>
    </w:pPr>
  </w:style>
  <w:style w:type="paragraph" w:styleId="FootnoteText">
    <w:name w:val="footnote text"/>
    <w:basedOn w:val="Normal"/>
    <w:link w:val="FootnoteTextChar"/>
    <w:uiPriority w:val="99"/>
    <w:semiHidden/>
    <w:unhideWhenUsed/>
    <w:rsid w:val="00EC4A81"/>
    <w:rPr>
      <w:sz w:val="20"/>
      <w:szCs w:val="20"/>
    </w:rPr>
  </w:style>
  <w:style w:type="character" w:customStyle="1" w:styleId="FootnoteTextChar">
    <w:name w:val="Footnote Text Char"/>
    <w:basedOn w:val="DefaultParagraphFont"/>
    <w:link w:val="FootnoteText"/>
    <w:uiPriority w:val="99"/>
    <w:semiHidden/>
    <w:rsid w:val="00EC4A8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C4A81"/>
    <w:rPr>
      <w:vertAlign w:val="superscript"/>
    </w:rPr>
  </w:style>
  <w:style w:type="character" w:styleId="CommentReference">
    <w:name w:val="annotation reference"/>
    <w:basedOn w:val="DefaultParagraphFont"/>
    <w:unhideWhenUsed/>
    <w:rsid w:val="00EC4A81"/>
    <w:rPr>
      <w:sz w:val="16"/>
      <w:szCs w:val="16"/>
    </w:rPr>
  </w:style>
  <w:style w:type="paragraph" w:styleId="CommentText">
    <w:name w:val="annotation text"/>
    <w:basedOn w:val="Normal"/>
    <w:link w:val="CommentTextChar"/>
    <w:unhideWhenUsed/>
    <w:rsid w:val="00EC4A81"/>
    <w:rPr>
      <w:sz w:val="20"/>
      <w:szCs w:val="20"/>
    </w:rPr>
  </w:style>
  <w:style w:type="character" w:customStyle="1" w:styleId="CommentTextChar">
    <w:name w:val="Comment Text Char"/>
    <w:basedOn w:val="DefaultParagraphFont"/>
    <w:link w:val="CommentText"/>
    <w:rsid w:val="00EC4A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4A81"/>
    <w:rPr>
      <w:b/>
      <w:bCs/>
    </w:rPr>
  </w:style>
  <w:style w:type="character" w:customStyle="1" w:styleId="CommentSubjectChar">
    <w:name w:val="Comment Subject Char"/>
    <w:basedOn w:val="CommentTextChar"/>
    <w:link w:val="CommentSubject"/>
    <w:uiPriority w:val="99"/>
    <w:semiHidden/>
    <w:rsid w:val="00EC4A81"/>
    <w:rPr>
      <w:rFonts w:ascii="Times New Roman" w:eastAsia="Times New Roman" w:hAnsi="Times New Roman" w:cs="Times New Roman"/>
      <w:b/>
      <w:bCs/>
      <w:sz w:val="20"/>
      <w:szCs w:val="20"/>
    </w:rPr>
  </w:style>
  <w:style w:type="character" w:customStyle="1" w:styleId="BalloonTextChar1">
    <w:name w:val="Balloon Text Char1"/>
    <w:basedOn w:val="DefaultParagraphFont"/>
    <w:link w:val="BalloonText"/>
    <w:uiPriority w:val="99"/>
    <w:semiHidden/>
    <w:rsid w:val="00EC4A81"/>
    <w:rPr>
      <w:rFonts w:ascii="Tahoma" w:eastAsia="Times New Roman" w:hAnsi="Tahoma" w:cs="Tahoma"/>
      <w:sz w:val="16"/>
      <w:szCs w:val="16"/>
    </w:rPr>
  </w:style>
  <w:style w:type="paragraph" w:styleId="EndnoteText">
    <w:name w:val="endnote text"/>
    <w:basedOn w:val="Normal"/>
    <w:link w:val="EndnoteTextChar"/>
    <w:uiPriority w:val="99"/>
    <w:unhideWhenUsed/>
    <w:rsid w:val="001A382F"/>
    <w:rPr>
      <w:sz w:val="20"/>
      <w:szCs w:val="20"/>
    </w:rPr>
  </w:style>
  <w:style w:type="character" w:customStyle="1" w:styleId="EndnoteTextChar">
    <w:name w:val="Endnote Text Char"/>
    <w:basedOn w:val="DefaultParagraphFont"/>
    <w:link w:val="EndnoteText"/>
    <w:uiPriority w:val="99"/>
    <w:rsid w:val="001A382F"/>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1A382F"/>
    <w:rPr>
      <w:vertAlign w:val="superscript"/>
    </w:rPr>
  </w:style>
  <w:style w:type="character" w:customStyle="1" w:styleId="Heading1Char">
    <w:name w:val="Heading 1 Char"/>
    <w:basedOn w:val="DefaultParagraphFont"/>
    <w:link w:val="Heading1"/>
    <w:uiPriority w:val="9"/>
    <w:rsid w:val="008462F3"/>
    <w:rPr>
      <w:rFonts w:ascii="Cambria" w:eastAsia="Times New Roman" w:hAnsi="Cambria"/>
      <w:b/>
      <w:bCs/>
      <w:color w:val="365F91"/>
      <w:sz w:val="28"/>
      <w:szCs w:val="28"/>
    </w:rPr>
  </w:style>
  <w:style w:type="character" w:customStyle="1" w:styleId="Heading2Char">
    <w:name w:val="Heading 2 Char"/>
    <w:basedOn w:val="DefaultParagraphFont"/>
    <w:link w:val="Heading2"/>
    <w:uiPriority w:val="9"/>
    <w:rsid w:val="008462F3"/>
    <w:rPr>
      <w:rFonts w:ascii="Cambria" w:eastAsia="Times New Roman" w:hAnsi="Cambria"/>
      <w:b/>
      <w:bCs/>
      <w:color w:val="4F81BD"/>
      <w:sz w:val="26"/>
      <w:szCs w:val="26"/>
    </w:rPr>
  </w:style>
  <w:style w:type="character" w:customStyle="1" w:styleId="Heading3Char">
    <w:name w:val="Heading 3 Char"/>
    <w:basedOn w:val="DefaultParagraphFont"/>
    <w:link w:val="Heading3"/>
    <w:uiPriority w:val="9"/>
    <w:rsid w:val="008462F3"/>
    <w:rPr>
      <w:rFonts w:ascii="Cambria" w:eastAsia="Times New Roman" w:hAnsi="Cambria"/>
      <w:b/>
      <w:bCs/>
      <w:color w:val="4F81BD"/>
      <w:sz w:val="24"/>
      <w:szCs w:val="24"/>
    </w:rPr>
  </w:style>
  <w:style w:type="character" w:customStyle="1" w:styleId="Heading4Char">
    <w:name w:val="Heading 4 Char"/>
    <w:basedOn w:val="DefaultParagraphFont"/>
    <w:link w:val="Heading4"/>
    <w:uiPriority w:val="9"/>
    <w:rsid w:val="008462F3"/>
    <w:rPr>
      <w:rFonts w:ascii="Cambria" w:eastAsia="Times New Roman" w:hAnsi="Cambria"/>
      <w:b/>
      <w:bCs/>
      <w:i/>
      <w:iCs/>
      <w:color w:val="4F81BD"/>
      <w:sz w:val="24"/>
      <w:szCs w:val="24"/>
    </w:rPr>
  </w:style>
  <w:style w:type="character" w:customStyle="1" w:styleId="Heading5Char">
    <w:name w:val="Heading 5 Char"/>
    <w:basedOn w:val="DefaultParagraphFont"/>
    <w:link w:val="Heading5"/>
    <w:uiPriority w:val="9"/>
    <w:rsid w:val="008462F3"/>
    <w:rPr>
      <w:rFonts w:ascii="Cambria" w:eastAsia="Times New Roman" w:hAnsi="Cambria"/>
      <w:color w:val="243F60"/>
      <w:sz w:val="24"/>
      <w:szCs w:val="24"/>
    </w:rPr>
  </w:style>
  <w:style w:type="character" w:customStyle="1" w:styleId="Heading6Char">
    <w:name w:val="Heading 6 Char"/>
    <w:basedOn w:val="DefaultParagraphFont"/>
    <w:link w:val="Heading6"/>
    <w:uiPriority w:val="9"/>
    <w:rsid w:val="008462F3"/>
    <w:rPr>
      <w:rFonts w:ascii="Cambria" w:eastAsia="Times New Roman" w:hAnsi="Cambria"/>
      <w:i/>
      <w:iCs/>
      <w:color w:val="243F60"/>
      <w:sz w:val="24"/>
      <w:szCs w:val="24"/>
    </w:rPr>
  </w:style>
  <w:style w:type="character" w:customStyle="1" w:styleId="Heading7Char">
    <w:name w:val="Heading 7 Char"/>
    <w:basedOn w:val="DefaultParagraphFont"/>
    <w:link w:val="Heading7"/>
    <w:uiPriority w:val="9"/>
    <w:rsid w:val="008462F3"/>
    <w:rPr>
      <w:rFonts w:ascii="Cambria" w:eastAsia="Times New Roman" w:hAnsi="Cambria"/>
      <w:i/>
      <w:iCs/>
      <w:color w:val="404040"/>
      <w:sz w:val="24"/>
      <w:szCs w:val="24"/>
    </w:rPr>
  </w:style>
  <w:style w:type="character" w:customStyle="1" w:styleId="Heading8Char">
    <w:name w:val="Heading 8 Char"/>
    <w:basedOn w:val="DefaultParagraphFont"/>
    <w:link w:val="Heading8"/>
    <w:uiPriority w:val="9"/>
    <w:rsid w:val="008462F3"/>
    <w:rPr>
      <w:rFonts w:ascii="Cambria" w:eastAsia="Times New Roman" w:hAnsi="Cambria"/>
      <w:color w:val="404040"/>
    </w:rPr>
  </w:style>
  <w:style w:type="character" w:customStyle="1" w:styleId="Heading9Char">
    <w:name w:val="Heading 9 Char"/>
    <w:basedOn w:val="DefaultParagraphFont"/>
    <w:link w:val="Heading9"/>
    <w:uiPriority w:val="9"/>
    <w:rsid w:val="008462F3"/>
    <w:rPr>
      <w:rFonts w:ascii="Cambria" w:eastAsia="Times New Roman" w:hAnsi="Cambria"/>
      <w:i/>
      <w:iCs/>
      <w:color w:val="404040"/>
    </w:rPr>
  </w:style>
  <w:style w:type="paragraph" w:styleId="Header">
    <w:name w:val="header"/>
    <w:basedOn w:val="Normal"/>
    <w:link w:val="HeaderChar"/>
    <w:uiPriority w:val="99"/>
    <w:semiHidden/>
    <w:unhideWhenUsed/>
    <w:rsid w:val="00104498"/>
    <w:pPr>
      <w:tabs>
        <w:tab w:val="center" w:pos="4680"/>
        <w:tab w:val="right" w:pos="9360"/>
      </w:tabs>
    </w:pPr>
  </w:style>
  <w:style w:type="character" w:customStyle="1" w:styleId="HeaderChar">
    <w:name w:val="Header Char"/>
    <w:basedOn w:val="DefaultParagraphFont"/>
    <w:link w:val="Header"/>
    <w:uiPriority w:val="99"/>
    <w:semiHidden/>
    <w:rsid w:val="001044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4498"/>
    <w:pPr>
      <w:tabs>
        <w:tab w:val="center" w:pos="4680"/>
        <w:tab w:val="right" w:pos="9360"/>
      </w:tabs>
    </w:pPr>
  </w:style>
  <w:style w:type="character" w:customStyle="1" w:styleId="FooterChar">
    <w:name w:val="Footer Char"/>
    <w:basedOn w:val="DefaultParagraphFont"/>
    <w:link w:val="Footer"/>
    <w:uiPriority w:val="99"/>
    <w:rsid w:val="0010449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A1BCA"/>
    <w:rPr>
      <w:color w:val="0000FF"/>
      <w:u w:val="single"/>
    </w:rPr>
  </w:style>
  <w:style w:type="table" w:styleId="TableGrid">
    <w:name w:val="Table Grid"/>
    <w:basedOn w:val="TableNormal"/>
    <w:uiPriority w:val="59"/>
    <w:rsid w:val="003E20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2644E2"/>
    <w:pPr>
      <w:autoSpaceDE w:val="0"/>
      <w:autoSpaceDN w:val="0"/>
      <w:adjustRightInd w:val="0"/>
    </w:pPr>
    <w:rPr>
      <w:rFonts w:ascii="Arial" w:hAnsi="Arial" w:cs="Arial"/>
      <w:color w:val="000000"/>
      <w:sz w:val="24"/>
      <w:szCs w:val="24"/>
    </w:rPr>
  </w:style>
  <w:style w:type="paragraph" w:customStyle="1" w:styleId="Heading141">
    <w:name w:val="Heading 1.4.1"/>
    <w:basedOn w:val="Normal"/>
    <w:rsid w:val="00833B86"/>
    <w:pPr>
      <w:tabs>
        <w:tab w:val="left" w:pos="1440"/>
      </w:tabs>
      <w:ind w:left="1440" w:hanging="1440"/>
      <w:jc w:val="both"/>
    </w:pPr>
    <w:rPr>
      <w:b/>
      <w:bCs/>
      <w:sz w:val="22"/>
      <w:szCs w:val="22"/>
    </w:rPr>
  </w:style>
  <w:style w:type="paragraph" w:styleId="DocumentMap">
    <w:name w:val="Document Map"/>
    <w:basedOn w:val="Normal"/>
    <w:link w:val="DocumentMapChar"/>
    <w:uiPriority w:val="99"/>
    <w:semiHidden/>
    <w:unhideWhenUsed/>
    <w:rsid w:val="00C10B23"/>
    <w:rPr>
      <w:rFonts w:ascii="Lucida Grande" w:hAnsi="Lucida Grande"/>
    </w:rPr>
  </w:style>
  <w:style w:type="character" w:customStyle="1" w:styleId="DocumentMapChar">
    <w:name w:val="Document Map Char"/>
    <w:basedOn w:val="DefaultParagraphFont"/>
    <w:link w:val="DocumentMap"/>
    <w:uiPriority w:val="99"/>
    <w:semiHidden/>
    <w:rsid w:val="00C10B23"/>
    <w:rPr>
      <w:rFonts w:ascii="Lucida Grande" w:eastAsia="Times New Roman" w:hAnsi="Lucida Grande" w:cs="Times New Roman"/>
      <w:sz w:val="24"/>
      <w:szCs w:val="24"/>
    </w:rPr>
  </w:style>
  <w:style w:type="paragraph" w:customStyle="1" w:styleId="ColorfulShading-Accent11">
    <w:name w:val="Colorful Shading - Accent 11"/>
    <w:hidden/>
    <w:uiPriority w:val="99"/>
    <w:semiHidden/>
    <w:rsid w:val="00826EDD"/>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A366BA"/>
    <w:rPr>
      <w:color w:val="800080"/>
      <w:u w:val="single"/>
    </w:rPr>
  </w:style>
  <w:style w:type="paragraph" w:styleId="Caption">
    <w:name w:val="caption"/>
    <w:basedOn w:val="Normal"/>
    <w:next w:val="Normal"/>
    <w:uiPriority w:val="35"/>
    <w:qFormat/>
    <w:rsid w:val="006F305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EB2"/>
    <w:rPr>
      <w:rFonts w:ascii="Times New Roman" w:eastAsia="Times New Roman" w:hAnsi="Times New Roman"/>
      <w:sz w:val="24"/>
      <w:szCs w:val="24"/>
    </w:rPr>
  </w:style>
  <w:style w:type="paragraph" w:styleId="Heading1">
    <w:name w:val="heading 1"/>
    <w:basedOn w:val="Normal"/>
    <w:next w:val="Normal"/>
    <w:link w:val="Heading1Char"/>
    <w:uiPriority w:val="9"/>
    <w:qFormat/>
    <w:rsid w:val="008462F3"/>
    <w:pPr>
      <w:keepNext/>
      <w:keepLines/>
      <w:numPr>
        <w:numId w:val="1"/>
      </w:numPr>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8462F3"/>
    <w:pPr>
      <w:keepNext/>
      <w:keepLines/>
      <w:numPr>
        <w:ilvl w:val="1"/>
        <w:numId w:val="1"/>
      </w:numPr>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8462F3"/>
    <w:pPr>
      <w:keepNext/>
      <w:keepLines/>
      <w:numPr>
        <w:ilvl w:val="2"/>
        <w:numId w:val="1"/>
      </w:numPr>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8462F3"/>
    <w:pPr>
      <w:keepNext/>
      <w:keepLines/>
      <w:numPr>
        <w:ilvl w:val="3"/>
        <w:numId w:val="1"/>
      </w:numPr>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8462F3"/>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uiPriority w:val="9"/>
    <w:qFormat/>
    <w:rsid w:val="008462F3"/>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iPriority w:val="9"/>
    <w:qFormat/>
    <w:rsid w:val="008462F3"/>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qFormat/>
    <w:rsid w:val="008462F3"/>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qFormat/>
    <w:rsid w:val="008462F3"/>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EC4A81"/>
    <w:rPr>
      <w:rFonts w:ascii="Tahoma" w:hAnsi="Tahoma" w:cs="Tahoma"/>
      <w:sz w:val="16"/>
      <w:szCs w:val="16"/>
    </w:rPr>
  </w:style>
  <w:style w:type="character" w:customStyle="1" w:styleId="BalloonTextChar">
    <w:name w:val="Balloon Text Char"/>
    <w:basedOn w:val="DefaultParagraphFont"/>
    <w:uiPriority w:val="99"/>
    <w:semiHidden/>
    <w:rsid w:val="006C0E8D"/>
    <w:rPr>
      <w:rFonts w:ascii="Lucida Grande" w:hAnsi="Lucida Grande"/>
      <w:sz w:val="18"/>
      <w:szCs w:val="18"/>
    </w:rPr>
  </w:style>
  <w:style w:type="character" w:customStyle="1" w:styleId="TextedebullesCar">
    <w:name w:val="Texte de bulles Car"/>
    <w:basedOn w:val="DefaultParagraphFont"/>
    <w:uiPriority w:val="99"/>
    <w:semiHidden/>
    <w:rsid w:val="0002110A"/>
    <w:rPr>
      <w:rFonts w:ascii="Lucida Grande" w:hAnsi="Lucida Grande"/>
      <w:sz w:val="18"/>
      <w:szCs w:val="18"/>
    </w:rPr>
  </w:style>
  <w:style w:type="character" w:customStyle="1" w:styleId="TextedebullesCar0">
    <w:name w:val="Texte de bulles Car"/>
    <w:basedOn w:val="DefaultParagraphFont"/>
    <w:uiPriority w:val="99"/>
    <w:semiHidden/>
    <w:rsid w:val="00AC0992"/>
    <w:rPr>
      <w:rFonts w:ascii="Lucida Grande" w:hAnsi="Lucida Grande"/>
      <w:sz w:val="18"/>
      <w:szCs w:val="18"/>
    </w:rPr>
  </w:style>
  <w:style w:type="character" w:customStyle="1" w:styleId="BalloonTextChar0">
    <w:name w:val="Balloon Text Char"/>
    <w:basedOn w:val="DefaultParagraphFont"/>
    <w:uiPriority w:val="99"/>
    <w:semiHidden/>
    <w:rsid w:val="0049581B"/>
    <w:rPr>
      <w:rFonts w:ascii="Lucida Grande" w:hAnsi="Lucida Grande"/>
      <w:sz w:val="18"/>
      <w:szCs w:val="18"/>
    </w:rPr>
  </w:style>
  <w:style w:type="paragraph" w:customStyle="1" w:styleId="ColorfulList-Accent11">
    <w:name w:val="Colorful List - Accent 11"/>
    <w:basedOn w:val="Normal"/>
    <w:uiPriority w:val="34"/>
    <w:qFormat/>
    <w:rsid w:val="007F4EB2"/>
    <w:pPr>
      <w:ind w:left="720"/>
      <w:contextualSpacing/>
    </w:pPr>
  </w:style>
  <w:style w:type="paragraph" w:styleId="FootnoteText">
    <w:name w:val="footnote text"/>
    <w:basedOn w:val="Normal"/>
    <w:link w:val="FootnoteTextChar"/>
    <w:uiPriority w:val="99"/>
    <w:semiHidden/>
    <w:unhideWhenUsed/>
    <w:rsid w:val="00EC4A81"/>
    <w:rPr>
      <w:sz w:val="20"/>
      <w:szCs w:val="20"/>
    </w:rPr>
  </w:style>
  <w:style w:type="character" w:customStyle="1" w:styleId="FootnoteTextChar">
    <w:name w:val="Footnote Text Char"/>
    <w:basedOn w:val="DefaultParagraphFont"/>
    <w:link w:val="FootnoteText"/>
    <w:uiPriority w:val="99"/>
    <w:semiHidden/>
    <w:rsid w:val="00EC4A8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C4A81"/>
    <w:rPr>
      <w:vertAlign w:val="superscript"/>
    </w:rPr>
  </w:style>
  <w:style w:type="character" w:styleId="CommentReference">
    <w:name w:val="annotation reference"/>
    <w:basedOn w:val="DefaultParagraphFont"/>
    <w:unhideWhenUsed/>
    <w:rsid w:val="00EC4A81"/>
    <w:rPr>
      <w:sz w:val="16"/>
      <w:szCs w:val="16"/>
    </w:rPr>
  </w:style>
  <w:style w:type="paragraph" w:styleId="CommentText">
    <w:name w:val="annotation text"/>
    <w:basedOn w:val="Normal"/>
    <w:link w:val="CommentTextChar"/>
    <w:unhideWhenUsed/>
    <w:rsid w:val="00EC4A81"/>
    <w:rPr>
      <w:sz w:val="20"/>
      <w:szCs w:val="20"/>
    </w:rPr>
  </w:style>
  <w:style w:type="character" w:customStyle="1" w:styleId="CommentTextChar">
    <w:name w:val="Comment Text Char"/>
    <w:basedOn w:val="DefaultParagraphFont"/>
    <w:link w:val="CommentText"/>
    <w:rsid w:val="00EC4A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4A81"/>
    <w:rPr>
      <w:b/>
      <w:bCs/>
    </w:rPr>
  </w:style>
  <w:style w:type="character" w:customStyle="1" w:styleId="CommentSubjectChar">
    <w:name w:val="Comment Subject Char"/>
    <w:basedOn w:val="CommentTextChar"/>
    <w:link w:val="CommentSubject"/>
    <w:uiPriority w:val="99"/>
    <w:semiHidden/>
    <w:rsid w:val="00EC4A81"/>
    <w:rPr>
      <w:rFonts w:ascii="Times New Roman" w:eastAsia="Times New Roman" w:hAnsi="Times New Roman" w:cs="Times New Roman"/>
      <w:b/>
      <w:bCs/>
      <w:sz w:val="20"/>
      <w:szCs w:val="20"/>
    </w:rPr>
  </w:style>
  <w:style w:type="character" w:customStyle="1" w:styleId="BalloonTextChar1">
    <w:name w:val="Balloon Text Char1"/>
    <w:basedOn w:val="DefaultParagraphFont"/>
    <w:link w:val="BalloonText"/>
    <w:uiPriority w:val="99"/>
    <w:semiHidden/>
    <w:rsid w:val="00EC4A81"/>
    <w:rPr>
      <w:rFonts w:ascii="Tahoma" w:eastAsia="Times New Roman" w:hAnsi="Tahoma" w:cs="Tahoma"/>
      <w:sz w:val="16"/>
      <w:szCs w:val="16"/>
    </w:rPr>
  </w:style>
  <w:style w:type="paragraph" w:styleId="EndnoteText">
    <w:name w:val="endnote text"/>
    <w:basedOn w:val="Normal"/>
    <w:link w:val="EndnoteTextChar"/>
    <w:uiPriority w:val="99"/>
    <w:unhideWhenUsed/>
    <w:rsid w:val="001A382F"/>
    <w:rPr>
      <w:sz w:val="20"/>
      <w:szCs w:val="20"/>
    </w:rPr>
  </w:style>
  <w:style w:type="character" w:customStyle="1" w:styleId="EndnoteTextChar">
    <w:name w:val="Endnote Text Char"/>
    <w:basedOn w:val="DefaultParagraphFont"/>
    <w:link w:val="EndnoteText"/>
    <w:uiPriority w:val="99"/>
    <w:rsid w:val="001A382F"/>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1A382F"/>
    <w:rPr>
      <w:vertAlign w:val="superscript"/>
    </w:rPr>
  </w:style>
  <w:style w:type="character" w:customStyle="1" w:styleId="Heading1Char">
    <w:name w:val="Heading 1 Char"/>
    <w:basedOn w:val="DefaultParagraphFont"/>
    <w:link w:val="Heading1"/>
    <w:uiPriority w:val="9"/>
    <w:rsid w:val="008462F3"/>
    <w:rPr>
      <w:rFonts w:ascii="Cambria" w:eastAsia="Times New Roman" w:hAnsi="Cambria"/>
      <w:b/>
      <w:bCs/>
      <w:color w:val="365F91"/>
      <w:sz w:val="28"/>
      <w:szCs w:val="28"/>
    </w:rPr>
  </w:style>
  <w:style w:type="character" w:customStyle="1" w:styleId="Heading2Char">
    <w:name w:val="Heading 2 Char"/>
    <w:basedOn w:val="DefaultParagraphFont"/>
    <w:link w:val="Heading2"/>
    <w:uiPriority w:val="9"/>
    <w:rsid w:val="008462F3"/>
    <w:rPr>
      <w:rFonts w:ascii="Cambria" w:eastAsia="Times New Roman" w:hAnsi="Cambria"/>
      <w:b/>
      <w:bCs/>
      <w:color w:val="4F81BD"/>
      <w:sz w:val="26"/>
      <w:szCs w:val="26"/>
    </w:rPr>
  </w:style>
  <w:style w:type="character" w:customStyle="1" w:styleId="Heading3Char">
    <w:name w:val="Heading 3 Char"/>
    <w:basedOn w:val="DefaultParagraphFont"/>
    <w:link w:val="Heading3"/>
    <w:uiPriority w:val="9"/>
    <w:rsid w:val="008462F3"/>
    <w:rPr>
      <w:rFonts w:ascii="Cambria" w:eastAsia="Times New Roman" w:hAnsi="Cambria"/>
      <w:b/>
      <w:bCs/>
      <w:color w:val="4F81BD"/>
      <w:sz w:val="24"/>
      <w:szCs w:val="24"/>
    </w:rPr>
  </w:style>
  <w:style w:type="character" w:customStyle="1" w:styleId="Heading4Char">
    <w:name w:val="Heading 4 Char"/>
    <w:basedOn w:val="DefaultParagraphFont"/>
    <w:link w:val="Heading4"/>
    <w:uiPriority w:val="9"/>
    <w:rsid w:val="008462F3"/>
    <w:rPr>
      <w:rFonts w:ascii="Cambria" w:eastAsia="Times New Roman" w:hAnsi="Cambria"/>
      <w:b/>
      <w:bCs/>
      <w:i/>
      <w:iCs/>
      <w:color w:val="4F81BD"/>
      <w:sz w:val="24"/>
      <w:szCs w:val="24"/>
    </w:rPr>
  </w:style>
  <w:style w:type="character" w:customStyle="1" w:styleId="Heading5Char">
    <w:name w:val="Heading 5 Char"/>
    <w:basedOn w:val="DefaultParagraphFont"/>
    <w:link w:val="Heading5"/>
    <w:uiPriority w:val="9"/>
    <w:rsid w:val="008462F3"/>
    <w:rPr>
      <w:rFonts w:ascii="Cambria" w:eastAsia="Times New Roman" w:hAnsi="Cambria"/>
      <w:color w:val="243F60"/>
      <w:sz w:val="24"/>
      <w:szCs w:val="24"/>
    </w:rPr>
  </w:style>
  <w:style w:type="character" w:customStyle="1" w:styleId="Heading6Char">
    <w:name w:val="Heading 6 Char"/>
    <w:basedOn w:val="DefaultParagraphFont"/>
    <w:link w:val="Heading6"/>
    <w:uiPriority w:val="9"/>
    <w:rsid w:val="008462F3"/>
    <w:rPr>
      <w:rFonts w:ascii="Cambria" w:eastAsia="Times New Roman" w:hAnsi="Cambria"/>
      <w:i/>
      <w:iCs/>
      <w:color w:val="243F60"/>
      <w:sz w:val="24"/>
      <w:szCs w:val="24"/>
    </w:rPr>
  </w:style>
  <w:style w:type="character" w:customStyle="1" w:styleId="Heading7Char">
    <w:name w:val="Heading 7 Char"/>
    <w:basedOn w:val="DefaultParagraphFont"/>
    <w:link w:val="Heading7"/>
    <w:uiPriority w:val="9"/>
    <w:rsid w:val="008462F3"/>
    <w:rPr>
      <w:rFonts w:ascii="Cambria" w:eastAsia="Times New Roman" w:hAnsi="Cambria"/>
      <w:i/>
      <w:iCs/>
      <w:color w:val="404040"/>
      <w:sz w:val="24"/>
      <w:szCs w:val="24"/>
    </w:rPr>
  </w:style>
  <w:style w:type="character" w:customStyle="1" w:styleId="Heading8Char">
    <w:name w:val="Heading 8 Char"/>
    <w:basedOn w:val="DefaultParagraphFont"/>
    <w:link w:val="Heading8"/>
    <w:uiPriority w:val="9"/>
    <w:rsid w:val="008462F3"/>
    <w:rPr>
      <w:rFonts w:ascii="Cambria" w:eastAsia="Times New Roman" w:hAnsi="Cambria"/>
      <w:color w:val="404040"/>
    </w:rPr>
  </w:style>
  <w:style w:type="character" w:customStyle="1" w:styleId="Heading9Char">
    <w:name w:val="Heading 9 Char"/>
    <w:basedOn w:val="DefaultParagraphFont"/>
    <w:link w:val="Heading9"/>
    <w:uiPriority w:val="9"/>
    <w:rsid w:val="008462F3"/>
    <w:rPr>
      <w:rFonts w:ascii="Cambria" w:eastAsia="Times New Roman" w:hAnsi="Cambria"/>
      <w:i/>
      <w:iCs/>
      <w:color w:val="404040"/>
    </w:rPr>
  </w:style>
  <w:style w:type="paragraph" w:styleId="Header">
    <w:name w:val="header"/>
    <w:basedOn w:val="Normal"/>
    <w:link w:val="HeaderChar"/>
    <w:uiPriority w:val="99"/>
    <w:semiHidden/>
    <w:unhideWhenUsed/>
    <w:rsid w:val="00104498"/>
    <w:pPr>
      <w:tabs>
        <w:tab w:val="center" w:pos="4680"/>
        <w:tab w:val="right" w:pos="9360"/>
      </w:tabs>
    </w:pPr>
  </w:style>
  <w:style w:type="character" w:customStyle="1" w:styleId="HeaderChar">
    <w:name w:val="Header Char"/>
    <w:basedOn w:val="DefaultParagraphFont"/>
    <w:link w:val="Header"/>
    <w:uiPriority w:val="99"/>
    <w:semiHidden/>
    <w:rsid w:val="0010449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4498"/>
    <w:pPr>
      <w:tabs>
        <w:tab w:val="center" w:pos="4680"/>
        <w:tab w:val="right" w:pos="9360"/>
      </w:tabs>
    </w:pPr>
  </w:style>
  <w:style w:type="character" w:customStyle="1" w:styleId="FooterChar">
    <w:name w:val="Footer Char"/>
    <w:basedOn w:val="DefaultParagraphFont"/>
    <w:link w:val="Footer"/>
    <w:uiPriority w:val="99"/>
    <w:rsid w:val="0010449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A1BCA"/>
    <w:rPr>
      <w:color w:val="0000FF"/>
      <w:u w:val="single"/>
    </w:rPr>
  </w:style>
  <w:style w:type="table" w:styleId="TableGrid">
    <w:name w:val="Table Grid"/>
    <w:basedOn w:val="TableNormal"/>
    <w:uiPriority w:val="59"/>
    <w:rsid w:val="003E20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2644E2"/>
    <w:pPr>
      <w:autoSpaceDE w:val="0"/>
      <w:autoSpaceDN w:val="0"/>
      <w:adjustRightInd w:val="0"/>
    </w:pPr>
    <w:rPr>
      <w:rFonts w:ascii="Arial" w:hAnsi="Arial" w:cs="Arial"/>
      <w:color w:val="000000"/>
      <w:sz w:val="24"/>
      <w:szCs w:val="24"/>
    </w:rPr>
  </w:style>
  <w:style w:type="paragraph" w:customStyle="1" w:styleId="Heading141">
    <w:name w:val="Heading 1.4.1"/>
    <w:basedOn w:val="Normal"/>
    <w:rsid w:val="00833B86"/>
    <w:pPr>
      <w:tabs>
        <w:tab w:val="left" w:pos="1440"/>
      </w:tabs>
      <w:ind w:left="1440" w:hanging="1440"/>
      <w:jc w:val="both"/>
    </w:pPr>
    <w:rPr>
      <w:b/>
      <w:bCs/>
      <w:sz w:val="22"/>
      <w:szCs w:val="22"/>
    </w:rPr>
  </w:style>
  <w:style w:type="paragraph" w:styleId="DocumentMap">
    <w:name w:val="Document Map"/>
    <w:basedOn w:val="Normal"/>
    <w:link w:val="DocumentMapChar"/>
    <w:uiPriority w:val="99"/>
    <w:semiHidden/>
    <w:unhideWhenUsed/>
    <w:rsid w:val="00C10B23"/>
    <w:rPr>
      <w:rFonts w:ascii="Lucida Grande" w:hAnsi="Lucida Grande"/>
    </w:rPr>
  </w:style>
  <w:style w:type="character" w:customStyle="1" w:styleId="DocumentMapChar">
    <w:name w:val="Document Map Char"/>
    <w:basedOn w:val="DefaultParagraphFont"/>
    <w:link w:val="DocumentMap"/>
    <w:uiPriority w:val="99"/>
    <w:semiHidden/>
    <w:rsid w:val="00C10B23"/>
    <w:rPr>
      <w:rFonts w:ascii="Lucida Grande" w:eastAsia="Times New Roman" w:hAnsi="Lucida Grande" w:cs="Times New Roman"/>
      <w:sz w:val="24"/>
      <w:szCs w:val="24"/>
    </w:rPr>
  </w:style>
  <w:style w:type="paragraph" w:customStyle="1" w:styleId="ColorfulShading-Accent11">
    <w:name w:val="Colorful Shading - Accent 11"/>
    <w:hidden/>
    <w:uiPriority w:val="99"/>
    <w:semiHidden/>
    <w:rsid w:val="00826EDD"/>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A366BA"/>
    <w:rPr>
      <w:color w:val="800080"/>
      <w:u w:val="single"/>
    </w:rPr>
  </w:style>
  <w:style w:type="paragraph" w:styleId="Caption">
    <w:name w:val="caption"/>
    <w:basedOn w:val="Normal"/>
    <w:next w:val="Normal"/>
    <w:uiPriority w:val="35"/>
    <w:qFormat/>
    <w:rsid w:val="006F30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4788">
      <w:bodyDiv w:val="1"/>
      <w:marLeft w:val="0"/>
      <w:marRight w:val="0"/>
      <w:marTop w:val="0"/>
      <w:marBottom w:val="0"/>
      <w:divBdr>
        <w:top w:val="none" w:sz="0" w:space="0" w:color="auto"/>
        <w:left w:val="none" w:sz="0" w:space="0" w:color="auto"/>
        <w:bottom w:val="none" w:sz="0" w:space="0" w:color="auto"/>
        <w:right w:val="none" w:sz="0" w:space="0" w:color="auto"/>
      </w:divBdr>
    </w:div>
    <w:div w:id="69155582">
      <w:bodyDiv w:val="1"/>
      <w:marLeft w:val="0"/>
      <w:marRight w:val="0"/>
      <w:marTop w:val="0"/>
      <w:marBottom w:val="0"/>
      <w:divBdr>
        <w:top w:val="none" w:sz="0" w:space="0" w:color="auto"/>
        <w:left w:val="none" w:sz="0" w:space="0" w:color="auto"/>
        <w:bottom w:val="none" w:sz="0" w:space="0" w:color="auto"/>
        <w:right w:val="none" w:sz="0" w:space="0" w:color="auto"/>
      </w:divBdr>
    </w:div>
    <w:div w:id="75443495">
      <w:bodyDiv w:val="1"/>
      <w:marLeft w:val="0"/>
      <w:marRight w:val="0"/>
      <w:marTop w:val="0"/>
      <w:marBottom w:val="0"/>
      <w:divBdr>
        <w:top w:val="none" w:sz="0" w:space="0" w:color="auto"/>
        <w:left w:val="none" w:sz="0" w:space="0" w:color="auto"/>
        <w:bottom w:val="none" w:sz="0" w:space="0" w:color="auto"/>
        <w:right w:val="none" w:sz="0" w:space="0" w:color="auto"/>
      </w:divBdr>
    </w:div>
    <w:div w:id="77021705">
      <w:bodyDiv w:val="1"/>
      <w:marLeft w:val="0"/>
      <w:marRight w:val="0"/>
      <w:marTop w:val="0"/>
      <w:marBottom w:val="0"/>
      <w:divBdr>
        <w:top w:val="none" w:sz="0" w:space="0" w:color="auto"/>
        <w:left w:val="none" w:sz="0" w:space="0" w:color="auto"/>
        <w:bottom w:val="none" w:sz="0" w:space="0" w:color="auto"/>
        <w:right w:val="none" w:sz="0" w:space="0" w:color="auto"/>
      </w:divBdr>
    </w:div>
    <w:div w:id="82260485">
      <w:bodyDiv w:val="1"/>
      <w:marLeft w:val="0"/>
      <w:marRight w:val="0"/>
      <w:marTop w:val="0"/>
      <w:marBottom w:val="0"/>
      <w:divBdr>
        <w:top w:val="none" w:sz="0" w:space="0" w:color="auto"/>
        <w:left w:val="none" w:sz="0" w:space="0" w:color="auto"/>
        <w:bottom w:val="none" w:sz="0" w:space="0" w:color="auto"/>
        <w:right w:val="none" w:sz="0" w:space="0" w:color="auto"/>
      </w:divBdr>
    </w:div>
    <w:div w:id="84227851">
      <w:bodyDiv w:val="1"/>
      <w:marLeft w:val="134"/>
      <w:marRight w:val="134"/>
      <w:marTop w:val="50"/>
      <w:marBottom w:val="50"/>
      <w:divBdr>
        <w:top w:val="none" w:sz="0" w:space="0" w:color="auto"/>
        <w:left w:val="none" w:sz="0" w:space="0" w:color="auto"/>
        <w:bottom w:val="none" w:sz="0" w:space="0" w:color="auto"/>
        <w:right w:val="none" w:sz="0" w:space="0" w:color="auto"/>
      </w:divBdr>
      <w:divsChild>
        <w:div w:id="836728644">
          <w:marLeft w:val="0"/>
          <w:marRight w:val="0"/>
          <w:marTop w:val="0"/>
          <w:marBottom w:val="0"/>
          <w:divBdr>
            <w:top w:val="none" w:sz="0" w:space="0" w:color="auto"/>
            <w:left w:val="none" w:sz="0" w:space="0" w:color="auto"/>
            <w:bottom w:val="none" w:sz="0" w:space="0" w:color="auto"/>
            <w:right w:val="none" w:sz="0" w:space="0" w:color="auto"/>
          </w:divBdr>
          <w:divsChild>
            <w:div w:id="2144493319">
              <w:marLeft w:val="268"/>
              <w:marRight w:val="268"/>
              <w:marTop w:val="0"/>
              <w:marBottom w:val="0"/>
              <w:divBdr>
                <w:top w:val="none" w:sz="0" w:space="0" w:color="auto"/>
                <w:left w:val="none" w:sz="0" w:space="0" w:color="auto"/>
                <w:bottom w:val="none" w:sz="0" w:space="0" w:color="auto"/>
                <w:right w:val="none" w:sz="0" w:space="0" w:color="auto"/>
              </w:divBdr>
              <w:divsChild>
                <w:div w:id="145845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62163">
      <w:bodyDiv w:val="1"/>
      <w:marLeft w:val="0"/>
      <w:marRight w:val="0"/>
      <w:marTop w:val="0"/>
      <w:marBottom w:val="0"/>
      <w:divBdr>
        <w:top w:val="none" w:sz="0" w:space="0" w:color="auto"/>
        <w:left w:val="none" w:sz="0" w:space="0" w:color="auto"/>
        <w:bottom w:val="none" w:sz="0" w:space="0" w:color="auto"/>
        <w:right w:val="none" w:sz="0" w:space="0" w:color="auto"/>
      </w:divBdr>
    </w:div>
    <w:div w:id="130295866">
      <w:bodyDiv w:val="1"/>
      <w:marLeft w:val="0"/>
      <w:marRight w:val="0"/>
      <w:marTop w:val="0"/>
      <w:marBottom w:val="0"/>
      <w:divBdr>
        <w:top w:val="none" w:sz="0" w:space="0" w:color="auto"/>
        <w:left w:val="none" w:sz="0" w:space="0" w:color="auto"/>
        <w:bottom w:val="none" w:sz="0" w:space="0" w:color="auto"/>
        <w:right w:val="none" w:sz="0" w:space="0" w:color="auto"/>
      </w:divBdr>
    </w:div>
    <w:div w:id="139003805">
      <w:bodyDiv w:val="1"/>
      <w:marLeft w:val="0"/>
      <w:marRight w:val="0"/>
      <w:marTop w:val="0"/>
      <w:marBottom w:val="0"/>
      <w:divBdr>
        <w:top w:val="none" w:sz="0" w:space="0" w:color="auto"/>
        <w:left w:val="none" w:sz="0" w:space="0" w:color="auto"/>
        <w:bottom w:val="none" w:sz="0" w:space="0" w:color="auto"/>
        <w:right w:val="none" w:sz="0" w:space="0" w:color="auto"/>
      </w:divBdr>
    </w:div>
    <w:div w:id="142239424">
      <w:bodyDiv w:val="1"/>
      <w:marLeft w:val="0"/>
      <w:marRight w:val="0"/>
      <w:marTop w:val="0"/>
      <w:marBottom w:val="0"/>
      <w:divBdr>
        <w:top w:val="none" w:sz="0" w:space="0" w:color="auto"/>
        <w:left w:val="none" w:sz="0" w:space="0" w:color="auto"/>
        <w:bottom w:val="none" w:sz="0" w:space="0" w:color="auto"/>
        <w:right w:val="none" w:sz="0" w:space="0" w:color="auto"/>
      </w:divBdr>
    </w:div>
    <w:div w:id="239798047">
      <w:bodyDiv w:val="1"/>
      <w:marLeft w:val="0"/>
      <w:marRight w:val="0"/>
      <w:marTop w:val="0"/>
      <w:marBottom w:val="0"/>
      <w:divBdr>
        <w:top w:val="none" w:sz="0" w:space="0" w:color="auto"/>
        <w:left w:val="none" w:sz="0" w:space="0" w:color="auto"/>
        <w:bottom w:val="none" w:sz="0" w:space="0" w:color="auto"/>
        <w:right w:val="none" w:sz="0" w:space="0" w:color="auto"/>
      </w:divBdr>
    </w:div>
    <w:div w:id="244152029">
      <w:bodyDiv w:val="1"/>
      <w:marLeft w:val="0"/>
      <w:marRight w:val="0"/>
      <w:marTop w:val="0"/>
      <w:marBottom w:val="0"/>
      <w:divBdr>
        <w:top w:val="none" w:sz="0" w:space="0" w:color="auto"/>
        <w:left w:val="none" w:sz="0" w:space="0" w:color="auto"/>
        <w:bottom w:val="none" w:sz="0" w:space="0" w:color="auto"/>
        <w:right w:val="none" w:sz="0" w:space="0" w:color="auto"/>
      </w:divBdr>
    </w:div>
    <w:div w:id="245918656">
      <w:bodyDiv w:val="1"/>
      <w:marLeft w:val="0"/>
      <w:marRight w:val="0"/>
      <w:marTop w:val="0"/>
      <w:marBottom w:val="0"/>
      <w:divBdr>
        <w:top w:val="none" w:sz="0" w:space="0" w:color="auto"/>
        <w:left w:val="none" w:sz="0" w:space="0" w:color="auto"/>
        <w:bottom w:val="none" w:sz="0" w:space="0" w:color="auto"/>
        <w:right w:val="none" w:sz="0" w:space="0" w:color="auto"/>
      </w:divBdr>
    </w:div>
    <w:div w:id="257950165">
      <w:bodyDiv w:val="1"/>
      <w:marLeft w:val="0"/>
      <w:marRight w:val="0"/>
      <w:marTop w:val="0"/>
      <w:marBottom w:val="0"/>
      <w:divBdr>
        <w:top w:val="none" w:sz="0" w:space="0" w:color="auto"/>
        <w:left w:val="none" w:sz="0" w:space="0" w:color="auto"/>
        <w:bottom w:val="none" w:sz="0" w:space="0" w:color="auto"/>
        <w:right w:val="none" w:sz="0" w:space="0" w:color="auto"/>
      </w:divBdr>
    </w:div>
    <w:div w:id="265430715">
      <w:bodyDiv w:val="1"/>
      <w:marLeft w:val="0"/>
      <w:marRight w:val="0"/>
      <w:marTop w:val="0"/>
      <w:marBottom w:val="0"/>
      <w:divBdr>
        <w:top w:val="none" w:sz="0" w:space="0" w:color="auto"/>
        <w:left w:val="none" w:sz="0" w:space="0" w:color="auto"/>
        <w:bottom w:val="none" w:sz="0" w:space="0" w:color="auto"/>
        <w:right w:val="none" w:sz="0" w:space="0" w:color="auto"/>
      </w:divBdr>
    </w:div>
    <w:div w:id="266812446">
      <w:bodyDiv w:val="1"/>
      <w:marLeft w:val="0"/>
      <w:marRight w:val="0"/>
      <w:marTop w:val="0"/>
      <w:marBottom w:val="0"/>
      <w:divBdr>
        <w:top w:val="none" w:sz="0" w:space="0" w:color="auto"/>
        <w:left w:val="none" w:sz="0" w:space="0" w:color="auto"/>
        <w:bottom w:val="none" w:sz="0" w:space="0" w:color="auto"/>
        <w:right w:val="none" w:sz="0" w:space="0" w:color="auto"/>
      </w:divBdr>
    </w:div>
    <w:div w:id="274096300">
      <w:bodyDiv w:val="1"/>
      <w:marLeft w:val="0"/>
      <w:marRight w:val="0"/>
      <w:marTop w:val="0"/>
      <w:marBottom w:val="0"/>
      <w:divBdr>
        <w:top w:val="none" w:sz="0" w:space="0" w:color="auto"/>
        <w:left w:val="none" w:sz="0" w:space="0" w:color="auto"/>
        <w:bottom w:val="none" w:sz="0" w:space="0" w:color="auto"/>
        <w:right w:val="none" w:sz="0" w:space="0" w:color="auto"/>
      </w:divBdr>
    </w:div>
    <w:div w:id="279918020">
      <w:bodyDiv w:val="1"/>
      <w:marLeft w:val="0"/>
      <w:marRight w:val="0"/>
      <w:marTop w:val="0"/>
      <w:marBottom w:val="0"/>
      <w:divBdr>
        <w:top w:val="none" w:sz="0" w:space="0" w:color="auto"/>
        <w:left w:val="none" w:sz="0" w:space="0" w:color="auto"/>
        <w:bottom w:val="none" w:sz="0" w:space="0" w:color="auto"/>
        <w:right w:val="none" w:sz="0" w:space="0" w:color="auto"/>
      </w:divBdr>
    </w:div>
    <w:div w:id="292835479">
      <w:bodyDiv w:val="1"/>
      <w:marLeft w:val="0"/>
      <w:marRight w:val="0"/>
      <w:marTop w:val="0"/>
      <w:marBottom w:val="0"/>
      <w:divBdr>
        <w:top w:val="none" w:sz="0" w:space="0" w:color="auto"/>
        <w:left w:val="none" w:sz="0" w:space="0" w:color="auto"/>
        <w:bottom w:val="none" w:sz="0" w:space="0" w:color="auto"/>
        <w:right w:val="none" w:sz="0" w:space="0" w:color="auto"/>
      </w:divBdr>
    </w:div>
    <w:div w:id="333992053">
      <w:bodyDiv w:val="1"/>
      <w:marLeft w:val="0"/>
      <w:marRight w:val="0"/>
      <w:marTop w:val="0"/>
      <w:marBottom w:val="0"/>
      <w:divBdr>
        <w:top w:val="none" w:sz="0" w:space="0" w:color="auto"/>
        <w:left w:val="none" w:sz="0" w:space="0" w:color="auto"/>
        <w:bottom w:val="none" w:sz="0" w:space="0" w:color="auto"/>
        <w:right w:val="none" w:sz="0" w:space="0" w:color="auto"/>
      </w:divBdr>
    </w:div>
    <w:div w:id="354816414">
      <w:bodyDiv w:val="1"/>
      <w:marLeft w:val="0"/>
      <w:marRight w:val="0"/>
      <w:marTop w:val="0"/>
      <w:marBottom w:val="0"/>
      <w:divBdr>
        <w:top w:val="none" w:sz="0" w:space="0" w:color="auto"/>
        <w:left w:val="none" w:sz="0" w:space="0" w:color="auto"/>
        <w:bottom w:val="none" w:sz="0" w:space="0" w:color="auto"/>
        <w:right w:val="none" w:sz="0" w:space="0" w:color="auto"/>
      </w:divBdr>
    </w:div>
    <w:div w:id="371348185">
      <w:bodyDiv w:val="1"/>
      <w:marLeft w:val="0"/>
      <w:marRight w:val="0"/>
      <w:marTop w:val="0"/>
      <w:marBottom w:val="0"/>
      <w:divBdr>
        <w:top w:val="none" w:sz="0" w:space="0" w:color="auto"/>
        <w:left w:val="none" w:sz="0" w:space="0" w:color="auto"/>
        <w:bottom w:val="none" w:sz="0" w:space="0" w:color="auto"/>
        <w:right w:val="none" w:sz="0" w:space="0" w:color="auto"/>
      </w:divBdr>
    </w:div>
    <w:div w:id="383217694">
      <w:bodyDiv w:val="1"/>
      <w:marLeft w:val="0"/>
      <w:marRight w:val="0"/>
      <w:marTop w:val="0"/>
      <w:marBottom w:val="0"/>
      <w:divBdr>
        <w:top w:val="none" w:sz="0" w:space="0" w:color="auto"/>
        <w:left w:val="none" w:sz="0" w:space="0" w:color="auto"/>
        <w:bottom w:val="none" w:sz="0" w:space="0" w:color="auto"/>
        <w:right w:val="none" w:sz="0" w:space="0" w:color="auto"/>
      </w:divBdr>
    </w:div>
    <w:div w:id="395395697">
      <w:bodyDiv w:val="1"/>
      <w:marLeft w:val="0"/>
      <w:marRight w:val="0"/>
      <w:marTop w:val="0"/>
      <w:marBottom w:val="0"/>
      <w:divBdr>
        <w:top w:val="none" w:sz="0" w:space="0" w:color="auto"/>
        <w:left w:val="none" w:sz="0" w:space="0" w:color="auto"/>
        <w:bottom w:val="none" w:sz="0" w:space="0" w:color="auto"/>
        <w:right w:val="none" w:sz="0" w:space="0" w:color="auto"/>
      </w:divBdr>
    </w:div>
    <w:div w:id="402218155">
      <w:bodyDiv w:val="1"/>
      <w:marLeft w:val="0"/>
      <w:marRight w:val="0"/>
      <w:marTop w:val="0"/>
      <w:marBottom w:val="0"/>
      <w:divBdr>
        <w:top w:val="none" w:sz="0" w:space="0" w:color="auto"/>
        <w:left w:val="none" w:sz="0" w:space="0" w:color="auto"/>
        <w:bottom w:val="none" w:sz="0" w:space="0" w:color="auto"/>
        <w:right w:val="none" w:sz="0" w:space="0" w:color="auto"/>
      </w:divBdr>
    </w:div>
    <w:div w:id="405691268">
      <w:bodyDiv w:val="1"/>
      <w:marLeft w:val="0"/>
      <w:marRight w:val="0"/>
      <w:marTop w:val="0"/>
      <w:marBottom w:val="0"/>
      <w:divBdr>
        <w:top w:val="none" w:sz="0" w:space="0" w:color="auto"/>
        <w:left w:val="none" w:sz="0" w:space="0" w:color="auto"/>
        <w:bottom w:val="none" w:sz="0" w:space="0" w:color="auto"/>
        <w:right w:val="none" w:sz="0" w:space="0" w:color="auto"/>
      </w:divBdr>
    </w:div>
    <w:div w:id="415325878">
      <w:bodyDiv w:val="1"/>
      <w:marLeft w:val="0"/>
      <w:marRight w:val="0"/>
      <w:marTop w:val="0"/>
      <w:marBottom w:val="0"/>
      <w:divBdr>
        <w:top w:val="none" w:sz="0" w:space="0" w:color="auto"/>
        <w:left w:val="none" w:sz="0" w:space="0" w:color="auto"/>
        <w:bottom w:val="none" w:sz="0" w:space="0" w:color="auto"/>
        <w:right w:val="none" w:sz="0" w:space="0" w:color="auto"/>
      </w:divBdr>
    </w:div>
    <w:div w:id="436410285">
      <w:bodyDiv w:val="1"/>
      <w:marLeft w:val="0"/>
      <w:marRight w:val="0"/>
      <w:marTop w:val="0"/>
      <w:marBottom w:val="0"/>
      <w:divBdr>
        <w:top w:val="none" w:sz="0" w:space="0" w:color="auto"/>
        <w:left w:val="none" w:sz="0" w:space="0" w:color="auto"/>
        <w:bottom w:val="none" w:sz="0" w:space="0" w:color="auto"/>
        <w:right w:val="none" w:sz="0" w:space="0" w:color="auto"/>
      </w:divBdr>
    </w:div>
    <w:div w:id="444274728">
      <w:bodyDiv w:val="1"/>
      <w:marLeft w:val="0"/>
      <w:marRight w:val="0"/>
      <w:marTop w:val="0"/>
      <w:marBottom w:val="0"/>
      <w:divBdr>
        <w:top w:val="none" w:sz="0" w:space="0" w:color="auto"/>
        <w:left w:val="none" w:sz="0" w:space="0" w:color="auto"/>
        <w:bottom w:val="none" w:sz="0" w:space="0" w:color="auto"/>
        <w:right w:val="none" w:sz="0" w:space="0" w:color="auto"/>
      </w:divBdr>
    </w:div>
    <w:div w:id="451822395">
      <w:bodyDiv w:val="1"/>
      <w:marLeft w:val="0"/>
      <w:marRight w:val="0"/>
      <w:marTop w:val="0"/>
      <w:marBottom w:val="0"/>
      <w:divBdr>
        <w:top w:val="none" w:sz="0" w:space="0" w:color="auto"/>
        <w:left w:val="none" w:sz="0" w:space="0" w:color="auto"/>
        <w:bottom w:val="none" w:sz="0" w:space="0" w:color="auto"/>
        <w:right w:val="none" w:sz="0" w:space="0" w:color="auto"/>
      </w:divBdr>
    </w:div>
    <w:div w:id="463355064">
      <w:bodyDiv w:val="1"/>
      <w:marLeft w:val="0"/>
      <w:marRight w:val="0"/>
      <w:marTop w:val="0"/>
      <w:marBottom w:val="0"/>
      <w:divBdr>
        <w:top w:val="none" w:sz="0" w:space="0" w:color="auto"/>
        <w:left w:val="none" w:sz="0" w:space="0" w:color="auto"/>
        <w:bottom w:val="none" w:sz="0" w:space="0" w:color="auto"/>
        <w:right w:val="none" w:sz="0" w:space="0" w:color="auto"/>
      </w:divBdr>
    </w:div>
    <w:div w:id="468279193">
      <w:bodyDiv w:val="1"/>
      <w:marLeft w:val="0"/>
      <w:marRight w:val="0"/>
      <w:marTop w:val="0"/>
      <w:marBottom w:val="0"/>
      <w:divBdr>
        <w:top w:val="none" w:sz="0" w:space="0" w:color="auto"/>
        <w:left w:val="none" w:sz="0" w:space="0" w:color="auto"/>
        <w:bottom w:val="none" w:sz="0" w:space="0" w:color="auto"/>
        <w:right w:val="none" w:sz="0" w:space="0" w:color="auto"/>
      </w:divBdr>
    </w:div>
    <w:div w:id="487088583">
      <w:bodyDiv w:val="1"/>
      <w:marLeft w:val="134"/>
      <w:marRight w:val="134"/>
      <w:marTop w:val="50"/>
      <w:marBottom w:val="50"/>
      <w:divBdr>
        <w:top w:val="none" w:sz="0" w:space="0" w:color="auto"/>
        <w:left w:val="none" w:sz="0" w:space="0" w:color="auto"/>
        <w:bottom w:val="none" w:sz="0" w:space="0" w:color="auto"/>
        <w:right w:val="none" w:sz="0" w:space="0" w:color="auto"/>
      </w:divBdr>
      <w:divsChild>
        <w:div w:id="31619051">
          <w:marLeft w:val="0"/>
          <w:marRight w:val="0"/>
          <w:marTop w:val="0"/>
          <w:marBottom w:val="0"/>
          <w:divBdr>
            <w:top w:val="none" w:sz="0" w:space="0" w:color="auto"/>
            <w:left w:val="none" w:sz="0" w:space="0" w:color="auto"/>
            <w:bottom w:val="none" w:sz="0" w:space="0" w:color="auto"/>
            <w:right w:val="none" w:sz="0" w:space="0" w:color="auto"/>
          </w:divBdr>
          <w:divsChild>
            <w:div w:id="1441994657">
              <w:marLeft w:val="268"/>
              <w:marRight w:val="268"/>
              <w:marTop w:val="0"/>
              <w:marBottom w:val="0"/>
              <w:divBdr>
                <w:top w:val="none" w:sz="0" w:space="0" w:color="auto"/>
                <w:left w:val="none" w:sz="0" w:space="0" w:color="auto"/>
                <w:bottom w:val="none" w:sz="0" w:space="0" w:color="auto"/>
                <w:right w:val="none" w:sz="0" w:space="0" w:color="auto"/>
              </w:divBdr>
              <w:divsChild>
                <w:div w:id="10818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210206">
      <w:bodyDiv w:val="1"/>
      <w:marLeft w:val="0"/>
      <w:marRight w:val="0"/>
      <w:marTop w:val="0"/>
      <w:marBottom w:val="0"/>
      <w:divBdr>
        <w:top w:val="none" w:sz="0" w:space="0" w:color="auto"/>
        <w:left w:val="none" w:sz="0" w:space="0" w:color="auto"/>
        <w:bottom w:val="none" w:sz="0" w:space="0" w:color="auto"/>
        <w:right w:val="none" w:sz="0" w:space="0" w:color="auto"/>
      </w:divBdr>
    </w:div>
    <w:div w:id="546334507">
      <w:bodyDiv w:val="1"/>
      <w:marLeft w:val="0"/>
      <w:marRight w:val="0"/>
      <w:marTop w:val="0"/>
      <w:marBottom w:val="0"/>
      <w:divBdr>
        <w:top w:val="none" w:sz="0" w:space="0" w:color="auto"/>
        <w:left w:val="none" w:sz="0" w:space="0" w:color="auto"/>
        <w:bottom w:val="none" w:sz="0" w:space="0" w:color="auto"/>
        <w:right w:val="none" w:sz="0" w:space="0" w:color="auto"/>
      </w:divBdr>
    </w:div>
    <w:div w:id="553352743">
      <w:bodyDiv w:val="1"/>
      <w:marLeft w:val="0"/>
      <w:marRight w:val="0"/>
      <w:marTop w:val="0"/>
      <w:marBottom w:val="0"/>
      <w:divBdr>
        <w:top w:val="none" w:sz="0" w:space="0" w:color="auto"/>
        <w:left w:val="none" w:sz="0" w:space="0" w:color="auto"/>
        <w:bottom w:val="none" w:sz="0" w:space="0" w:color="auto"/>
        <w:right w:val="none" w:sz="0" w:space="0" w:color="auto"/>
      </w:divBdr>
    </w:div>
    <w:div w:id="555046288">
      <w:bodyDiv w:val="1"/>
      <w:marLeft w:val="0"/>
      <w:marRight w:val="0"/>
      <w:marTop w:val="0"/>
      <w:marBottom w:val="0"/>
      <w:divBdr>
        <w:top w:val="none" w:sz="0" w:space="0" w:color="auto"/>
        <w:left w:val="none" w:sz="0" w:space="0" w:color="auto"/>
        <w:bottom w:val="none" w:sz="0" w:space="0" w:color="auto"/>
        <w:right w:val="none" w:sz="0" w:space="0" w:color="auto"/>
      </w:divBdr>
    </w:div>
    <w:div w:id="559292307">
      <w:bodyDiv w:val="1"/>
      <w:marLeft w:val="0"/>
      <w:marRight w:val="0"/>
      <w:marTop w:val="0"/>
      <w:marBottom w:val="0"/>
      <w:divBdr>
        <w:top w:val="none" w:sz="0" w:space="0" w:color="auto"/>
        <w:left w:val="none" w:sz="0" w:space="0" w:color="auto"/>
        <w:bottom w:val="none" w:sz="0" w:space="0" w:color="auto"/>
        <w:right w:val="none" w:sz="0" w:space="0" w:color="auto"/>
      </w:divBdr>
    </w:div>
    <w:div w:id="593322091">
      <w:bodyDiv w:val="1"/>
      <w:marLeft w:val="0"/>
      <w:marRight w:val="0"/>
      <w:marTop w:val="0"/>
      <w:marBottom w:val="0"/>
      <w:divBdr>
        <w:top w:val="none" w:sz="0" w:space="0" w:color="auto"/>
        <w:left w:val="none" w:sz="0" w:space="0" w:color="auto"/>
        <w:bottom w:val="none" w:sz="0" w:space="0" w:color="auto"/>
        <w:right w:val="none" w:sz="0" w:space="0" w:color="auto"/>
      </w:divBdr>
    </w:div>
    <w:div w:id="593822833">
      <w:bodyDiv w:val="1"/>
      <w:marLeft w:val="0"/>
      <w:marRight w:val="0"/>
      <w:marTop w:val="0"/>
      <w:marBottom w:val="0"/>
      <w:divBdr>
        <w:top w:val="none" w:sz="0" w:space="0" w:color="auto"/>
        <w:left w:val="none" w:sz="0" w:space="0" w:color="auto"/>
        <w:bottom w:val="none" w:sz="0" w:space="0" w:color="auto"/>
        <w:right w:val="none" w:sz="0" w:space="0" w:color="auto"/>
      </w:divBdr>
    </w:div>
    <w:div w:id="618217698">
      <w:bodyDiv w:val="1"/>
      <w:marLeft w:val="0"/>
      <w:marRight w:val="0"/>
      <w:marTop w:val="0"/>
      <w:marBottom w:val="0"/>
      <w:divBdr>
        <w:top w:val="none" w:sz="0" w:space="0" w:color="auto"/>
        <w:left w:val="none" w:sz="0" w:space="0" w:color="auto"/>
        <w:bottom w:val="none" w:sz="0" w:space="0" w:color="auto"/>
        <w:right w:val="none" w:sz="0" w:space="0" w:color="auto"/>
      </w:divBdr>
    </w:div>
    <w:div w:id="623191822">
      <w:bodyDiv w:val="1"/>
      <w:marLeft w:val="0"/>
      <w:marRight w:val="0"/>
      <w:marTop w:val="0"/>
      <w:marBottom w:val="0"/>
      <w:divBdr>
        <w:top w:val="none" w:sz="0" w:space="0" w:color="auto"/>
        <w:left w:val="none" w:sz="0" w:space="0" w:color="auto"/>
        <w:bottom w:val="none" w:sz="0" w:space="0" w:color="auto"/>
        <w:right w:val="none" w:sz="0" w:space="0" w:color="auto"/>
      </w:divBdr>
    </w:div>
    <w:div w:id="626353302">
      <w:bodyDiv w:val="1"/>
      <w:marLeft w:val="0"/>
      <w:marRight w:val="0"/>
      <w:marTop w:val="0"/>
      <w:marBottom w:val="0"/>
      <w:divBdr>
        <w:top w:val="none" w:sz="0" w:space="0" w:color="auto"/>
        <w:left w:val="none" w:sz="0" w:space="0" w:color="auto"/>
        <w:bottom w:val="none" w:sz="0" w:space="0" w:color="auto"/>
        <w:right w:val="none" w:sz="0" w:space="0" w:color="auto"/>
      </w:divBdr>
    </w:div>
    <w:div w:id="629095311">
      <w:bodyDiv w:val="1"/>
      <w:marLeft w:val="0"/>
      <w:marRight w:val="0"/>
      <w:marTop w:val="0"/>
      <w:marBottom w:val="0"/>
      <w:divBdr>
        <w:top w:val="none" w:sz="0" w:space="0" w:color="auto"/>
        <w:left w:val="none" w:sz="0" w:space="0" w:color="auto"/>
        <w:bottom w:val="none" w:sz="0" w:space="0" w:color="auto"/>
        <w:right w:val="none" w:sz="0" w:space="0" w:color="auto"/>
      </w:divBdr>
    </w:div>
    <w:div w:id="693388615">
      <w:bodyDiv w:val="1"/>
      <w:marLeft w:val="0"/>
      <w:marRight w:val="0"/>
      <w:marTop w:val="0"/>
      <w:marBottom w:val="0"/>
      <w:divBdr>
        <w:top w:val="none" w:sz="0" w:space="0" w:color="auto"/>
        <w:left w:val="none" w:sz="0" w:space="0" w:color="auto"/>
        <w:bottom w:val="none" w:sz="0" w:space="0" w:color="auto"/>
        <w:right w:val="none" w:sz="0" w:space="0" w:color="auto"/>
      </w:divBdr>
    </w:div>
    <w:div w:id="700665059">
      <w:bodyDiv w:val="1"/>
      <w:marLeft w:val="0"/>
      <w:marRight w:val="0"/>
      <w:marTop w:val="0"/>
      <w:marBottom w:val="0"/>
      <w:divBdr>
        <w:top w:val="none" w:sz="0" w:space="0" w:color="auto"/>
        <w:left w:val="none" w:sz="0" w:space="0" w:color="auto"/>
        <w:bottom w:val="none" w:sz="0" w:space="0" w:color="auto"/>
        <w:right w:val="none" w:sz="0" w:space="0" w:color="auto"/>
      </w:divBdr>
    </w:div>
    <w:div w:id="724259653">
      <w:bodyDiv w:val="1"/>
      <w:marLeft w:val="0"/>
      <w:marRight w:val="0"/>
      <w:marTop w:val="0"/>
      <w:marBottom w:val="0"/>
      <w:divBdr>
        <w:top w:val="none" w:sz="0" w:space="0" w:color="auto"/>
        <w:left w:val="none" w:sz="0" w:space="0" w:color="auto"/>
        <w:bottom w:val="none" w:sz="0" w:space="0" w:color="auto"/>
        <w:right w:val="none" w:sz="0" w:space="0" w:color="auto"/>
      </w:divBdr>
    </w:div>
    <w:div w:id="725493406">
      <w:bodyDiv w:val="1"/>
      <w:marLeft w:val="0"/>
      <w:marRight w:val="0"/>
      <w:marTop w:val="0"/>
      <w:marBottom w:val="0"/>
      <w:divBdr>
        <w:top w:val="none" w:sz="0" w:space="0" w:color="auto"/>
        <w:left w:val="none" w:sz="0" w:space="0" w:color="auto"/>
        <w:bottom w:val="none" w:sz="0" w:space="0" w:color="auto"/>
        <w:right w:val="none" w:sz="0" w:space="0" w:color="auto"/>
      </w:divBdr>
    </w:div>
    <w:div w:id="727461177">
      <w:bodyDiv w:val="1"/>
      <w:marLeft w:val="0"/>
      <w:marRight w:val="0"/>
      <w:marTop w:val="0"/>
      <w:marBottom w:val="0"/>
      <w:divBdr>
        <w:top w:val="none" w:sz="0" w:space="0" w:color="auto"/>
        <w:left w:val="none" w:sz="0" w:space="0" w:color="auto"/>
        <w:bottom w:val="none" w:sz="0" w:space="0" w:color="auto"/>
        <w:right w:val="none" w:sz="0" w:space="0" w:color="auto"/>
      </w:divBdr>
    </w:div>
    <w:div w:id="752122306">
      <w:bodyDiv w:val="1"/>
      <w:marLeft w:val="0"/>
      <w:marRight w:val="0"/>
      <w:marTop w:val="0"/>
      <w:marBottom w:val="0"/>
      <w:divBdr>
        <w:top w:val="none" w:sz="0" w:space="0" w:color="auto"/>
        <w:left w:val="none" w:sz="0" w:space="0" w:color="auto"/>
        <w:bottom w:val="none" w:sz="0" w:space="0" w:color="auto"/>
        <w:right w:val="none" w:sz="0" w:space="0" w:color="auto"/>
      </w:divBdr>
    </w:div>
    <w:div w:id="757945961">
      <w:bodyDiv w:val="1"/>
      <w:marLeft w:val="0"/>
      <w:marRight w:val="0"/>
      <w:marTop w:val="0"/>
      <w:marBottom w:val="0"/>
      <w:divBdr>
        <w:top w:val="none" w:sz="0" w:space="0" w:color="auto"/>
        <w:left w:val="none" w:sz="0" w:space="0" w:color="auto"/>
        <w:bottom w:val="none" w:sz="0" w:space="0" w:color="auto"/>
        <w:right w:val="none" w:sz="0" w:space="0" w:color="auto"/>
      </w:divBdr>
    </w:div>
    <w:div w:id="772751562">
      <w:bodyDiv w:val="1"/>
      <w:marLeft w:val="0"/>
      <w:marRight w:val="0"/>
      <w:marTop w:val="0"/>
      <w:marBottom w:val="0"/>
      <w:divBdr>
        <w:top w:val="none" w:sz="0" w:space="0" w:color="auto"/>
        <w:left w:val="none" w:sz="0" w:space="0" w:color="auto"/>
        <w:bottom w:val="none" w:sz="0" w:space="0" w:color="auto"/>
        <w:right w:val="none" w:sz="0" w:space="0" w:color="auto"/>
      </w:divBdr>
    </w:div>
    <w:div w:id="798033062">
      <w:bodyDiv w:val="1"/>
      <w:marLeft w:val="0"/>
      <w:marRight w:val="0"/>
      <w:marTop w:val="0"/>
      <w:marBottom w:val="0"/>
      <w:divBdr>
        <w:top w:val="none" w:sz="0" w:space="0" w:color="auto"/>
        <w:left w:val="none" w:sz="0" w:space="0" w:color="auto"/>
        <w:bottom w:val="none" w:sz="0" w:space="0" w:color="auto"/>
        <w:right w:val="none" w:sz="0" w:space="0" w:color="auto"/>
      </w:divBdr>
    </w:div>
    <w:div w:id="803502199">
      <w:bodyDiv w:val="1"/>
      <w:marLeft w:val="0"/>
      <w:marRight w:val="0"/>
      <w:marTop w:val="0"/>
      <w:marBottom w:val="0"/>
      <w:divBdr>
        <w:top w:val="none" w:sz="0" w:space="0" w:color="auto"/>
        <w:left w:val="none" w:sz="0" w:space="0" w:color="auto"/>
        <w:bottom w:val="none" w:sz="0" w:space="0" w:color="auto"/>
        <w:right w:val="none" w:sz="0" w:space="0" w:color="auto"/>
      </w:divBdr>
    </w:div>
    <w:div w:id="854685729">
      <w:bodyDiv w:val="1"/>
      <w:marLeft w:val="0"/>
      <w:marRight w:val="0"/>
      <w:marTop w:val="0"/>
      <w:marBottom w:val="0"/>
      <w:divBdr>
        <w:top w:val="none" w:sz="0" w:space="0" w:color="auto"/>
        <w:left w:val="none" w:sz="0" w:space="0" w:color="auto"/>
        <w:bottom w:val="none" w:sz="0" w:space="0" w:color="auto"/>
        <w:right w:val="none" w:sz="0" w:space="0" w:color="auto"/>
      </w:divBdr>
    </w:div>
    <w:div w:id="859859620">
      <w:bodyDiv w:val="1"/>
      <w:marLeft w:val="0"/>
      <w:marRight w:val="0"/>
      <w:marTop w:val="0"/>
      <w:marBottom w:val="0"/>
      <w:divBdr>
        <w:top w:val="none" w:sz="0" w:space="0" w:color="auto"/>
        <w:left w:val="none" w:sz="0" w:space="0" w:color="auto"/>
        <w:bottom w:val="none" w:sz="0" w:space="0" w:color="auto"/>
        <w:right w:val="none" w:sz="0" w:space="0" w:color="auto"/>
      </w:divBdr>
    </w:div>
    <w:div w:id="862673914">
      <w:bodyDiv w:val="1"/>
      <w:marLeft w:val="0"/>
      <w:marRight w:val="0"/>
      <w:marTop w:val="0"/>
      <w:marBottom w:val="0"/>
      <w:divBdr>
        <w:top w:val="none" w:sz="0" w:space="0" w:color="auto"/>
        <w:left w:val="none" w:sz="0" w:space="0" w:color="auto"/>
        <w:bottom w:val="none" w:sz="0" w:space="0" w:color="auto"/>
        <w:right w:val="none" w:sz="0" w:space="0" w:color="auto"/>
      </w:divBdr>
    </w:div>
    <w:div w:id="898780842">
      <w:bodyDiv w:val="1"/>
      <w:marLeft w:val="0"/>
      <w:marRight w:val="0"/>
      <w:marTop w:val="0"/>
      <w:marBottom w:val="0"/>
      <w:divBdr>
        <w:top w:val="none" w:sz="0" w:space="0" w:color="auto"/>
        <w:left w:val="none" w:sz="0" w:space="0" w:color="auto"/>
        <w:bottom w:val="none" w:sz="0" w:space="0" w:color="auto"/>
        <w:right w:val="none" w:sz="0" w:space="0" w:color="auto"/>
      </w:divBdr>
    </w:div>
    <w:div w:id="963005219">
      <w:bodyDiv w:val="1"/>
      <w:marLeft w:val="0"/>
      <w:marRight w:val="0"/>
      <w:marTop w:val="0"/>
      <w:marBottom w:val="0"/>
      <w:divBdr>
        <w:top w:val="none" w:sz="0" w:space="0" w:color="auto"/>
        <w:left w:val="none" w:sz="0" w:space="0" w:color="auto"/>
        <w:bottom w:val="none" w:sz="0" w:space="0" w:color="auto"/>
        <w:right w:val="none" w:sz="0" w:space="0" w:color="auto"/>
      </w:divBdr>
    </w:div>
    <w:div w:id="970864858">
      <w:bodyDiv w:val="1"/>
      <w:marLeft w:val="0"/>
      <w:marRight w:val="0"/>
      <w:marTop w:val="0"/>
      <w:marBottom w:val="0"/>
      <w:divBdr>
        <w:top w:val="none" w:sz="0" w:space="0" w:color="auto"/>
        <w:left w:val="none" w:sz="0" w:space="0" w:color="auto"/>
        <w:bottom w:val="none" w:sz="0" w:space="0" w:color="auto"/>
        <w:right w:val="none" w:sz="0" w:space="0" w:color="auto"/>
      </w:divBdr>
    </w:div>
    <w:div w:id="997852589">
      <w:bodyDiv w:val="1"/>
      <w:marLeft w:val="0"/>
      <w:marRight w:val="0"/>
      <w:marTop w:val="0"/>
      <w:marBottom w:val="0"/>
      <w:divBdr>
        <w:top w:val="none" w:sz="0" w:space="0" w:color="auto"/>
        <w:left w:val="none" w:sz="0" w:space="0" w:color="auto"/>
        <w:bottom w:val="none" w:sz="0" w:space="0" w:color="auto"/>
        <w:right w:val="none" w:sz="0" w:space="0" w:color="auto"/>
      </w:divBdr>
    </w:div>
    <w:div w:id="1027609348">
      <w:bodyDiv w:val="1"/>
      <w:marLeft w:val="0"/>
      <w:marRight w:val="0"/>
      <w:marTop w:val="0"/>
      <w:marBottom w:val="0"/>
      <w:divBdr>
        <w:top w:val="none" w:sz="0" w:space="0" w:color="auto"/>
        <w:left w:val="none" w:sz="0" w:space="0" w:color="auto"/>
        <w:bottom w:val="none" w:sz="0" w:space="0" w:color="auto"/>
        <w:right w:val="none" w:sz="0" w:space="0" w:color="auto"/>
      </w:divBdr>
    </w:div>
    <w:div w:id="1033195724">
      <w:bodyDiv w:val="1"/>
      <w:marLeft w:val="0"/>
      <w:marRight w:val="0"/>
      <w:marTop w:val="0"/>
      <w:marBottom w:val="0"/>
      <w:divBdr>
        <w:top w:val="none" w:sz="0" w:space="0" w:color="auto"/>
        <w:left w:val="none" w:sz="0" w:space="0" w:color="auto"/>
        <w:bottom w:val="none" w:sz="0" w:space="0" w:color="auto"/>
        <w:right w:val="none" w:sz="0" w:space="0" w:color="auto"/>
      </w:divBdr>
    </w:div>
    <w:div w:id="1039433581">
      <w:bodyDiv w:val="1"/>
      <w:marLeft w:val="0"/>
      <w:marRight w:val="0"/>
      <w:marTop w:val="0"/>
      <w:marBottom w:val="0"/>
      <w:divBdr>
        <w:top w:val="none" w:sz="0" w:space="0" w:color="auto"/>
        <w:left w:val="none" w:sz="0" w:space="0" w:color="auto"/>
        <w:bottom w:val="none" w:sz="0" w:space="0" w:color="auto"/>
        <w:right w:val="none" w:sz="0" w:space="0" w:color="auto"/>
      </w:divBdr>
    </w:div>
    <w:div w:id="1044870583">
      <w:bodyDiv w:val="1"/>
      <w:marLeft w:val="0"/>
      <w:marRight w:val="0"/>
      <w:marTop w:val="0"/>
      <w:marBottom w:val="0"/>
      <w:divBdr>
        <w:top w:val="none" w:sz="0" w:space="0" w:color="auto"/>
        <w:left w:val="none" w:sz="0" w:space="0" w:color="auto"/>
        <w:bottom w:val="none" w:sz="0" w:space="0" w:color="auto"/>
        <w:right w:val="none" w:sz="0" w:space="0" w:color="auto"/>
      </w:divBdr>
    </w:div>
    <w:div w:id="1048916870">
      <w:bodyDiv w:val="1"/>
      <w:marLeft w:val="0"/>
      <w:marRight w:val="0"/>
      <w:marTop w:val="0"/>
      <w:marBottom w:val="0"/>
      <w:divBdr>
        <w:top w:val="none" w:sz="0" w:space="0" w:color="auto"/>
        <w:left w:val="none" w:sz="0" w:space="0" w:color="auto"/>
        <w:bottom w:val="none" w:sz="0" w:space="0" w:color="auto"/>
        <w:right w:val="none" w:sz="0" w:space="0" w:color="auto"/>
      </w:divBdr>
    </w:div>
    <w:div w:id="1053702236">
      <w:bodyDiv w:val="1"/>
      <w:marLeft w:val="0"/>
      <w:marRight w:val="0"/>
      <w:marTop w:val="0"/>
      <w:marBottom w:val="0"/>
      <w:divBdr>
        <w:top w:val="none" w:sz="0" w:space="0" w:color="auto"/>
        <w:left w:val="none" w:sz="0" w:space="0" w:color="auto"/>
        <w:bottom w:val="none" w:sz="0" w:space="0" w:color="auto"/>
        <w:right w:val="none" w:sz="0" w:space="0" w:color="auto"/>
      </w:divBdr>
    </w:div>
    <w:div w:id="1064836745">
      <w:bodyDiv w:val="1"/>
      <w:marLeft w:val="0"/>
      <w:marRight w:val="0"/>
      <w:marTop w:val="0"/>
      <w:marBottom w:val="0"/>
      <w:divBdr>
        <w:top w:val="none" w:sz="0" w:space="0" w:color="auto"/>
        <w:left w:val="none" w:sz="0" w:space="0" w:color="auto"/>
        <w:bottom w:val="none" w:sz="0" w:space="0" w:color="auto"/>
        <w:right w:val="none" w:sz="0" w:space="0" w:color="auto"/>
      </w:divBdr>
    </w:div>
    <w:div w:id="1160853324">
      <w:bodyDiv w:val="1"/>
      <w:marLeft w:val="0"/>
      <w:marRight w:val="0"/>
      <w:marTop w:val="0"/>
      <w:marBottom w:val="0"/>
      <w:divBdr>
        <w:top w:val="none" w:sz="0" w:space="0" w:color="auto"/>
        <w:left w:val="none" w:sz="0" w:space="0" w:color="auto"/>
        <w:bottom w:val="none" w:sz="0" w:space="0" w:color="auto"/>
        <w:right w:val="none" w:sz="0" w:space="0" w:color="auto"/>
      </w:divBdr>
    </w:div>
    <w:div w:id="1167868998">
      <w:bodyDiv w:val="1"/>
      <w:marLeft w:val="0"/>
      <w:marRight w:val="0"/>
      <w:marTop w:val="0"/>
      <w:marBottom w:val="0"/>
      <w:divBdr>
        <w:top w:val="none" w:sz="0" w:space="0" w:color="auto"/>
        <w:left w:val="none" w:sz="0" w:space="0" w:color="auto"/>
        <w:bottom w:val="none" w:sz="0" w:space="0" w:color="auto"/>
        <w:right w:val="none" w:sz="0" w:space="0" w:color="auto"/>
      </w:divBdr>
    </w:div>
    <w:div w:id="1184976351">
      <w:bodyDiv w:val="1"/>
      <w:marLeft w:val="0"/>
      <w:marRight w:val="0"/>
      <w:marTop w:val="0"/>
      <w:marBottom w:val="0"/>
      <w:divBdr>
        <w:top w:val="none" w:sz="0" w:space="0" w:color="auto"/>
        <w:left w:val="none" w:sz="0" w:space="0" w:color="auto"/>
        <w:bottom w:val="none" w:sz="0" w:space="0" w:color="auto"/>
        <w:right w:val="none" w:sz="0" w:space="0" w:color="auto"/>
      </w:divBdr>
    </w:div>
    <w:div w:id="1191916292">
      <w:bodyDiv w:val="1"/>
      <w:marLeft w:val="0"/>
      <w:marRight w:val="0"/>
      <w:marTop w:val="0"/>
      <w:marBottom w:val="0"/>
      <w:divBdr>
        <w:top w:val="none" w:sz="0" w:space="0" w:color="auto"/>
        <w:left w:val="none" w:sz="0" w:space="0" w:color="auto"/>
        <w:bottom w:val="none" w:sz="0" w:space="0" w:color="auto"/>
        <w:right w:val="none" w:sz="0" w:space="0" w:color="auto"/>
      </w:divBdr>
    </w:div>
    <w:div w:id="1196892238">
      <w:bodyDiv w:val="1"/>
      <w:marLeft w:val="0"/>
      <w:marRight w:val="0"/>
      <w:marTop w:val="0"/>
      <w:marBottom w:val="0"/>
      <w:divBdr>
        <w:top w:val="none" w:sz="0" w:space="0" w:color="auto"/>
        <w:left w:val="none" w:sz="0" w:space="0" w:color="auto"/>
        <w:bottom w:val="none" w:sz="0" w:space="0" w:color="auto"/>
        <w:right w:val="none" w:sz="0" w:space="0" w:color="auto"/>
      </w:divBdr>
    </w:div>
    <w:div w:id="1211452638">
      <w:bodyDiv w:val="1"/>
      <w:marLeft w:val="0"/>
      <w:marRight w:val="0"/>
      <w:marTop w:val="0"/>
      <w:marBottom w:val="0"/>
      <w:divBdr>
        <w:top w:val="none" w:sz="0" w:space="0" w:color="auto"/>
        <w:left w:val="none" w:sz="0" w:space="0" w:color="auto"/>
        <w:bottom w:val="none" w:sz="0" w:space="0" w:color="auto"/>
        <w:right w:val="none" w:sz="0" w:space="0" w:color="auto"/>
      </w:divBdr>
    </w:div>
    <w:div w:id="1279486254">
      <w:bodyDiv w:val="1"/>
      <w:marLeft w:val="0"/>
      <w:marRight w:val="0"/>
      <w:marTop w:val="0"/>
      <w:marBottom w:val="0"/>
      <w:divBdr>
        <w:top w:val="none" w:sz="0" w:space="0" w:color="auto"/>
        <w:left w:val="none" w:sz="0" w:space="0" w:color="auto"/>
        <w:bottom w:val="none" w:sz="0" w:space="0" w:color="auto"/>
        <w:right w:val="none" w:sz="0" w:space="0" w:color="auto"/>
      </w:divBdr>
    </w:div>
    <w:div w:id="1288122308">
      <w:bodyDiv w:val="1"/>
      <w:marLeft w:val="0"/>
      <w:marRight w:val="0"/>
      <w:marTop w:val="0"/>
      <w:marBottom w:val="0"/>
      <w:divBdr>
        <w:top w:val="none" w:sz="0" w:space="0" w:color="auto"/>
        <w:left w:val="none" w:sz="0" w:space="0" w:color="auto"/>
        <w:bottom w:val="none" w:sz="0" w:space="0" w:color="auto"/>
        <w:right w:val="none" w:sz="0" w:space="0" w:color="auto"/>
      </w:divBdr>
    </w:div>
    <w:div w:id="1307855515">
      <w:bodyDiv w:val="1"/>
      <w:marLeft w:val="0"/>
      <w:marRight w:val="0"/>
      <w:marTop w:val="0"/>
      <w:marBottom w:val="0"/>
      <w:divBdr>
        <w:top w:val="none" w:sz="0" w:space="0" w:color="auto"/>
        <w:left w:val="none" w:sz="0" w:space="0" w:color="auto"/>
        <w:bottom w:val="none" w:sz="0" w:space="0" w:color="auto"/>
        <w:right w:val="none" w:sz="0" w:space="0" w:color="auto"/>
      </w:divBdr>
    </w:div>
    <w:div w:id="1412658057">
      <w:bodyDiv w:val="1"/>
      <w:marLeft w:val="0"/>
      <w:marRight w:val="0"/>
      <w:marTop w:val="0"/>
      <w:marBottom w:val="0"/>
      <w:divBdr>
        <w:top w:val="none" w:sz="0" w:space="0" w:color="auto"/>
        <w:left w:val="none" w:sz="0" w:space="0" w:color="auto"/>
        <w:bottom w:val="none" w:sz="0" w:space="0" w:color="auto"/>
        <w:right w:val="none" w:sz="0" w:space="0" w:color="auto"/>
      </w:divBdr>
    </w:div>
    <w:div w:id="1413043838">
      <w:bodyDiv w:val="1"/>
      <w:marLeft w:val="0"/>
      <w:marRight w:val="0"/>
      <w:marTop w:val="0"/>
      <w:marBottom w:val="0"/>
      <w:divBdr>
        <w:top w:val="none" w:sz="0" w:space="0" w:color="auto"/>
        <w:left w:val="none" w:sz="0" w:space="0" w:color="auto"/>
        <w:bottom w:val="none" w:sz="0" w:space="0" w:color="auto"/>
        <w:right w:val="none" w:sz="0" w:space="0" w:color="auto"/>
      </w:divBdr>
    </w:div>
    <w:div w:id="1429739917">
      <w:bodyDiv w:val="1"/>
      <w:marLeft w:val="0"/>
      <w:marRight w:val="0"/>
      <w:marTop w:val="0"/>
      <w:marBottom w:val="0"/>
      <w:divBdr>
        <w:top w:val="none" w:sz="0" w:space="0" w:color="auto"/>
        <w:left w:val="none" w:sz="0" w:space="0" w:color="auto"/>
        <w:bottom w:val="none" w:sz="0" w:space="0" w:color="auto"/>
        <w:right w:val="none" w:sz="0" w:space="0" w:color="auto"/>
      </w:divBdr>
    </w:div>
    <w:div w:id="1460148037">
      <w:bodyDiv w:val="1"/>
      <w:marLeft w:val="0"/>
      <w:marRight w:val="0"/>
      <w:marTop w:val="0"/>
      <w:marBottom w:val="0"/>
      <w:divBdr>
        <w:top w:val="none" w:sz="0" w:space="0" w:color="auto"/>
        <w:left w:val="none" w:sz="0" w:space="0" w:color="auto"/>
        <w:bottom w:val="none" w:sz="0" w:space="0" w:color="auto"/>
        <w:right w:val="none" w:sz="0" w:space="0" w:color="auto"/>
      </w:divBdr>
    </w:div>
    <w:div w:id="1468552213">
      <w:bodyDiv w:val="1"/>
      <w:marLeft w:val="0"/>
      <w:marRight w:val="0"/>
      <w:marTop w:val="0"/>
      <w:marBottom w:val="0"/>
      <w:divBdr>
        <w:top w:val="none" w:sz="0" w:space="0" w:color="auto"/>
        <w:left w:val="none" w:sz="0" w:space="0" w:color="auto"/>
        <w:bottom w:val="none" w:sz="0" w:space="0" w:color="auto"/>
        <w:right w:val="none" w:sz="0" w:space="0" w:color="auto"/>
      </w:divBdr>
    </w:div>
    <w:div w:id="1479884581">
      <w:bodyDiv w:val="1"/>
      <w:marLeft w:val="0"/>
      <w:marRight w:val="0"/>
      <w:marTop w:val="0"/>
      <w:marBottom w:val="0"/>
      <w:divBdr>
        <w:top w:val="none" w:sz="0" w:space="0" w:color="auto"/>
        <w:left w:val="none" w:sz="0" w:space="0" w:color="auto"/>
        <w:bottom w:val="none" w:sz="0" w:space="0" w:color="auto"/>
        <w:right w:val="none" w:sz="0" w:space="0" w:color="auto"/>
      </w:divBdr>
    </w:div>
    <w:div w:id="1485733269">
      <w:bodyDiv w:val="1"/>
      <w:marLeft w:val="0"/>
      <w:marRight w:val="0"/>
      <w:marTop w:val="0"/>
      <w:marBottom w:val="0"/>
      <w:divBdr>
        <w:top w:val="none" w:sz="0" w:space="0" w:color="auto"/>
        <w:left w:val="none" w:sz="0" w:space="0" w:color="auto"/>
        <w:bottom w:val="none" w:sz="0" w:space="0" w:color="auto"/>
        <w:right w:val="none" w:sz="0" w:space="0" w:color="auto"/>
      </w:divBdr>
    </w:div>
    <w:div w:id="1509253015">
      <w:bodyDiv w:val="1"/>
      <w:marLeft w:val="0"/>
      <w:marRight w:val="0"/>
      <w:marTop w:val="0"/>
      <w:marBottom w:val="0"/>
      <w:divBdr>
        <w:top w:val="none" w:sz="0" w:space="0" w:color="auto"/>
        <w:left w:val="none" w:sz="0" w:space="0" w:color="auto"/>
        <w:bottom w:val="none" w:sz="0" w:space="0" w:color="auto"/>
        <w:right w:val="none" w:sz="0" w:space="0" w:color="auto"/>
      </w:divBdr>
    </w:div>
    <w:div w:id="1611544667">
      <w:bodyDiv w:val="1"/>
      <w:marLeft w:val="0"/>
      <w:marRight w:val="0"/>
      <w:marTop w:val="0"/>
      <w:marBottom w:val="0"/>
      <w:divBdr>
        <w:top w:val="none" w:sz="0" w:space="0" w:color="auto"/>
        <w:left w:val="none" w:sz="0" w:space="0" w:color="auto"/>
        <w:bottom w:val="none" w:sz="0" w:space="0" w:color="auto"/>
        <w:right w:val="none" w:sz="0" w:space="0" w:color="auto"/>
      </w:divBdr>
    </w:div>
    <w:div w:id="1614357740">
      <w:bodyDiv w:val="1"/>
      <w:marLeft w:val="0"/>
      <w:marRight w:val="0"/>
      <w:marTop w:val="0"/>
      <w:marBottom w:val="0"/>
      <w:divBdr>
        <w:top w:val="none" w:sz="0" w:space="0" w:color="auto"/>
        <w:left w:val="none" w:sz="0" w:space="0" w:color="auto"/>
        <w:bottom w:val="none" w:sz="0" w:space="0" w:color="auto"/>
        <w:right w:val="none" w:sz="0" w:space="0" w:color="auto"/>
      </w:divBdr>
    </w:div>
    <w:div w:id="1616450005">
      <w:bodyDiv w:val="1"/>
      <w:marLeft w:val="0"/>
      <w:marRight w:val="0"/>
      <w:marTop w:val="0"/>
      <w:marBottom w:val="0"/>
      <w:divBdr>
        <w:top w:val="none" w:sz="0" w:space="0" w:color="auto"/>
        <w:left w:val="none" w:sz="0" w:space="0" w:color="auto"/>
        <w:bottom w:val="none" w:sz="0" w:space="0" w:color="auto"/>
        <w:right w:val="none" w:sz="0" w:space="0" w:color="auto"/>
      </w:divBdr>
    </w:div>
    <w:div w:id="1626227551">
      <w:bodyDiv w:val="1"/>
      <w:marLeft w:val="0"/>
      <w:marRight w:val="0"/>
      <w:marTop w:val="0"/>
      <w:marBottom w:val="0"/>
      <w:divBdr>
        <w:top w:val="none" w:sz="0" w:space="0" w:color="auto"/>
        <w:left w:val="none" w:sz="0" w:space="0" w:color="auto"/>
        <w:bottom w:val="none" w:sz="0" w:space="0" w:color="auto"/>
        <w:right w:val="none" w:sz="0" w:space="0" w:color="auto"/>
      </w:divBdr>
    </w:div>
    <w:div w:id="1632129215">
      <w:bodyDiv w:val="1"/>
      <w:marLeft w:val="0"/>
      <w:marRight w:val="0"/>
      <w:marTop w:val="0"/>
      <w:marBottom w:val="0"/>
      <w:divBdr>
        <w:top w:val="none" w:sz="0" w:space="0" w:color="auto"/>
        <w:left w:val="none" w:sz="0" w:space="0" w:color="auto"/>
        <w:bottom w:val="none" w:sz="0" w:space="0" w:color="auto"/>
        <w:right w:val="none" w:sz="0" w:space="0" w:color="auto"/>
      </w:divBdr>
    </w:div>
    <w:div w:id="1643533832">
      <w:bodyDiv w:val="1"/>
      <w:marLeft w:val="0"/>
      <w:marRight w:val="0"/>
      <w:marTop w:val="0"/>
      <w:marBottom w:val="0"/>
      <w:divBdr>
        <w:top w:val="none" w:sz="0" w:space="0" w:color="auto"/>
        <w:left w:val="none" w:sz="0" w:space="0" w:color="auto"/>
        <w:bottom w:val="none" w:sz="0" w:space="0" w:color="auto"/>
        <w:right w:val="none" w:sz="0" w:space="0" w:color="auto"/>
      </w:divBdr>
    </w:div>
    <w:div w:id="1660109421">
      <w:bodyDiv w:val="1"/>
      <w:marLeft w:val="0"/>
      <w:marRight w:val="0"/>
      <w:marTop w:val="0"/>
      <w:marBottom w:val="0"/>
      <w:divBdr>
        <w:top w:val="none" w:sz="0" w:space="0" w:color="auto"/>
        <w:left w:val="none" w:sz="0" w:space="0" w:color="auto"/>
        <w:bottom w:val="none" w:sz="0" w:space="0" w:color="auto"/>
        <w:right w:val="none" w:sz="0" w:space="0" w:color="auto"/>
      </w:divBdr>
    </w:div>
    <w:div w:id="1678340586">
      <w:bodyDiv w:val="1"/>
      <w:marLeft w:val="0"/>
      <w:marRight w:val="0"/>
      <w:marTop w:val="0"/>
      <w:marBottom w:val="0"/>
      <w:divBdr>
        <w:top w:val="none" w:sz="0" w:space="0" w:color="auto"/>
        <w:left w:val="none" w:sz="0" w:space="0" w:color="auto"/>
        <w:bottom w:val="none" w:sz="0" w:space="0" w:color="auto"/>
        <w:right w:val="none" w:sz="0" w:space="0" w:color="auto"/>
      </w:divBdr>
    </w:div>
    <w:div w:id="1725254459">
      <w:bodyDiv w:val="1"/>
      <w:marLeft w:val="0"/>
      <w:marRight w:val="0"/>
      <w:marTop w:val="0"/>
      <w:marBottom w:val="0"/>
      <w:divBdr>
        <w:top w:val="none" w:sz="0" w:space="0" w:color="auto"/>
        <w:left w:val="none" w:sz="0" w:space="0" w:color="auto"/>
        <w:bottom w:val="none" w:sz="0" w:space="0" w:color="auto"/>
        <w:right w:val="none" w:sz="0" w:space="0" w:color="auto"/>
      </w:divBdr>
    </w:div>
    <w:div w:id="1773239484">
      <w:bodyDiv w:val="1"/>
      <w:marLeft w:val="0"/>
      <w:marRight w:val="0"/>
      <w:marTop w:val="0"/>
      <w:marBottom w:val="0"/>
      <w:divBdr>
        <w:top w:val="none" w:sz="0" w:space="0" w:color="auto"/>
        <w:left w:val="none" w:sz="0" w:space="0" w:color="auto"/>
        <w:bottom w:val="none" w:sz="0" w:space="0" w:color="auto"/>
        <w:right w:val="none" w:sz="0" w:space="0" w:color="auto"/>
      </w:divBdr>
    </w:div>
    <w:div w:id="1819031484">
      <w:bodyDiv w:val="1"/>
      <w:marLeft w:val="0"/>
      <w:marRight w:val="0"/>
      <w:marTop w:val="0"/>
      <w:marBottom w:val="0"/>
      <w:divBdr>
        <w:top w:val="none" w:sz="0" w:space="0" w:color="auto"/>
        <w:left w:val="none" w:sz="0" w:space="0" w:color="auto"/>
        <w:bottom w:val="none" w:sz="0" w:space="0" w:color="auto"/>
        <w:right w:val="none" w:sz="0" w:space="0" w:color="auto"/>
      </w:divBdr>
    </w:div>
    <w:div w:id="1830630742">
      <w:bodyDiv w:val="1"/>
      <w:marLeft w:val="0"/>
      <w:marRight w:val="0"/>
      <w:marTop w:val="0"/>
      <w:marBottom w:val="0"/>
      <w:divBdr>
        <w:top w:val="none" w:sz="0" w:space="0" w:color="auto"/>
        <w:left w:val="none" w:sz="0" w:space="0" w:color="auto"/>
        <w:bottom w:val="none" w:sz="0" w:space="0" w:color="auto"/>
        <w:right w:val="none" w:sz="0" w:space="0" w:color="auto"/>
      </w:divBdr>
    </w:div>
    <w:div w:id="1844390131">
      <w:bodyDiv w:val="1"/>
      <w:marLeft w:val="0"/>
      <w:marRight w:val="0"/>
      <w:marTop w:val="0"/>
      <w:marBottom w:val="0"/>
      <w:divBdr>
        <w:top w:val="none" w:sz="0" w:space="0" w:color="auto"/>
        <w:left w:val="none" w:sz="0" w:space="0" w:color="auto"/>
        <w:bottom w:val="none" w:sz="0" w:space="0" w:color="auto"/>
        <w:right w:val="none" w:sz="0" w:space="0" w:color="auto"/>
      </w:divBdr>
    </w:div>
    <w:div w:id="1855727889">
      <w:bodyDiv w:val="1"/>
      <w:marLeft w:val="0"/>
      <w:marRight w:val="0"/>
      <w:marTop w:val="0"/>
      <w:marBottom w:val="0"/>
      <w:divBdr>
        <w:top w:val="none" w:sz="0" w:space="0" w:color="auto"/>
        <w:left w:val="none" w:sz="0" w:space="0" w:color="auto"/>
        <w:bottom w:val="none" w:sz="0" w:space="0" w:color="auto"/>
        <w:right w:val="none" w:sz="0" w:space="0" w:color="auto"/>
      </w:divBdr>
    </w:div>
    <w:div w:id="1874417168">
      <w:bodyDiv w:val="1"/>
      <w:marLeft w:val="0"/>
      <w:marRight w:val="0"/>
      <w:marTop w:val="0"/>
      <w:marBottom w:val="0"/>
      <w:divBdr>
        <w:top w:val="none" w:sz="0" w:space="0" w:color="auto"/>
        <w:left w:val="none" w:sz="0" w:space="0" w:color="auto"/>
        <w:bottom w:val="none" w:sz="0" w:space="0" w:color="auto"/>
        <w:right w:val="none" w:sz="0" w:space="0" w:color="auto"/>
      </w:divBdr>
    </w:div>
    <w:div w:id="1882814982">
      <w:bodyDiv w:val="1"/>
      <w:marLeft w:val="0"/>
      <w:marRight w:val="0"/>
      <w:marTop w:val="0"/>
      <w:marBottom w:val="0"/>
      <w:divBdr>
        <w:top w:val="none" w:sz="0" w:space="0" w:color="auto"/>
        <w:left w:val="none" w:sz="0" w:space="0" w:color="auto"/>
        <w:bottom w:val="none" w:sz="0" w:space="0" w:color="auto"/>
        <w:right w:val="none" w:sz="0" w:space="0" w:color="auto"/>
      </w:divBdr>
    </w:div>
    <w:div w:id="1945575809">
      <w:bodyDiv w:val="1"/>
      <w:marLeft w:val="0"/>
      <w:marRight w:val="0"/>
      <w:marTop w:val="0"/>
      <w:marBottom w:val="0"/>
      <w:divBdr>
        <w:top w:val="none" w:sz="0" w:space="0" w:color="auto"/>
        <w:left w:val="none" w:sz="0" w:space="0" w:color="auto"/>
        <w:bottom w:val="none" w:sz="0" w:space="0" w:color="auto"/>
        <w:right w:val="none" w:sz="0" w:space="0" w:color="auto"/>
      </w:divBdr>
    </w:div>
    <w:div w:id="1981380359">
      <w:bodyDiv w:val="1"/>
      <w:marLeft w:val="0"/>
      <w:marRight w:val="0"/>
      <w:marTop w:val="0"/>
      <w:marBottom w:val="0"/>
      <w:divBdr>
        <w:top w:val="none" w:sz="0" w:space="0" w:color="auto"/>
        <w:left w:val="none" w:sz="0" w:space="0" w:color="auto"/>
        <w:bottom w:val="none" w:sz="0" w:space="0" w:color="auto"/>
        <w:right w:val="none" w:sz="0" w:space="0" w:color="auto"/>
      </w:divBdr>
    </w:div>
    <w:div w:id="1983383467">
      <w:bodyDiv w:val="1"/>
      <w:marLeft w:val="0"/>
      <w:marRight w:val="0"/>
      <w:marTop w:val="0"/>
      <w:marBottom w:val="0"/>
      <w:divBdr>
        <w:top w:val="none" w:sz="0" w:space="0" w:color="auto"/>
        <w:left w:val="none" w:sz="0" w:space="0" w:color="auto"/>
        <w:bottom w:val="none" w:sz="0" w:space="0" w:color="auto"/>
        <w:right w:val="none" w:sz="0" w:space="0" w:color="auto"/>
      </w:divBdr>
    </w:div>
    <w:div w:id="1994336743">
      <w:bodyDiv w:val="1"/>
      <w:marLeft w:val="0"/>
      <w:marRight w:val="0"/>
      <w:marTop w:val="0"/>
      <w:marBottom w:val="0"/>
      <w:divBdr>
        <w:top w:val="none" w:sz="0" w:space="0" w:color="auto"/>
        <w:left w:val="none" w:sz="0" w:space="0" w:color="auto"/>
        <w:bottom w:val="none" w:sz="0" w:space="0" w:color="auto"/>
        <w:right w:val="none" w:sz="0" w:space="0" w:color="auto"/>
      </w:divBdr>
    </w:div>
    <w:div w:id="2094203938">
      <w:bodyDiv w:val="1"/>
      <w:marLeft w:val="0"/>
      <w:marRight w:val="0"/>
      <w:marTop w:val="0"/>
      <w:marBottom w:val="0"/>
      <w:divBdr>
        <w:top w:val="none" w:sz="0" w:space="0" w:color="auto"/>
        <w:left w:val="none" w:sz="0" w:space="0" w:color="auto"/>
        <w:bottom w:val="none" w:sz="0" w:space="0" w:color="auto"/>
        <w:right w:val="none" w:sz="0" w:space="0" w:color="auto"/>
      </w:divBdr>
    </w:div>
    <w:div w:id="2105346804">
      <w:bodyDiv w:val="1"/>
      <w:marLeft w:val="0"/>
      <w:marRight w:val="0"/>
      <w:marTop w:val="0"/>
      <w:marBottom w:val="0"/>
      <w:divBdr>
        <w:top w:val="none" w:sz="0" w:space="0" w:color="auto"/>
        <w:left w:val="none" w:sz="0" w:space="0" w:color="auto"/>
        <w:bottom w:val="none" w:sz="0" w:space="0" w:color="auto"/>
        <w:right w:val="none" w:sz="0" w:space="0" w:color="auto"/>
      </w:divBdr>
    </w:div>
    <w:div w:id="211736359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news.bbc.co.uk/2/hi/south_asia/country_profiles/1166516.stm" TargetMode="External"/><Relationship Id="rId21" Type="http://schemas.openxmlformats.org/officeDocument/2006/relationships/hyperlink" Target="http://www.unicef.org/about/who/index_mission.html" TargetMode="External"/><Relationship Id="rId42" Type="http://schemas.openxmlformats.org/officeDocument/2006/relationships/hyperlink" Target="http://www.inseconline.org/pics/1244451929.pdf" TargetMode="External"/><Relationship Id="rId47" Type="http://schemas.openxmlformats.org/officeDocument/2006/relationships/hyperlink" Target="http://www.insec.org.np/index.php?type=reports&amp;id=1&amp;lang=en" TargetMode="External"/><Relationship Id="rId63" Type="http://schemas.openxmlformats.org/officeDocument/2006/relationships/hyperlink" Target="http://www.escwa.un.org/divisions/pptcd/upload/uneg.pdf" TargetMode="External"/><Relationship Id="rId68" Type="http://schemas.openxmlformats.org/officeDocument/2006/relationships/hyperlink" Target="http://www.unmin.org.np/?d=about&amp;p=mandate" TargetMode="External"/><Relationship Id="rId2" Type="http://schemas.openxmlformats.org/officeDocument/2006/relationships/styles" Target="styles.xml"/><Relationship Id="rId16" Type="http://schemas.openxmlformats.org/officeDocument/2006/relationships/hyperlink" Target="http://www.nepal.icbl.org" TargetMode="External"/><Relationship Id="rId29" Type="http://schemas.openxmlformats.org/officeDocument/2006/relationships/hyperlink" Target="https://www.cia.gov/library/publications/the-world-factbook/geos/np.html" TargetMode="External"/><Relationship Id="rId11" Type="http://schemas.openxmlformats.org/officeDocument/2006/relationships/hyperlink" Target="http://www.nepal.icbl.org" TargetMode="External"/><Relationship Id="rId24" Type="http://schemas.openxmlformats.org/officeDocument/2006/relationships/hyperlink" Target="http://www.inseconline.org/index.php?type=reports&amp;id=5&amp;lang=en" TargetMode="External"/><Relationship Id="rId32" Type="http://schemas.openxmlformats.org/officeDocument/2006/relationships/hyperlink" Target="http://www.handicap-international.us/in-the-us/" TargetMode="External"/><Relationship Id="rId37" Type="http://schemas.openxmlformats.org/officeDocument/2006/relationships/hyperlink" Target="http://www.inseconline.org/pics/1244451007.pdf" TargetMode="External"/><Relationship Id="rId40" Type="http://schemas.openxmlformats.org/officeDocument/2006/relationships/hyperlink" Target="http://www.inseconline.org/pics/1244451555.pdf" TargetMode="External"/><Relationship Id="rId45" Type="http://schemas.openxmlformats.org/officeDocument/2006/relationships/hyperlink" Target="http://www.inseconline.org/pics/1244452080.pdf" TargetMode="External"/><Relationship Id="rId53" Type="http://schemas.openxmlformats.org/officeDocument/2006/relationships/hyperlink" Target="http://www.the-monitor.org/index.php/publications/display?act=submit&amp;pqs_year=2001&amp;pqs_type=lm&amp;pqs_report=nepal&amp;pqs_section" TargetMode="External"/><Relationship Id="rId58" Type="http://schemas.openxmlformats.org/officeDocument/2006/relationships/hyperlink" Target="http://www.the-monitor.org/index.php/publications/display?act=submit&amp;pqs_year=2006&amp;pqs_type=lm&amp;pqs_report=nepal&amp;pqs_section" TargetMode="External"/><Relationship Id="rId66" Type="http://schemas.openxmlformats.org/officeDocument/2006/relationships/hyperlink" Target="http://ocha-gwapps1.unog.ch/rw/lib.nsf/db900sid/RURI-6P2RT3/$file/imas-8gen-nov05.pdf?openelement" TargetMode="External"/><Relationship Id="rId74" Type="http://schemas.openxmlformats.org/officeDocument/2006/relationships/customXml" Target="../customXml/item1.xml"/><Relationship Id="rId5" Type="http://schemas.openxmlformats.org/officeDocument/2006/relationships/webSettings" Target="webSettings.xml"/><Relationship Id="rId61" Type="http://schemas.openxmlformats.org/officeDocument/2006/relationships/hyperlink" Target="http://www.the-monitor.org/index.php/publications/display?act=submit&amp;pqs_year=2009&amp;pqs_type=lm&amp;pqs_report=nepal&amp;pqs_section" TargetMode="External"/><Relationship Id="rId19" Type="http://schemas.openxmlformats.org/officeDocument/2006/relationships/hyperlink" Target="http://www.handicap-international.org" TargetMode="External"/><Relationship Id="rId14" Type="http://schemas.openxmlformats.org/officeDocument/2006/relationships/hyperlink" Target="http://www.nepal.icbl.org" TargetMode="External"/><Relationship Id="rId22" Type="http://schemas.openxmlformats.org/officeDocument/2006/relationships/footer" Target="footer1.xml"/><Relationship Id="rId27" Type="http://schemas.openxmlformats.org/officeDocument/2006/relationships/hyperlink" Target="http://www.cdc.gov/mmwr/preview/mmwrhtml/rr5013a1.htm" TargetMode="External"/><Relationship Id="rId30" Type="http://schemas.openxmlformats.org/officeDocument/2006/relationships/hyperlink" Target="http://www.mineaction.org/country.asp?c=129" TargetMode="External"/><Relationship Id="rId35" Type="http://schemas.openxmlformats.org/officeDocument/2006/relationships/hyperlink" Target="http://www.inseconline.org/pics/1244450908.pdf" TargetMode="External"/><Relationship Id="rId43" Type="http://schemas.openxmlformats.org/officeDocument/2006/relationships/hyperlink" Target="http://www.inseconline.org/pics/1244451031.pdf" TargetMode="External"/><Relationship Id="rId48" Type="http://schemas.openxmlformats.org/officeDocument/2006/relationships/hyperlink" Target="http://www.inseconline.org/pics/1244452441.pdf" TargetMode="External"/><Relationship Id="rId56" Type="http://schemas.openxmlformats.org/officeDocument/2006/relationships/hyperlink" Target="http://www.the-monitor.org/index.php/publications/display?act=submit&amp;pqs_year=2004&amp;pqs_type=lm&amp;pqs_report=nepal&amp;pqs_section" TargetMode="External"/><Relationship Id="rId64" Type="http://schemas.openxmlformats.org/officeDocument/2006/relationships/hyperlink" Target="http://www.uneval.org/papersandpubs/documentdetail.jsp?doc_id=22" TargetMode="External"/><Relationship Id="rId69" Type="http://schemas.openxmlformats.org/officeDocument/2006/relationships/hyperlink" Target="http://www.who.int/healthinfo/global_burden_disease/estimates_country/en/index.html" TargetMode="External"/><Relationship Id="rId8" Type="http://schemas.openxmlformats.org/officeDocument/2006/relationships/image" Target="media/image1.jpeg"/><Relationship Id="rId51" Type="http://schemas.openxmlformats.org/officeDocument/2006/relationships/hyperlink" Target="http://www.inseconline.org/pics/1279523096.pdf"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www.nepal.icbl.org" TargetMode="External"/><Relationship Id="rId17" Type="http://schemas.openxmlformats.org/officeDocument/2006/relationships/hyperlink" Target="http://www.insec.org.np" TargetMode="External"/><Relationship Id="rId25" Type="http://schemas.openxmlformats.org/officeDocument/2006/relationships/hyperlink" Target="http://news.bbc.co.uk/2/hi/south_asia/country_profiles/1166502.stm" TargetMode="External"/><Relationship Id="rId33" Type="http://schemas.openxmlformats.org/officeDocument/2006/relationships/hyperlink" Target="http://www.handicap-international.org.uk/about_us/index" TargetMode="External"/><Relationship Id="rId38" Type="http://schemas.openxmlformats.org/officeDocument/2006/relationships/hyperlink" Target="http://www.un.org.np/reports//INSEC/2006/Handicap%20Final%20Report.pdf" TargetMode="External"/><Relationship Id="rId46" Type="http://schemas.openxmlformats.org/officeDocument/2006/relationships/hyperlink" Target="http://www.insec.org.np/index.php?type=cms&amp;id=1&amp;lang=en" TargetMode="External"/><Relationship Id="rId59" Type="http://schemas.openxmlformats.org/officeDocument/2006/relationships/hyperlink" Target="http://www.the-monitor.org/index.php/publications/display?act=submit&amp;pqs_year=2007&amp;pqs_type=lm&amp;pqs_report=nepal&amp;pqs_section" TargetMode="External"/><Relationship Id="rId67" Type="http://schemas.openxmlformats.org/officeDocument/2006/relationships/hyperlink" Target="http://ocha-gwapps1.unog.ch/rw/lib.nsf/db900sid/RURI-6P9RL9/$file/imas-12gen-nov05.pdf?openelement" TargetMode="External"/><Relationship Id="rId20" Type="http://schemas.openxmlformats.org/officeDocument/2006/relationships/hyperlink" Target="http://www.unicef.org/nepal/" TargetMode="External"/><Relationship Id="rId41" Type="http://schemas.openxmlformats.org/officeDocument/2006/relationships/hyperlink" Target="http://www.inseconline.org/pics/1244451628.pdf" TargetMode="External"/><Relationship Id="rId54" Type="http://schemas.openxmlformats.org/officeDocument/2006/relationships/hyperlink" Target="http://www.the-monitor.org/index.php/publications/display?act=submit&amp;pqs_year=2002&amp;pqs_type=lm&amp;pqs_report=nepal&amp;pqs_section" TargetMode="External"/><Relationship Id="rId62" Type="http://schemas.openxmlformats.org/officeDocument/2006/relationships/hyperlink" Target="http://kumj.com.np/ftp/issue/17/editorial2.pdf" TargetMode="External"/><Relationship Id="rId70" Type="http://schemas.openxmlformats.org/officeDocument/2006/relationships/footer" Target="footer2.xml"/><Relationship Id="rId75"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nepal.icbl.org" TargetMode="External"/><Relationship Id="rId23" Type="http://schemas.openxmlformats.org/officeDocument/2006/relationships/image" Target="media/image3.png"/><Relationship Id="rId28" Type="http://schemas.openxmlformats.org/officeDocument/2006/relationships/hyperlink" Target="http://www.cbs.gov.np/available_publications.php" TargetMode="External"/><Relationship Id="rId36" Type="http://schemas.openxmlformats.org/officeDocument/2006/relationships/hyperlink" Target="http://www.inseconline.org/pics/1244451007.pdf" TargetMode="External"/><Relationship Id="rId49" Type="http://schemas.openxmlformats.org/officeDocument/2006/relationships/hyperlink" Target="http://www.inseconline.org/pics/1271926138.pdf" TargetMode="External"/><Relationship Id="rId57" Type="http://schemas.openxmlformats.org/officeDocument/2006/relationships/hyperlink" Target="http://www.the-monitor.org/index.php/publications/display?act=submit&amp;pqs_year=2005&amp;pqs_type=lm&amp;pqs_report=nepal&amp;pqs_section" TargetMode="External"/><Relationship Id="rId10" Type="http://schemas.openxmlformats.org/officeDocument/2006/relationships/hyperlink" Target="http://www.nepal.icbl.org" TargetMode="External"/><Relationship Id="rId31" Type="http://schemas.openxmlformats.org/officeDocument/2006/relationships/hyperlink" Target="http://www.mineaction.org/overview.asp?o=17" TargetMode="External"/><Relationship Id="rId44" Type="http://schemas.openxmlformats.org/officeDocument/2006/relationships/hyperlink" Target="http://www.inseconline.org/pics/1244451067.pdf" TargetMode="External"/><Relationship Id="rId52" Type="http://schemas.openxmlformats.org/officeDocument/2006/relationships/hyperlink" Target="http://www.the-monitor.org/index.php/publications/display?act=submit&amp;pqs_year=2000&amp;pqs_type=lm&amp;pqs_report=nepal&amp;pqs_section" TargetMode="External"/><Relationship Id="rId60" Type="http://schemas.openxmlformats.org/officeDocument/2006/relationships/hyperlink" Target="http://www.the-monitor.org/index.php/publications/display?act=submit&amp;pqs_year=2008&amp;pqs_type=lm&amp;pqs_report=nepal&amp;pqs_section" TargetMode="External"/><Relationship Id="rId65" Type="http://schemas.openxmlformats.org/officeDocument/2006/relationships/hyperlink" Target="http://ocha-gwapps1.unog.ch/rw/lib.nsf/db900sid/RURI-6NRPJC/$file/imas-gen-nov05.pdf?openelement"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nepal.icbl.org" TargetMode="External"/><Relationship Id="rId18" Type="http://schemas.openxmlformats.org/officeDocument/2006/relationships/hyperlink" Target="http://www.inseconline.org" TargetMode="External"/><Relationship Id="rId39" Type="http://schemas.openxmlformats.org/officeDocument/2006/relationships/hyperlink" Target="http://www.inseconline.org/pics/1244451287.pdf" TargetMode="External"/><Relationship Id="rId34" Type="http://schemas.openxmlformats.org/officeDocument/2006/relationships/hyperlink" Target="http://www.inseconline.org/pics/1244450644.pdf" TargetMode="External"/><Relationship Id="rId50" Type="http://schemas.openxmlformats.org/officeDocument/2006/relationships/hyperlink" Target="http://www.inseconline.org" TargetMode="External"/><Relationship Id="rId55" Type="http://schemas.openxmlformats.org/officeDocument/2006/relationships/hyperlink" Target="http://www.the-monitor.org/index.php/publications/display?act=submit&amp;pqs_year=2003&amp;pqs_type=lm&amp;pqs_report=nepal&amp;pqs_section" TargetMode="External"/><Relationship Id="rId76"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image" Target="media/image4.emf"/></Relationships>
</file>

<file path=word/_rels/endnotes.xml.rels><?xml version="1.0" encoding="UTF-8" standalone="yes"?>
<Relationships xmlns="http://schemas.openxmlformats.org/package/2006/relationships"><Relationship Id="rId117" Type="http://schemas.openxmlformats.org/officeDocument/2006/relationships/hyperlink" Target="http://www.the-monitor.org/index.php/publications/display?act=submit&amp;pqs_year=2002&amp;pqs_type=lm&amp;pqs_report=nepal&amp;pqs_section" TargetMode="External"/><Relationship Id="rId21" Type="http://schemas.openxmlformats.org/officeDocument/2006/relationships/hyperlink" Target="http://www.the-monitor.org/index.php/publications/display?act=submit&amp;pqs_year=2007&amp;pqs_type=lm&amp;pqs_report=nepal&amp;pqs_section" TargetMode="External"/><Relationship Id="rId42" Type="http://schemas.openxmlformats.org/officeDocument/2006/relationships/hyperlink" Target="http://www.the-monitor.org/index.php/publications/display?act=submit&amp;pqs_year=2002&amp;pqs_type=lm&amp;pqs_report=nepal&amp;pqs_section" TargetMode="External"/><Relationship Id="rId63" Type="http://schemas.openxmlformats.org/officeDocument/2006/relationships/hyperlink" Target="http://www.the-monitor.org/index.php/publications/display?act=submit&amp;pqs_year=2006&amp;pqs_type=lm&amp;pqs_report=nepal&amp;pqs_section" TargetMode="External"/><Relationship Id="rId84" Type="http://schemas.openxmlformats.org/officeDocument/2006/relationships/hyperlink" Target="http://www.the-monitor.org/index.php/publications/display?act=submit&amp;pqs_year=2007&amp;pqs_type=lm&amp;pqs_report=nepal&amp;pqs_section" TargetMode="External"/><Relationship Id="rId138" Type="http://schemas.openxmlformats.org/officeDocument/2006/relationships/hyperlink" Target="http://www.inseconline.org/pics/1244451287.pdf" TargetMode="External"/><Relationship Id="rId159" Type="http://schemas.openxmlformats.org/officeDocument/2006/relationships/hyperlink" Target="http://www.inseconline.org/pics/1244451067.pdf" TargetMode="External"/><Relationship Id="rId170" Type="http://schemas.openxmlformats.org/officeDocument/2006/relationships/hyperlink" Target="http://www.the-monitor.org/index.php/publications/display?act=submit&amp;pqs_year=2009&amp;pqs_type=lm&amp;pqs_report=nepal&amp;pqs_section" TargetMode="External"/><Relationship Id="rId191" Type="http://schemas.openxmlformats.org/officeDocument/2006/relationships/hyperlink" Target="http://www.the-monitor.org/index.php/publications/display?act=submit&amp;pqs_year=2008&amp;pqs_type=lm&amp;pqs_report=nepal&amp;pqs_section" TargetMode="External"/><Relationship Id="rId205" Type="http://schemas.openxmlformats.org/officeDocument/2006/relationships/hyperlink" Target="http://www.the-monitor.org/index.php/publications/display?act=submit&amp;pqs_year=2006&amp;pqs_type=lm&amp;pqs_report=nepal&amp;pqs_section" TargetMode="External"/><Relationship Id="rId107" Type="http://schemas.openxmlformats.org/officeDocument/2006/relationships/hyperlink" Target="http://www.inseconline.org/pics/1244452441.pdf" TargetMode="External"/><Relationship Id="rId11" Type="http://schemas.openxmlformats.org/officeDocument/2006/relationships/hyperlink" Target="http://www.the-monitor.org/index.php/publications/display?act=submit&amp;pqs_year=2004&amp;pqs_type=lm&amp;pqs_report=nepal&amp;pqs_section" TargetMode="External"/><Relationship Id="rId32" Type="http://schemas.openxmlformats.org/officeDocument/2006/relationships/hyperlink" Target="http://www.the-monitor.org/index.php/publications/display?act=submit&amp;pqs_year=2003&amp;pqs_type=lm&amp;pqs_report=nepal&amp;pqs_section" TargetMode="External"/><Relationship Id="rId37" Type="http://schemas.openxmlformats.org/officeDocument/2006/relationships/hyperlink" Target="http://www.the-monitor.org/index.php/publications/display?act=submit&amp;pqs_year=2002&amp;pqs_type=lm&amp;pqs_report=nepal&amp;pqs_section" TargetMode="External"/><Relationship Id="rId53" Type="http://schemas.openxmlformats.org/officeDocument/2006/relationships/hyperlink" Target="http://www.the-monitor.org/index.php/publications/display?act=submit&amp;pqs_year=2004&amp;pqs_type=lm&amp;pqs_report=nepal&amp;pqs_section" TargetMode="External"/><Relationship Id="rId58" Type="http://schemas.openxmlformats.org/officeDocument/2006/relationships/hyperlink" Target="http://www.the-monitor.org/index.php/publications/display?act=submit&amp;pqs_year=2009&amp;pqs_type=lm&amp;pqs_report=nepal&amp;pqs_section" TargetMode="External"/><Relationship Id="rId74" Type="http://schemas.openxmlformats.org/officeDocument/2006/relationships/hyperlink" Target="http://www.mineaction.org/country.asp?c=129" TargetMode="External"/><Relationship Id="rId79" Type="http://schemas.openxmlformats.org/officeDocument/2006/relationships/hyperlink" Target="http://www.the-monitor.org/index.php/publications/display?act=submit&amp;pqs_year=2009&amp;pqs_type=lm&amp;pqs_report=nepal&amp;pqs_section" TargetMode="External"/><Relationship Id="rId102" Type="http://schemas.openxmlformats.org/officeDocument/2006/relationships/hyperlink" Target="http://www.the-monitor.org/index.php/publications/display?act=submit&amp;pqs_year=2008&amp;pqs_type=lm&amp;pqs_report=nepal&amp;pqs_section" TargetMode="External"/><Relationship Id="rId123" Type="http://schemas.openxmlformats.org/officeDocument/2006/relationships/hyperlink" Target="http://www.inseconline.org/pics/1244450644.pdf" TargetMode="External"/><Relationship Id="rId128" Type="http://schemas.openxmlformats.org/officeDocument/2006/relationships/hyperlink" Target="http://www.inseconline.org/pics/1244451287.pdf" TargetMode="External"/><Relationship Id="rId144" Type="http://schemas.openxmlformats.org/officeDocument/2006/relationships/hyperlink" Target="http://www.the-monitor.org/index.php/publications/display?act=submit&amp;pqs_year=2007&amp;pqs_type=lm&amp;pqs_report=nepal&amp;pqs_section" TargetMode="External"/><Relationship Id="rId149" Type="http://schemas.openxmlformats.org/officeDocument/2006/relationships/hyperlink" Target="http://www.the-monitor.org/index.php/publications/display?act=submit&amp;pqs_year=2008&amp;pqs_type=lm&amp;pqs_report=nepal&amp;pqs_section" TargetMode="External"/><Relationship Id="rId5" Type="http://schemas.openxmlformats.org/officeDocument/2006/relationships/hyperlink" Target="http://news.bbc.co.uk/2/hi/south_asia/country_profiles/1166502.stm" TargetMode="External"/><Relationship Id="rId90" Type="http://schemas.openxmlformats.org/officeDocument/2006/relationships/hyperlink" Target="http://www.the-monitor.org/index.php/publications/display?act=submit&amp;pqs_year=2005&amp;pqs_type=lm&amp;pqs_report=nepal&amp;pqs_section" TargetMode="External"/><Relationship Id="rId95" Type="http://schemas.openxmlformats.org/officeDocument/2006/relationships/hyperlink" Target="http://www.inseconline.org/pics/1271926138.pdf" TargetMode="External"/><Relationship Id="rId160" Type="http://schemas.openxmlformats.org/officeDocument/2006/relationships/hyperlink" Target="http://www.un.org.np/reports//INSEC/2006/Handicap%20Final%20Report.pdf" TargetMode="External"/><Relationship Id="rId165" Type="http://schemas.openxmlformats.org/officeDocument/2006/relationships/hyperlink" Target="http://www.inseconline.org/pics/1244452441.pdf" TargetMode="External"/><Relationship Id="rId181" Type="http://schemas.openxmlformats.org/officeDocument/2006/relationships/hyperlink" Target="http://kumj.com.np/ftp/issue/17/editorial2.pdf" TargetMode="External"/><Relationship Id="rId186" Type="http://schemas.openxmlformats.org/officeDocument/2006/relationships/hyperlink" Target="http://www.cdc.gov/mmwr/preview/mmwrhtml/rr5013a1.htm" TargetMode="External"/><Relationship Id="rId216" Type="http://schemas.openxmlformats.org/officeDocument/2006/relationships/hyperlink" Target="http://www.inseconline.org" TargetMode="External"/><Relationship Id="rId211" Type="http://schemas.openxmlformats.org/officeDocument/2006/relationships/hyperlink" Target="http://www.inseconline.org/pics/1244452080.pdf" TargetMode="External"/><Relationship Id="rId22" Type="http://schemas.openxmlformats.org/officeDocument/2006/relationships/hyperlink" Target="http://www.the-monitor.org/index.php/publications/display?act=submit&amp;pqs_year=2008&amp;pqs_type=lm&amp;pqs_report=nepal&amp;pqs_section" TargetMode="External"/><Relationship Id="rId27" Type="http://schemas.openxmlformats.org/officeDocument/2006/relationships/hyperlink" Target="http://www.the-monitor.org/index.php/publications/display?act=submit&amp;pqs_year=2006&amp;pqs_type=lm&amp;pqs_report=nepal&amp;pqs_section" TargetMode="External"/><Relationship Id="rId43" Type="http://schemas.openxmlformats.org/officeDocument/2006/relationships/hyperlink" Target="http://www.the-monitor.org/index.php/publications/display?act=submit&amp;pqs_year=2003&amp;pqs_type=lm&amp;pqs_report=nepal&amp;pqs_section" TargetMode="External"/><Relationship Id="rId48" Type="http://schemas.openxmlformats.org/officeDocument/2006/relationships/hyperlink" Target="http://www.the-monitor.org/index.php/publications/display?act=submit&amp;pqs_year=2005&amp;pqs_type=lm&amp;pqs_report=nepal&amp;pqs_section" TargetMode="External"/><Relationship Id="rId64" Type="http://schemas.openxmlformats.org/officeDocument/2006/relationships/hyperlink" Target="http://www.the-monitor.org/index.php/publications/display?act=submit&amp;pqs_year=2000&amp;pqs_type=lm&amp;pqs_report=nepal&amp;pqs_section" TargetMode="External"/><Relationship Id="rId69" Type="http://schemas.openxmlformats.org/officeDocument/2006/relationships/hyperlink" Target="http://www.the-monitor.org/index.php/publications/display?act=submit&amp;pqs_year=2005&amp;pqs_type=lm&amp;pqs_report=nepal&amp;pqs_section" TargetMode="External"/><Relationship Id="rId113" Type="http://schemas.openxmlformats.org/officeDocument/2006/relationships/hyperlink" Target="http://www.the-monitor.org/index.php/publications/display?act=submit&amp;pqs_year=2004&amp;pqs_type=lm&amp;pqs_report=nepal&amp;pqs_section" TargetMode="External"/><Relationship Id="rId118" Type="http://schemas.openxmlformats.org/officeDocument/2006/relationships/hyperlink" Target="http://www.the-monitor.org/index.php/publications/display?act=submit&amp;pqs_year=2003&amp;pqs_type=lm&amp;pqs_report=nepal&amp;pqs_section" TargetMode="External"/><Relationship Id="rId134" Type="http://schemas.openxmlformats.org/officeDocument/2006/relationships/hyperlink" Target="http://www.inseconline.org/pics/1244450908.pdf" TargetMode="External"/><Relationship Id="rId139" Type="http://schemas.openxmlformats.org/officeDocument/2006/relationships/hyperlink" Target="http://www.inseconline.org/pics/1244451555.pdf" TargetMode="External"/><Relationship Id="rId80" Type="http://schemas.openxmlformats.org/officeDocument/2006/relationships/hyperlink" Target="http://www.mineaction.org/country.asp?c=129" TargetMode="External"/><Relationship Id="rId85" Type="http://schemas.openxmlformats.org/officeDocument/2006/relationships/hyperlink" Target="http://www.the-monitor.org/index.php/publications/display?act=submit&amp;pqs_year=2009&amp;pqs_type=lm&amp;pqs_report=nepal&amp;pqs_section" TargetMode="External"/><Relationship Id="rId150" Type="http://schemas.openxmlformats.org/officeDocument/2006/relationships/hyperlink" Target="http://www.the-monitor.org/index.php/publications/display?act=submit&amp;pqs_year=2009&amp;pqs_type=lm&amp;pqs_report=nepal&amp;pqs_section" TargetMode="External"/><Relationship Id="rId155" Type="http://schemas.openxmlformats.org/officeDocument/2006/relationships/hyperlink" Target="http://www.insec.org.np/index.php?type=cms&amp;id=1&amp;lang=en" TargetMode="External"/><Relationship Id="rId171" Type="http://schemas.openxmlformats.org/officeDocument/2006/relationships/hyperlink" Target="http://www.the-monitor.org/index.php/publications/display?act=submit&amp;pqs_year=2007&amp;pqs_type=lm&amp;pqs_report=nepal&amp;pqs_section" TargetMode="External"/><Relationship Id="rId176" Type="http://schemas.openxmlformats.org/officeDocument/2006/relationships/hyperlink" Target="http://www.inseconline.org/pics/1244451031.pdf" TargetMode="External"/><Relationship Id="rId192" Type="http://schemas.openxmlformats.org/officeDocument/2006/relationships/hyperlink" Target="http://www.the-monitor.org/index.php/publications/display?act=submit&amp;pqs_year=2007&amp;pqs_type=lm&amp;pqs_report=nepal&amp;pqs_section" TargetMode="External"/><Relationship Id="rId197" Type="http://schemas.openxmlformats.org/officeDocument/2006/relationships/hyperlink" Target="http://www.the-monitor.org/index.php/publications/display?act=submit&amp;pqs_year=2008&amp;pqs_type=lm&amp;pqs_report=nepal&amp;pqs_section" TargetMode="External"/><Relationship Id="rId206" Type="http://schemas.openxmlformats.org/officeDocument/2006/relationships/hyperlink" Target="http://www.the-monitor.org/index.php/publications/display?act=submit&amp;pqs_year=2009&amp;pqs_type=lm&amp;pqs_report=nepal&amp;pqs_section" TargetMode="External"/><Relationship Id="rId201" Type="http://schemas.openxmlformats.org/officeDocument/2006/relationships/hyperlink" Target="http://www.the-monitor.org/index.php/publications/display?act=submit&amp;pqs_year=2008&amp;pqs_type=lm&amp;pqs_report=nepal&amp;pqs_section" TargetMode="External"/><Relationship Id="rId12" Type="http://schemas.openxmlformats.org/officeDocument/2006/relationships/hyperlink" Target="http://www.the-monitor.org/index.php/publications/display?act=submit&amp;pqs_year=2002&amp;pqs_type=lm&amp;pqs_report=nepal&amp;pqs_section" TargetMode="External"/><Relationship Id="rId17" Type="http://schemas.openxmlformats.org/officeDocument/2006/relationships/hyperlink" Target="http://www.the-monitor.org/index.php/publications/display?act=submit&amp;pqs_year=2009&amp;pqs_type=lm&amp;pqs_report=nepal&amp;pqs_section" TargetMode="External"/><Relationship Id="rId33" Type="http://schemas.openxmlformats.org/officeDocument/2006/relationships/hyperlink" Target="http://www.the-monitor.org/index.php/publications/display?act=submit&amp;pqs_year=2004&amp;pqs_type=lm&amp;pqs_report=nepal&amp;pqs_section" TargetMode="External"/><Relationship Id="rId38" Type="http://schemas.openxmlformats.org/officeDocument/2006/relationships/hyperlink" Target="http://www.mineaction.org/country.asp?c=129" TargetMode="External"/><Relationship Id="rId59" Type="http://schemas.openxmlformats.org/officeDocument/2006/relationships/hyperlink" Target="http://www.the-monitor.org/index.php/publications/display?act=submit&amp;pqs_year=2002&amp;pqs_type=lm&amp;pqs_report=nepal&amp;pqs_section" TargetMode="External"/><Relationship Id="rId103" Type="http://schemas.openxmlformats.org/officeDocument/2006/relationships/hyperlink" Target="http://www.the-monitor.org/index.php/publications/display?act=submit&amp;pqs_year=2001&amp;pqs_type=lm&amp;pqs_report=nepal&amp;pqs_section" TargetMode="External"/><Relationship Id="rId108" Type="http://schemas.openxmlformats.org/officeDocument/2006/relationships/hyperlink" Target="http://www.inseconline.org/pics/1271926138.pdf" TargetMode="External"/><Relationship Id="rId124" Type="http://schemas.openxmlformats.org/officeDocument/2006/relationships/hyperlink" Target="http://www.inseconline.org/pics/1244450908.pdf" TargetMode="External"/><Relationship Id="rId129" Type="http://schemas.openxmlformats.org/officeDocument/2006/relationships/hyperlink" Target="http://www.inseconline.org/pics/1244451555.pdf" TargetMode="External"/><Relationship Id="rId54" Type="http://schemas.openxmlformats.org/officeDocument/2006/relationships/hyperlink" Target="http://www.the-monitor.org/index.php/publications/display?act=submit&amp;pqs_year=2007&amp;pqs_type=lm&amp;pqs_report=nepal&amp;pqs_section" TargetMode="External"/><Relationship Id="rId70" Type="http://schemas.openxmlformats.org/officeDocument/2006/relationships/hyperlink" Target="http://www.mineaction.org/country.asp?c=129" TargetMode="External"/><Relationship Id="rId75" Type="http://schemas.openxmlformats.org/officeDocument/2006/relationships/hyperlink" Target="http://www.mineaction.org/country.asp?c=129" TargetMode="External"/><Relationship Id="rId91" Type="http://schemas.openxmlformats.org/officeDocument/2006/relationships/hyperlink" Target="http://www.the-monitor.org/index.php/publications/display?act=submit&amp;pqs_year=2006&amp;pqs_type=lm&amp;pqs_report=nepal&amp;pqs_section" TargetMode="External"/><Relationship Id="rId96" Type="http://schemas.openxmlformats.org/officeDocument/2006/relationships/hyperlink" Target="http://www.the-monitor.org/index.php/publications/display?act=submit&amp;pqs_year=2007&amp;pqs_type=lm&amp;pqs_report=nepal&amp;pqs_section" TargetMode="External"/><Relationship Id="rId140" Type="http://schemas.openxmlformats.org/officeDocument/2006/relationships/hyperlink" Target="http://www.inseconline.org/pics/1244451628.pdf" TargetMode="External"/><Relationship Id="rId145" Type="http://schemas.openxmlformats.org/officeDocument/2006/relationships/hyperlink" Target="http://www.the-monitor.org/index.php/publications/display?act=submit&amp;pqs_year=2007&amp;pqs_type=lm&amp;pqs_report=nepal&amp;pqs_section" TargetMode="External"/><Relationship Id="rId161" Type="http://schemas.openxmlformats.org/officeDocument/2006/relationships/hyperlink" Target="http://www.inseconline.org/pics/1244451067.pdf" TargetMode="External"/><Relationship Id="rId166" Type="http://schemas.openxmlformats.org/officeDocument/2006/relationships/hyperlink" Target="http://www.inseconline.org/pics/1244451067.pdf" TargetMode="External"/><Relationship Id="rId182" Type="http://schemas.openxmlformats.org/officeDocument/2006/relationships/hyperlink" Target="http://www.who.int/healthinfo/global_burden_disease/estimates_country/en/index.html" TargetMode="External"/><Relationship Id="rId187" Type="http://schemas.openxmlformats.org/officeDocument/2006/relationships/hyperlink" Target="http://www.cdc.gov/mmwr/preview/mmwrhtml/rr5013a1.htm" TargetMode="External"/><Relationship Id="rId1" Type="http://schemas.openxmlformats.org/officeDocument/2006/relationships/hyperlink" Target="https://www.cia.gov/library/publications/the-world-factbook/geos/np.html" TargetMode="External"/><Relationship Id="rId6" Type="http://schemas.openxmlformats.org/officeDocument/2006/relationships/hyperlink" Target="http://news.bbc.co.uk/2/hi/south_asia/country_profiles/1166516.stm" TargetMode="External"/><Relationship Id="rId212" Type="http://schemas.openxmlformats.org/officeDocument/2006/relationships/hyperlink" Target="http://www.inseconline.org/pics/1244452441.pdf" TargetMode="External"/><Relationship Id="rId23" Type="http://schemas.openxmlformats.org/officeDocument/2006/relationships/hyperlink" Target="http://www.the-monitor.org/index.php/publications/display?act=submit&amp;pqs_year=2007&amp;pqs_type=lm&amp;pqs_report=nepal&amp;pqs_section" TargetMode="External"/><Relationship Id="rId28" Type="http://schemas.openxmlformats.org/officeDocument/2006/relationships/hyperlink" Target="http://www.the-monitor.org/index.php/publications/display?act=submit&amp;pqs_year=2007&amp;pqs_type=lm&amp;pqs_report=nepal&amp;pqs_section" TargetMode="External"/><Relationship Id="rId49" Type="http://schemas.openxmlformats.org/officeDocument/2006/relationships/hyperlink" Target="http://www.the-monitor.org/index.php/publications/display?act=submit&amp;pqs_year=2002&amp;pqs_type=lm&amp;pqs_report=nepal&amp;pqs_section" TargetMode="External"/><Relationship Id="rId114" Type="http://schemas.openxmlformats.org/officeDocument/2006/relationships/hyperlink" Target="http://www.escwa.un.org/divisions/pptcd/upload/uneg.pdf" TargetMode="External"/><Relationship Id="rId119" Type="http://schemas.openxmlformats.org/officeDocument/2006/relationships/hyperlink" Target="http://www.the-monitor.org/index.php/publications/display?act=submit&amp;pqs_year=2004&amp;pqs_type=lm&amp;pqs_report=nepal&amp;pqs_section" TargetMode="External"/><Relationship Id="rId44" Type="http://schemas.openxmlformats.org/officeDocument/2006/relationships/hyperlink" Target="http://www.the-monitor.org/index.php/publications/display?act=submit&amp;pqs_year=2002&amp;pqs_type=lm&amp;pqs_report=nepal&amp;pqs_section" TargetMode="External"/><Relationship Id="rId60" Type="http://schemas.openxmlformats.org/officeDocument/2006/relationships/hyperlink" Target="http://www.the-monitor.org/index.php/publications/display?act=submit&amp;pqs_year=2003&amp;pqs_type=lm&amp;pqs_report=nepal&amp;pqs_section" TargetMode="External"/><Relationship Id="rId65" Type="http://schemas.openxmlformats.org/officeDocument/2006/relationships/hyperlink" Target="http://www.the-monitor.org/index.php/publications/display?act=submit&amp;pqs_year=2006&amp;pqs_type=lm&amp;pqs_report=nepal&amp;pqs_section" TargetMode="External"/><Relationship Id="rId81" Type="http://schemas.openxmlformats.org/officeDocument/2006/relationships/hyperlink" Target="http://www.the-monitor.org/index.php/publications/display?act=submit&amp;pqs_year=2007&amp;pqs_type=lm&amp;pqs_report=nepal&amp;pqs_section" TargetMode="External"/><Relationship Id="rId86" Type="http://schemas.openxmlformats.org/officeDocument/2006/relationships/hyperlink" Target="http://news.bbc.co.uk/2/hi/south_asia/country_profiles/1166516.stm" TargetMode="External"/><Relationship Id="rId130" Type="http://schemas.openxmlformats.org/officeDocument/2006/relationships/hyperlink" Target="http://www.inseconline.org/pics/1244451628.pdf" TargetMode="External"/><Relationship Id="rId135" Type="http://schemas.openxmlformats.org/officeDocument/2006/relationships/hyperlink" Target="http://www.inseconline.org/pics/1244451007.pdf" TargetMode="External"/><Relationship Id="rId151" Type="http://schemas.openxmlformats.org/officeDocument/2006/relationships/hyperlink" Target="http://www.the-monitor.org/index.php/publications/display?act=submit&amp;pqs_year=2006&amp;pqs_type=lm&amp;pqs_report=nepal&amp;pqs_section" TargetMode="External"/><Relationship Id="rId156" Type="http://schemas.openxmlformats.org/officeDocument/2006/relationships/hyperlink" Target="http://www.the-monitor.org/index.php/publications/display?act=submit&amp;pqs_year=2006&amp;pqs_type=lm&amp;pqs_report=nepal&amp;pqs_section" TargetMode="External"/><Relationship Id="rId177" Type="http://schemas.openxmlformats.org/officeDocument/2006/relationships/hyperlink" Target="http://www.inseconline.org/pics/1244451287.pdf" TargetMode="External"/><Relationship Id="rId198" Type="http://schemas.openxmlformats.org/officeDocument/2006/relationships/hyperlink" Target="http://www.the-monitor.org/index.php/publications/display?act=submit&amp;pqs_year=2008&amp;pqs_type=lm&amp;pqs_report=nepal&amp;pqs_section" TargetMode="External"/><Relationship Id="rId172" Type="http://schemas.openxmlformats.org/officeDocument/2006/relationships/hyperlink" Target="http://www.inseconline.org/pics/1244450644.pdf" TargetMode="External"/><Relationship Id="rId193" Type="http://schemas.openxmlformats.org/officeDocument/2006/relationships/hyperlink" Target="http://www.the-monitor.org/index.php/publications/display?act=submit&amp;pqs_year=2008&amp;pqs_type=lm&amp;pqs_report=nepal&amp;pqs_section" TargetMode="External"/><Relationship Id="rId202" Type="http://schemas.openxmlformats.org/officeDocument/2006/relationships/hyperlink" Target="http://www.the-monitor.org/index.php/publications/display?act=submit&amp;pqs_year=2008&amp;pqs_type=lm&amp;pqs_report=nepal&amp;pqs_section" TargetMode="External"/><Relationship Id="rId207" Type="http://schemas.openxmlformats.org/officeDocument/2006/relationships/hyperlink" Target="http://www.the-monitor.org/index.php/publications/display?act=submit&amp;pqs_year=2008&amp;pqs_type=lm&amp;pqs_report=nepal&amp;pqs_section" TargetMode="External"/><Relationship Id="rId13" Type="http://schemas.openxmlformats.org/officeDocument/2006/relationships/hyperlink" Target="http://www.the-monitor.org/index.php/publications/display?act=submit&amp;pqs_year=2003&amp;pqs_type=lm&amp;pqs_report=nepal&amp;pqs_section" TargetMode="External"/><Relationship Id="rId18" Type="http://schemas.openxmlformats.org/officeDocument/2006/relationships/hyperlink" Target="http://www.the-monitor.org/index.php/publications/display?act=submit&amp;pqs_year=2003&amp;pqs_type=lm&amp;pqs_report=nepal&amp;pqs_section" TargetMode="External"/><Relationship Id="rId39" Type="http://schemas.openxmlformats.org/officeDocument/2006/relationships/hyperlink" Target="http://www.the-monitor.org/index.php/publications/display?act=submit&amp;pqs_year=2005&amp;pqs_type=lm&amp;pqs_report=nepal&amp;pqs_section" TargetMode="External"/><Relationship Id="rId109" Type="http://schemas.openxmlformats.org/officeDocument/2006/relationships/hyperlink" Target="http://www.the-monitor.org/index.php/publications/display?act=submit&amp;pqs_year=2003&amp;pqs_type=lm&amp;pqs_report=nepal&amp;pqs_section" TargetMode="External"/><Relationship Id="rId34" Type="http://schemas.openxmlformats.org/officeDocument/2006/relationships/hyperlink" Target="http://www.the-monitor.org/index.php/publications/display?act=submit&amp;pqs_year=2002&amp;pqs_type=lm&amp;pqs_report=nepal&amp;pqs_section" TargetMode="External"/><Relationship Id="rId50" Type="http://schemas.openxmlformats.org/officeDocument/2006/relationships/hyperlink" Target="http://www.the-monitor.org/index.php/publications/display?act=submit&amp;pqs_year=2007&amp;pqs_type=lm&amp;pqs_report=nepal&amp;pqs_section" TargetMode="External"/><Relationship Id="rId55" Type="http://schemas.openxmlformats.org/officeDocument/2006/relationships/hyperlink" Target="http://www.the-monitor.org/index.php/publications/display?act=submit&amp;pqs_year=2009&amp;pqs_type=lm&amp;pqs_report=nepal&amp;pqs_section" TargetMode="External"/><Relationship Id="rId76" Type="http://schemas.openxmlformats.org/officeDocument/2006/relationships/hyperlink" Target="http://www.the-monitor.org/index.php/publications/display?act=submit&amp;pqs_year=2005&amp;pqs_type=lm&amp;pqs_report=nepal&amp;pqs_section" TargetMode="External"/><Relationship Id="rId97" Type="http://schemas.openxmlformats.org/officeDocument/2006/relationships/hyperlink" Target="http://www.the-monitor.org/index.php/publications/display?act=submit&amp;pqs_year=2007&amp;pqs_type=lm&amp;pqs_report=nepal&amp;pqs_section" TargetMode="External"/><Relationship Id="rId104" Type="http://schemas.openxmlformats.org/officeDocument/2006/relationships/hyperlink" Target="http://www.the-monitor.org/index.php/publications/display?act=submit&amp;pqs_year=2003&amp;pqs_type=lm&amp;pqs_report=nepal&amp;pqs_section" TargetMode="External"/><Relationship Id="rId120" Type="http://schemas.openxmlformats.org/officeDocument/2006/relationships/hyperlink" Target="http://www.the-monitor.org/index.php/publications/display?act=submit&amp;pqs_year=2005&amp;pqs_type=lm&amp;pqs_report=nepal&amp;pqs_section" TargetMode="External"/><Relationship Id="rId125" Type="http://schemas.openxmlformats.org/officeDocument/2006/relationships/hyperlink" Target="http://www.inseconline.org/pics/1244451007.pdf" TargetMode="External"/><Relationship Id="rId141" Type="http://schemas.openxmlformats.org/officeDocument/2006/relationships/hyperlink" Target="http://www.inseconline.org/pics/1244451929.pdf" TargetMode="External"/><Relationship Id="rId146" Type="http://schemas.openxmlformats.org/officeDocument/2006/relationships/hyperlink" Target="http://www.the-monitor.org/index.php/publications/display?act=submit&amp;pqs_year=2007&amp;pqs_type=lm&amp;pqs_report=nepal&amp;pqs_section" TargetMode="External"/><Relationship Id="rId167" Type="http://schemas.openxmlformats.org/officeDocument/2006/relationships/hyperlink" Target="http://www.inseconline.org/pics/1244451067.pdf" TargetMode="External"/><Relationship Id="rId188" Type="http://schemas.openxmlformats.org/officeDocument/2006/relationships/hyperlink" Target="http://ocha-gwapps1.unog.ch/rw/lib.nsf/db900sid/RURI-6P9RL9/$file/imas-12gen-nov05.pdf?openelement" TargetMode="External"/><Relationship Id="rId7" Type="http://schemas.openxmlformats.org/officeDocument/2006/relationships/hyperlink" Target="http://www.unmin.org.np/?d=about&amp;p=mandate" TargetMode="External"/><Relationship Id="rId71" Type="http://schemas.openxmlformats.org/officeDocument/2006/relationships/hyperlink" Target="http://www.the-monitor.org/index.php/publications/display?act=submit&amp;pqs_year=2004&amp;pqs_type=lm&amp;pqs_report=nepal&amp;pqs_section" TargetMode="External"/><Relationship Id="rId92" Type="http://schemas.openxmlformats.org/officeDocument/2006/relationships/hyperlink" Target="http://www.the-monitor.org/index.php/publications/display?act=submit&amp;pqs_year=2007&amp;pqs_type=lm&amp;pqs_report=nepal&amp;pqs_section" TargetMode="External"/><Relationship Id="rId162" Type="http://schemas.openxmlformats.org/officeDocument/2006/relationships/hyperlink" Target="http://www.inseconline.org/pics/1244451067.pdf" TargetMode="External"/><Relationship Id="rId183" Type="http://schemas.openxmlformats.org/officeDocument/2006/relationships/hyperlink" Target="http://www.cdc.gov/mmwr/preview/mmwrhtml/rr5013a1.htm" TargetMode="External"/><Relationship Id="rId213" Type="http://schemas.openxmlformats.org/officeDocument/2006/relationships/hyperlink" Target="http://www.inseconline.org/pics/1271926138.pdf" TargetMode="External"/><Relationship Id="rId2" Type="http://schemas.openxmlformats.org/officeDocument/2006/relationships/hyperlink" Target="http://www.cbs.gov.np/available_publications.php" TargetMode="External"/><Relationship Id="rId29" Type="http://schemas.openxmlformats.org/officeDocument/2006/relationships/hyperlink" Target="http://www.the-monitor.org/index.php/publications/display?act=submit&amp;pqs_year=2005&amp;pqs_type=lm&amp;pqs_report=nepal&amp;pqs_section" TargetMode="External"/><Relationship Id="rId24" Type="http://schemas.openxmlformats.org/officeDocument/2006/relationships/hyperlink" Target="http://www.the-monitor.org/index.php/publications/display?act=submit&amp;pqs_year=2004&amp;pqs_type=lm&amp;pqs_report=nepal&amp;pqs_section" TargetMode="External"/><Relationship Id="rId40" Type="http://schemas.openxmlformats.org/officeDocument/2006/relationships/hyperlink" Target="http://www.mineaction.org/country.asp?c=129" TargetMode="External"/><Relationship Id="rId45" Type="http://schemas.openxmlformats.org/officeDocument/2006/relationships/hyperlink" Target="http://www.mineaction.org/country.asp?c=129" TargetMode="External"/><Relationship Id="rId66" Type="http://schemas.openxmlformats.org/officeDocument/2006/relationships/hyperlink" Target="http://www.the-monitor.org/index.php/publications/display?act=submit&amp;pqs_year=2002&amp;pqs_type=lm&amp;pqs_report=nepal&amp;pqs_section" TargetMode="External"/><Relationship Id="rId87" Type="http://schemas.openxmlformats.org/officeDocument/2006/relationships/hyperlink" Target="http://www.the-monitor.org/index.php/publications/display?act=submit&amp;pqs_year=2009&amp;pqs_type=lm&amp;pqs_report=nepal&amp;pqs_section" TargetMode="External"/><Relationship Id="rId110" Type="http://schemas.openxmlformats.org/officeDocument/2006/relationships/hyperlink" Target="http://www.the-monitor.org/index.php/publications/display?act=submit&amp;pqs_year=2004&amp;pqs_type=lm&amp;pqs_report=nepal&amp;pqs_section" TargetMode="External"/><Relationship Id="rId115" Type="http://schemas.openxmlformats.org/officeDocument/2006/relationships/hyperlink" Target="http://www.uneval.org/papersandpubs/documentdetail.jsp?doc_id=22" TargetMode="External"/><Relationship Id="rId131" Type="http://schemas.openxmlformats.org/officeDocument/2006/relationships/hyperlink" Target="http://www.inseconline.org/pics/1244451929.pdf" TargetMode="External"/><Relationship Id="rId136" Type="http://schemas.openxmlformats.org/officeDocument/2006/relationships/hyperlink" Target="http://www.inseconline.org/pics/1244451007.pdf" TargetMode="External"/><Relationship Id="rId157" Type="http://schemas.openxmlformats.org/officeDocument/2006/relationships/hyperlink" Target="http://www.handicap-international.us/in-the-us/" TargetMode="External"/><Relationship Id="rId178" Type="http://schemas.openxmlformats.org/officeDocument/2006/relationships/hyperlink" Target="http://www.inseconline.org/pics/1244451555.pdf" TargetMode="External"/><Relationship Id="rId61" Type="http://schemas.openxmlformats.org/officeDocument/2006/relationships/hyperlink" Target="http://www.the-monitor.org/index.php/publications/display?act=submit&amp;pqs_year=2004&amp;pqs_type=lm&amp;pqs_report=nepal&amp;pqs_section" TargetMode="External"/><Relationship Id="rId82" Type="http://schemas.openxmlformats.org/officeDocument/2006/relationships/hyperlink" Target="http://www.the-monitor.org/index.php/publications/display?act=submit&amp;pqs_year=2009&amp;pqs_type=lm&amp;pqs_report=nepal&amp;pqs_section" TargetMode="External"/><Relationship Id="rId152" Type="http://schemas.openxmlformats.org/officeDocument/2006/relationships/hyperlink" Target="http://www.inseconline.org/pics/1244450644.pdf" TargetMode="External"/><Relationship Id="rId173" Type="http://schemas.openxmlformats.org/officeDocument/2006/relationships/hyperlink" Target="http://www.inseconline.org/pics/1244450908.pdf" TargetMode="External"/><Relationship Id="rId194" Type="http://schemas.openxmlformats.org/officeDocument/2006/relationships/hyperlink" Target="http://www.the-monitor.org/index.php/publications/display?act=submit&amp;pqs_year=2008&amp;pqs_type=lm&amp;pqs_report=nepal&amp;pqs_section" TargetMode="External"/><Relationship Id="rId199" Type="http://schemas.openxmlformats.org/officeDocument/2006/relationships/hyperlink" Target="http://www.the-monitor.org/index.php/publications/display?act=submit&amp;pqs_year=2007&amp;pqs_type=lm&amp;pqs_report=nepal&amp;pqs_section" TargetMode="External"/><Relationship Id="rId203" Type="http://schemas.openxmlformats.org/officeDocument/2006/relationships/hyperlink" Target="http://www.the-monitor.org/index.php/publications/display?act=submit&amp;pqs_year=2007&amp;pqs_type=lm&amp;pqs_report=nepal&amp;pqs_section" TargetMode="External"/><Relationship Id="rId208" Type="http://schemas.openxmlformats.org/officeDocument/2006/relationships/hyperlink" Target="http://www.the-monitor.org/index.php/publications/display?act=submit&amp;pqs_year=2008&amp;pqs_type=lm&amp;pqs_report=nepal&amp;pqs_section" TargetMode="External"/><Relationship Id="rId19" Type="http://schemas.openxmlformats.org/officeDocument/2006/relationships/hyperlink" Target="http://www.the-monitor.org/index.php/publications/display?act=submit&amp;pqs_year=2004&amp;pqs_type=lm&amp;pqs_report=nepal&amp;pqs_section" TargetMode="External"/><Relationship Id="rId14" Type="http://schemas.openxmlformats.org/officeDocument/2006/relationships/hyperlink" Target="http://www.the-monitor.org/index.php/publications/display?act=submit&amp;pqs_year=2005&amp;pqs_type=lm&amp;pqs_report=nepal&amp;pqs_section" TargetMode="External"/><Relationship Id="rId30" Type="http://schemas.openxmlformats.org/officeDocument/2006/relationships/hyperlink" Target="http://www.the-monitor.org/index.php/publications/display?act=submit&amp;pqs_year=2009&amp;pqs_type=lm&amp;pqs_report=nepal&amp;pqs_section" TargetMode="External"/><Relationship Id="rId35" Type="http://schemas.openxmlformats.org/officeDocument/2006/relationships/hyperlink" Target="http://www.the-monitor.org/index.php/publications/display?act=submit&amp;pqs_year=2004&amp;pqs_type=lm&amp;pqs_report=nepal&amp;pqs_section" TargetMode="External"/><Relationship Id="rId56" Type="http://schemas.openxmlformats.org/officeDocument/2006/relationships/hyperlink" Target="http://www.the-monitor.org/index.php/publications/display?act=submit&amp;pqs_year=2002&amp;pqs_type=lm&amp;pqs_report=nepal&amp;pqs_section" TargetMode="External"/><Relationship Id="rId77" Type="http://schemas.openxmlformats.org/officeDocument/2006/relationships/hyperlink" Target="http://www.the-monitor.org/index.php/publications/display?act=submit&amp;pqs_year=2009&amp;pqs_type=lm&amp;pqs_report=nepal&amp;pqs_section" TargetMode="External"/><Relationship Id="rId100" Type="http://schemas.openxmlformats.org/officeDocument/2006/relationships/hyperlink" Target="http://www.the-monitor.org/index.php/publications/display?act=submit&amp;pqs_year=2007&amp;pqs_type=lm&amp;pqs_report=nepal&amp;pqs_section" TargetMode="External"/><Relationship Id="rId105" Type="http://schemas.openxmlformats.org/officeDocument/2006/relationships/hyperlink" Target="http://www.inseconline.org/pics/1244451067.pdf" TargetMode="External"/><Relationship Id="rId126" Type="http://schemas.openxmlformats.org/officeDocument/2006/relationships/hyperlink" Target="http://www.inseconline.org/pics/1244451007.pdf" TargetMode="External"/><Relationship Id="rId147" Type="http://schemas.openxmlformats.org/officeDocument/2006/relationships/hyperlink" Target="http://www.inseconline.org/pics/1244450644.pdf" TargetMode="External"/><Relationship Id="rId168" Type="http://schemas.openxmlformats.org/officeDocument/2006/relationships/hyperlink" Target="http://www.the-monitor.org/index.php/publications/display?act=submit&amp;pqs_year=2009&amp;pqs_type=lm&amp;pqs_report=nepal&amp;pqs_section" TargetMode="External"/><Relationship Id="rId8" Type="http://schemas.openxmlformats.org/officeDocument/2006/relationships/hyperlink" Target="http://www.the-monitor.org/index.php/publications/display?act=submit&amp;pqs_year=2003&amp;pqs_type=lm&amp;pqs_report=nepal&amp;pqs_section" TargetMode="External"/><Relationship Id="rId51" Type="http://schemas.openxmlformats.org/officeDocument/2006/relationships/hyperlink" Target="http://www.the-monitor.org/index.php/publications/display?act=submit&amp;pqs_year=2009&amp;pqs_type=lm&amp;pqs_report=nepal&amp;pqs_section" TargetMode="External"/><Relationship Id="rId72" Type="http://schemas.openxmlformats.org/officeDocument/2006/relationships/hyperlink" Target="http://www.the-monitor.org/index.php/publications/display?act=submit&amp;pqs_year=2005&amp;pqs_type=lm&amp;pqs_report=nepal&amp;pqs_section" TargetMode="External"/><Relationship Id="rId93" Type="http://schemas.openxmlformats.org/officeDocument/2006/relationships/hyperlink" Target="http://www.inseconline.org/pics/1244452080.pdf" TargetMode="External"/><Relationship Id="rId98" Type="http://schemas.openxmlformats.org/officeDocument/2006/relationships/hyperlink" Target="http://www.the-monitor.org/index.php/publications/display?act=submit&amp;pqs_year=2002&amp;pqs_type=lm&amp;pqs_report=nepal&amp;pqs_section" TargetMode="External"/><Relationship Id="rId121" Type="http://schemas.openxmlformats.org/officeDocument/2006/relationships/hyperlink" Target="http://www.the-monitor.org/index.php/publications/display?act=submit&amp;pqs_year=2003&amp;pqs_type=lm&amp;pqs_report=nepal&amp;pqs_section" TargetMode="External"/><Relationship Id="rId142" Type="http://schemas.openxmlformats.org/officeDocument/2006/relationships/hyperlink" Target="http://www.the-monitor.org/index.php/publications/display?act=submit&amp;pqs_year=2009&amp;pqs_type=lm&amp;pqs_report=nepal&amp;pqs_section" TargetMode="External"/><Relationship Id="rId163" Type="http://schemas.openxmlformats.org/officeDocument/2006/relationships/hyperlink" Target="http://www.the-monitor.org/index.php/publications/display?act=submit&amp;pqs_year=2007&amp;pqs_type=lm&amp;pqs_report=nepal&amp;pqs_section" TargetMode="External"/><Relationship Id="rId184" Type="http://schemas.openxmlformats.org/officeDocument/2006/relationships/hyperlink" Target="http://www.the-monitor.org/index.php/publications/display?act=submit&amp;pqs_year=2008&amp;pqs_type=lm&amp;pqs_report=nepal&amp;pqs_section" TargetMode="External"/><Relationship Id="rId189" Type="http://schemas.openxmlformats.org/officeDocument/2006/relationships/hyperlink" Target="http://ocha-gwapps1.unog.ch/rw/lib.nsf/db900sid/RURI-6NRPJC/$file/imas-gen-nov05.pdf?openelement" TargetMode="External"/><Relationship Id="rId3" Type="http://schemas.openxmlformats.org/officeDocument/2006/relationships/hyperlink" Target="http://www.the-monitor.org/index.php/publications/display?act=submit&amp;pqs_year=2001&amp;pqs_type=lm&amp;pqs_report=nepal&amp;pqs_section" TargetMode="External"/><Relationship Id="rId214" Type="http://schemas.openxmlformats.org/officeDocument/2006/relationships/hyperlink" Target="http://www.inseconline.org/pics/1244451067.pdf" TargetMode="External"/><Relationship Id="rId25" Type="http://schemas.openxmlformats.org/officeDocument/2006/relationships/hyperlink" Target="http://www.the-monitor.org/index.php/publications/display?act=submit&amp;pqs_year=2005&amp;pqs_type=lm&amp;pqs_report=nepal&amp;pqs_section" TargetMode="External"/><Relationship Id="rId46" Type="http://schemas.openxmlformats.org/officeDocument/2006/relationships/hyperlink" Target="http://www.the-monitor.org/index.php/publications/display?act=submit&amp;pqs_year=2005&amp;pqs_type=lm&amp;pqs_report=nepal&amp;pqs_section" TargetMode="External"/><Relationship Id="rId67" Type="http://schemas.openxmlformats.org/officeDocument/2006/relationships/hyperlink" Target="http://www.the-monitor.org/index.php/publications/display?act=submit&amp;pqs_year=2004&amp;pqs_type=lm&amp;pqs_report=nepal&amp;pqs_section" TargetMode="External"/><Relationship Id="rId116" Type="http://schemas.openxmlformats.org/officeDocument/2006/relationships/hyperlink" Target="http://www.cdc.gov/mmwr/preview/mmwrhtml/rr5013a1.htm" TargetMode="External"/><Relationship Id="rId137" Type="http://schemas.openxmlformats.org/officeDocument/2006/relationships/hyperlink" Target="http://www.inseconline.org/pics/1244451031.pdf" TargetMode="External"/><Relationship Id="rId158" Type="http://schemas.openxmlformats.org/officeDocument/2006/relationships/hyperlink" Target="http://www.handicap-international.org.uk/about_us/index" TargetMode="External"/><Relationship Id="rId20" Type="http://schemas.openxmlformats.org/officeDocument/2006/relationships/hyperlink" Target="http://www.the-monitor.org/index.php/publications/display?act=submit&amp;pqs_year=2005&amp;pqs_type=lm&amp;pqs_report=nepal&amp;pqs_section" TargetMode="External"/><Relationship Id="rId41" Type="http://schemas.openxmlformats.org/officeDocument/2006/relationships/hyperlink" Target="http://www.the-monitor.org/index.php/publications/display?act=submit&amp;pqs_year=2005&amp;pqs_type=lm&amp;pqs_report=nepal&amp;pqs_section" TargetMode="External"/><Relationship Id="rId62" Type="http://schemas.openxmlformats.org/officeDocument/2006/relationships/hyperlink" Target="http://www.the-monitor.org/index.php/publications/display?act=submit&amp;pqs_year=2005&amp;pqs_type=lm&amp;pqs_report=nepal&amp;pqs_section" TargetMode="External"/><Relationship Id="rId83" Type="http://schemas.openxmlformats.org/officeDocument/2006/relationships/hyperlink" Target="http://www.the-monitor.org/index.php/publications/display?act=submit&amp;pqs_year=2008&amp;pqs_type=lm&amp;pqs_report=nepal&amp;pqs_section" TargetMode="External"/><Relationship Id="rId88" Type="http://schemas.openxmlformats.org/officeDocument/2006/relationships/hyperlink" Target="http://www.the-monitor.org/index.php/publications/display?act=submit&amp;pqs_year=2001&amp;pqs_type=lm&amp;pqs_report=nepal&amp;pqs_section" TargetMode="External"/><Relationship Id="rId111" Type="http://schemas.openxmlformats.org/officeDocument/2006/relationships/hyperlink" Target="http://www.the-monitor.org/index.php/publications/display?act=submit&amp;pqs_year=2009&amp;pqs_type=lm&amp;pqs_report=nepal&amp;pqs_section" TargetMode="External"/><Relationship Id="rId132" Type="http://schemas.openxmlformats.org/officeDocument/2006/relationships/hyperlink" Target="http://www.the-monitor.org/index.php/publications/display?act=submit&amp;pqs_year=2006&amp;pqs_type=lm&amp;pqs_report=nepal&amp;pqs_section" TargetMode="External"/><Relationship Id="rId153" Type="http://schemas.openxmlformats.org/officeDocument/2006/relationships/hyperlink" Target="http://www.the-monitor.org/index.php/publications/display?act=submit&amp;pqs_year=2007&amp;pqs_type=lm&amp;pqs_report=nepal&amp;pqs_section" TargetMode="External"/><Relationship Id="rId174" Type="http://schemas.openxmlformats.org/officeDocument/2006/relationships/hyperlink" Target="http://www.inseconline.org/pics/1244451007.pdf" TargetMode="External"/><Relationship Id="rId179" Type="http://schemas.openxmlformats.org/officeDocument/2006/relationships/hyperlink" Target="http://www.inseconline.org/pics/1244451628.pdf" TargetMode="External"/><Relationship Id="rId195" Type="http://schemas.openxmlformats.org/officeDocument/2006/relationships/hyperlink" Target="http://www.the-monitor.org/index.php/publications/display?act=submit&amp;pqs_year=2009&amp;pqs_type=lm&amp;pqs_report=nepal&amp;pqs_section" TargetMode="External"/><Relationship Id="rId209" Type="http://schemas.openxmlformats.org/officeDocument/2006/relationships/hyperlink" Target="http://ocha-gwapps1.unog.ch/rw/lib.nsf/db900sid/RURI-6P2RT3/$file/imas-8gen-nov05.pdf?openelement" TargetMode="External"/><Relationship Id="rId190" Type="http://schemas.openxmlformats.org/officeDocument/2006/relationships/hyperlink" Target="http://www.mineaction.org/overview.asp?o=17" TargetMode="External"/><Relationship Id="rId204" Type="http://schemas.openxmlformats.org/officeDocument/2006/relationships/hyperlink" Target="http://www.the-monitor.org/index.php/publications/display?act=submit&amp;pqs_year=2009&amp;pqs_type=lm&amp;pqs_report=nepal&amp;pqs_section" TargetMode="External"/><Relationship Id="rId15" Type="http://schemas.openxmlformats.org/officeDocument/2006/relationships/hyperlink" Target="http://www.the-monitor.org/index.php/publications/display?act=submit&amp;pqs_year=2005&amp;pqs_type=lm&amp;pqs_report=nepal&amp;pqs_section" TargetMode="External"/><Relationship Id="rId36" Type="http://schemas.openxmlformats.org/officeDocument/2006/relationships/hyperlink" Target="http://www.the-monitor.org/index.php/publications/display?act=submit&amp;pqs_year=2004&amp;pqs_type=lm&amp;pqs_report=nepal&amp;pqs_section" TargetMode="External"/><Relationship Id="rId57" Type="http://schemas.openxmlformats.org/officeDocument/2006/relationships/hyperlink" Target="http://www.the-monitor.org/index.php/publications/display?act=submit&amp;pqs_year=2007&amp;pqs_type=lm&amp;pqs_report=nepal&amp;pqs_section" TargetMode="External"/><Relationship Id="rId106" Type="http://schemas.openxmlformats.org/officeDocument/2006/relationships/hyperlink" Target="http://www.inseconline.org/pics/1244452080.pdf" TargetMode="External"/><Relationship Id="rId127" Type="http://schemas.openxmlformats.org/officeDocument/2006/relationships/hyperlink" Target="http://www.inseconline.org/pics/1244451031.pdf" TargetMode="External"/><Relationship Id="rId10" Type="http://schemas.openxmlformats.org/officeDocument/2006/relationships/hyperlink" Target="http://www.the-monitor.org/index.php/publications/display?act=submit&amp;pqs_year=2003&amp;pqs_type=lm&amp;pqs_report=nepal&amp;pqs_section" TargetMode="External"/><Relationship Id="rId31" Type="http://schemas.openxmlformats.org/officeDocument/2006/relationships/hyperlink" Target="http://www.the-monitor.org/index.php/publications/display?act=submit&amp;pqs_year=2004&amp;pqs_type=lm&amp;pqs_report=nepal&amp;pqs_section" TargetMode="External"/><Relationship Id="rId52" Type="http://schemas.openxmlformats.org/officeDocument/2006/relationships/hyperlink" Target="http://www.the-monitor.org/index.php/publications/display?act=submit&amp;pqs_year=2003&amp;pqs_type=lm&amp;pqs_report=nepal&amp;pqs_section" TargetMode="External"/><Relationship Id="rId73" Type="http://schemas.openxmlformats.org/officeDocument/2006/relationships/hyperlink" Target="http://www.the-monitor.org/index.php/publications/display?act=submit&amp;pqs_year=2005&amp;pqs_type=lm&amp;pqs_report=nepal&amp;pqs_section" TargetMode="External"/><Relationship Id="rId78" Type="http://schemas.openxmlformats.org/officeDocument/2006/relationships/hyperlink" Target="http://www.mineaction.org/country.asp?c=129" TargetMode="External"/><Relationship Id="rId94" Type="http://schemas.openxmlformats.org/officeDocument/2006/relationships/hyperlink" Target="http://www.inseconline.org/pics/1244452441.pdf" TargetMode="External"/><Relationship Id="rId99" Type="http://schemas.openxmlformats.org/officeDocument/2006/relationships/hyperlink" Target="http://www.the-monitor.org/index.php/publications/display?act=submit&amp;pqs_year=2002&amp;pqs_type=lm&amp;pqs_report=nepal&amp;pqs_section" TargetMode="External"/><Relationship Id="rId101" Type="http://schemas.openxmlformats.org/officeDocument/2006/relationships/hyperlink" Target="http://www.the-monitor.org/index.php/publications/display?act=submit&amp;pqs_year=2007&amp;pqs_type=lm&amp;pqs_report=nepal&amp;pqs_section" TargetMode="External"/><Relationship Id="rId122" Type="http://schemas.openxmlformats.org/officeDocument/2006/relationships/hyperlink" Target="http://www.the-monitor.org/index.php/publications/display?act=submit&amp;pqs_year=2005&amp;pqs_type=lm&amp;pqs_report=nepal&amp;pqs_section" TargetMode="External"/><Relationship Id="rId143" Type="http://schemas.openxmlformats.org/officeDocument/2006/relationships/hyperlink" Target="http://www.inseconline.org/pics/1244450644.pdf" TargetMode="External"/><Relationship Id="rId148" Type="http://schemas.openxmlformats.org/officeDocument/2006/relationships/hyperlink" Target="http://www.inseconline.org/pics/1279523096.pdf" TargetMode="External"/><Relationship Id="rId164" Type="http://schemas.openxmlformats.org/officeDocument/2006/relationships/hyperlink" Target="http://www.inseconline.org/pics/1244452441.pdf" TargetMode="External"/><Relationship Id="rId169" Type="http://schemas.openxmlformats.org/officeDocument/2006/relationships/hyperlink" Target="http://www.the-monitor.org/index.php/publications/display?act=submit&amp;pqs_year=2008&amp;pqs_type=lm&amp;pqs_report=nepal&amp;pqs_section" TargetMode="External"/><Relationship Id="rId185" Type="http://schemas.openxmlformats.org/officeDocument/2006/relationships/hyperlink" Target="http://www.the-monitor.org/index.php/publications/display?act=submit&amp;pqs_year=2009&amp;pqs_type=lm&amp;pqs_report=nepal&amp;pqs_section" TargetMode="External"/><Relationship Id="rId4" Type="http://schemas.openxmlformats.org/officeDocument/2006/relationships/hyperlink" Target="http://www.the-monitor.org/index.php/publications/display?act=submit&amp;pqs_year=2006&amp;pqs_type=lm&amp;pqs_report=nepal&amp;pqs_section" TargetMode="External"/><Relationship Id="rId9" Type="http://schemas.openxmlformats.org/officeDocument/2006/relationships/hyperlink" Target="http://www.the-monitor.org/index.php/publications/display?act=submit&amp;pqs_year=2006&amp;pqs_type=lm&amp;pqs_report=nepal&amp;pqs_section" TargetMode="External"/><Relationship Id="rId180" Type="http://schemas.openxmlformats.org/officeDocument/2006/relationships/hyperlink" Target="http://www.inseconline.org/pics/1244451929.pdf" TargetMode="External"/><Relationship Id="rId210" Type="http://schemas.openxmlformats.org/officeDocument/2006/relationships/hyperlink" Target="http://www.inseconline.org/pics/1244451067.pdf" TargetMode="External"/><Relationship Id="rId215" Type="http://schemas.openxmlformats.org/officeDocument/2006/relationships/hyperlink" Target="http://www.inseconline.org/pics/1271926138.pdf" TargetMode="External"/><Relationship Id="rId26" Type="http://schemas.openxmlformats.org/officeDocument/2006/relationships/hyperlink" Target="http://www.the-monitor.org/index.php/publications/display?act=submit&amp;pqs_year=2008&amp;pqs_type=lm&amp;pqs_report=nepal&amp;pqs_section" TargetMode="External"/><Relationship Id="rId47" Type="http://schemas.openxmlformats.org/officeDocument/2006/relationships/hyperlink" Target="http://www.the-monitor.org/index.php/publications/display?act=submit&amp;pqs_year=2004&amp;pqs_type=lm&amp;pqs_report=nepal&amp;pqs_section" TargetMode="External"/><Relationship Id="rId68" Type="http://schemas.openxmlformats.org/officeDocument/2006/relationships/hyperlink" Target="http://www.the-monitor.org/index.php/publications/display?act=submit&amp;pqs_year=2005&amp;pqs_type=lm&amp;pqs_report=nepal&amp;pqs_section" TargetMode="External"/><Relationship Id="rId89" Type="http://schemas.openxmlformats.org/officeDocument/2006/relationships/hyperlink" Target="http://www.the-monitor.org/index.php/publications/display?act=submit&amp;pqs_year=2003&amp;pqs_type=lm&amp;pqs_report=nepal&amp;pqs_section" TargetMode="External"/><Relationship Id="rId112" Type="http://schemas.openxmlformats.org/officeDocument/2006/relationships/hyperlink" Target="http://www.the-monitor.org/index.php/publications/display?act=submit&amp;pqs_year=2003&amp;pqs_type=lm&amp;pqs_report=nepal&amp;pqs_section" TargetMode="External"/><Relationship Id="rId133" Type="http://schemas.openxmlformats.org/officeDocument/2006/relationships/hyperlink" Target="http://www.inseconline.org/pics/1244450644.pdf" TargetMode="External"/><Relationship Id="rId154" Type="http://schemas.openxmlformats.org/officeDocument/2006/relationships/hyperlink" Target="http://www.insec.org.np/index.php?type=reports&amp;id=1&amp;lang=en" TargetMode="External"/><Relationship Id="rId175" Type="http://schemas.openxmlformats.org/officeDocument/2006/relationships/hyperlink" Target="http://www.inseconline.org/pics/1244451007.pdf" TargetMode="External"/><Relationship Id="rId196" Type="http://schemas.openxmlformats.org/officeDocument/2006/relationships/hyperlink" Target="http://www.the-monitor.org/index.php/publications/display?act=submit&amp;pqs_year=2009&amp;pqs_type=lm&amp;pqs_report=nepal&amp;pqs_section" TargetMode="External"/><Relationship Id="rId200" Type="http://schemas.openxmlformats.org/officeDocument/2006/relationships/hyperlink" Target="http://www.the-monitor.org/index.php/publications/display?act=submit&amp;pqs_year=2005&amp;pqs_type=lm&amp;pqs_report=nepal&amp;pqs_section" TargetMode="External"/><Relationship Id="rId16" Type="http://schemas.openxmlformats.org/officeDocument/2006/relationships/hyperlink" Target="http://www.the-monitor.org/index.php/publications/display?act=submit&amp;pqs_year=2008&amp;pqs_type=lm&amp;pqs_report=nepal&amp;pqs_sect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who.int/whosis/en/" TargetMode="External"/><Relationship Id="rId3" Type="http://schemas.openxmlformats.org/officeDocument/2006/relationships/hyperlink" Target="http://www.insec.org.np/index.php?type=cms&amp;id=6&amp;lang=en" TargetMode="External"/><Relationship Id="rId7" Type="http://schemas.openxmlformats.org/officeDocument/2006/relationships/hyperlink" Target="http://www.getdropbox.com" TargetMode="External"/><Relationship Id="rId2" Type="http://schemas.openxmlformats.org/officeDocument/2006/relationships/hyperlink" Target="http://ph.one.un.org/response/clusters/protection/childprotection/mrm/MRM%20factsheet.pdf" TargetMode="External"/><Relationship Id="rId1" Type="http://schemas.openxmlformats.org/officeDocument/2006/relationships/hyperlink" Target="http://www.getdropbox.com" TargetMode="External"/><Relationship Id="rId6" Type="http://schemas.openxmlformats.org/officeDocument/2006/relationships/hyperlink" Target="http://www.getdropbox.com" TargetMode="External"/><Relationship Id="rId5" Type="http://schemas.openxmlformats.org/officeDocument/2006/relationships/hyperlink" Target="http://www.getdropbox.com" TargetMode="External"/><Relationship Id="rId10" Type="http://schemas.openxmlformats.org/officeDocument/2006/relationships/hyperlink" Target="http://www.who.int/whosis/en/" TargetMode="External"/><Relationship Id="rId4" Type="http://schemas.openxmlformats.org/officeDocument/2006/relationships/hyperlink" Target="http://www.gichd.org/operational-assistance-research/information-management-imsma/imsma/overview/" TargetMode="External"/><Relationship Id="rId9" Type="http://schemas.openxmlformats.org/officeDocument/2006/relationships/hyperlink" Target="http://www.ssmk.org/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890717-7F7F-449F-91C6-316F88BFCC90}"/>
</file>

<file path=customXml/itemProps2.xml><?xml version="1.0" encoding="utf-8"?>
<ds:datastoreItem xmlns:ds="http://schemas.openxmlformats.org/officeDocument/2006/customXml" ds:itemID="{755EF0F3-F229-454C-A51D-050379075E02}"/>
</file>

<file path=customXml/itemProps3.xml><?xml version="1.0" encoding="utf-8"?>
<ds:datastoreItem xmlns:ds="http://schemas.openxmlformats.org/officeDocument/2006/customXml" ds:itemID="{E05D7D80-0C97-47FB-AF06-F25F93F1AB31}"/>
</file>

<file path=docProps/app.xml><?xml version="1.0" encoding="utf-8"?>
<Properties xmlns="http://schemas.openxmlformats.org/officeDocument/2006/extended-properties" xmlns:vt="http://schemas.openxmlformats.org/officeDocument/2006/docPropsVTypes">
  <Template>Normal.dotm</Template>
  <TotalTime>0</TotalTime>
  <Pages>101</Pages>
  <Words>40493</Words>
  <Characters>230813</Characters>
  <Application>Microsoft Office Word</Application>
  <DocSecurity>0</DocSecurity>
  <Lines>1923</Lines>
  <Paragraphs>541</Paragraphs>
  <ScaleCrop>false</ScaleCrop>
  <HeadingPairs>
    <vt:vector size="2" baseType="variant">
      <vt:variant>
        <vt:lpstr>Title</vt:lpstr>
      </vt:variant>
      <vt:variant>
        <vt:i4>1</vt:i4>
      </vt:variant>
    </vt:vector>
  </HeadingPairs>
  <TitlesOfParts>
    <vt:vector size="1" baseType="lpstr">
      <vt:lpstr>Evaluation of UNICEF Nepal Mine Action Activities:</vt:lpstr>
    </vt:vector>
  </TitlesOfParts>
  <Company>CDC</Company>
  <LinksUpToDate>false</LinksUpToDate>
  <CharactersWithSpaces>270765</CharactersWithSpaces>
  <SharedDoc>false</SharedDoc>
  <HLinks>
    <vt:vector size="1704" baseType="variant">
      <vt:variant>
        <vt:i4>6815766</vt:i4>
      </vt:variant>
      <vt:variant>
        <vt:i4>174</vt:i4>
      </vt:variant>
      <vt:variant>
        <vt:i4>0</vt:i4>
      </vt:variant>
      <vt:variant>
        <vt:i4>5</vt:i4>
      </vt:variant>
      <vt:variant>
        <vt:lpwstr>http://www.who.int/healthinfo/global_burden_disease/estimates_country/en/index.html</vt:lpwstr>
      </vt:variant>
      <vt:variant>
        <vt:lpwstr/>
      </vt:variant>
      <vt:variant>
        <vt:i4>8192042</vt:i4>
      </vt:variant>
      <vt:variant>
        <vt:i4>171</vt:i4>
      </vt:variant>
      <vt:variant>
        <vt:i4>0</vt:i4>
      </vt:variant>
      <vt:variant>
        <vt:i4>5</vt:i4>
      </vt:variant>
      <vt:variant>
        <vt:lpwstr>http://www.unmin.org.np/?d=about&amp;p=mandate</vt:lpwstr>
      </vt:variant>
      <vt:variant>
        <vt:lpwstr/>
      </vt:variant>
      <vt:variant>
        <vt:i4>3604521</vt:i4>
      </vt:variant>
      <vt:variant>
        <vt:i4>168</vt:i4>
      </vt:variant>
      <vt:variant>
        <vt:i4>0</vt:i4>
      </vt:variant>
      <vt:variant>
        <vt:i4>5</vt:i4>
      </vt:variant>
      <vt:variant>
        <vt:lpwstr>http://ocha-gwapps1.unog.ch/rw/lib.nsf/db900sid/RURI-6P9RL9/$file/imas-12gen-nov05.pdf?openelement</vt:lpwstr>
      </vt:variant>
      <vt:variant>
        <vt:lpwstr/>
      </vt:variant>
      <vt:variant>
        <vt:i4>1507423</vt:i4>
      </vt:variant>
      <vt:variant>
        <vt:i4>165</vt:i4>
      </vt:variant>
      <vt:variant>
        <vt:i4>0</vt:i4>
      </vt:variant>
      <vt:variant>
        <vt:i4>5</vt:i4>
      </vt:variant>
      <vt:variant>
        <vt:lpwstr>http://ocha-gwapps1.unog.ch/rw/lib.nsf/db900sid/RURI-6P2RT3/$file/imas-8gen-nov05.pdf?openelement</vt:lpwstr>
      </vt:variant>
      <vt:variant>
        <vt:lpwstr/>
      </vt:variant>
      <vt:variant>
        <vt:i4>4915293</vt:i4>
      </vt:variant>
      <vt:variant>
        <vt:i4>162</vt:i4>
      </vt:variant>
      <vt:variant>
        <vt:i4>0</vt:i4>
      </vt:variant>
      <vt:variant>
        <vt:i4>5</vt:i4>
      </vt:variant>
      <vt:variant>
        <vt:lpwstr>http://ocha-gwapps1.unog.ch/rw/lib.nsf/db900sid/RURI-6NRPJC/$file/imas-gen-nov05.pdf?openelement</vt:lpwstr>
      </vt:variant>
      <vt:variant>
        <vt:lpwstr/>
      </vt:variant>
      <vt:variant>
        <vt:i4>1376292</vt:i4>
      </vt:variant>
      <vt:variant>
        <vt:i4>159</vt:i4>
      </vt:variant>
      <vt:variant>
        <vt:i4>0</vt:i4>
      </vt:variant>
      <vt:variant>
        <vt:i4>5</vt:i4>
      </vt:variant>
      <vt:variant>
        <vt:lpwstr>http://www.uneval.org/papersandpubs/documentdetail.jsp?doc_id=22</vt:lpwstr>
      </vt:variant>
      <vt:variant>
        <vt:lpwstr/>
      </vt:variant>
      <vt:variant>
        <vt:i4>8323119</vt:i4>
      </vt:variant>
      <vt:variant>
        <vt:i4>156</vt:i4>
      </vt:variant>
      <vt:variant>
        <vt:i4>0</vt:i4>
      </vt:variant>
      <vt:variant>
        <vt:i4>5</vt:i4>
      </vt:variant>
      <vt:variant>
        <vt:lpwstr>http://www.escwa.un.org/divisions/pptcd/upload/uneg.pdf</vt:lpwstr>
      </vt:variant>
      <vt:variant>
        <vt:lpwstr/>
      </vt:variant>
      <vt:variant>
        <vt:i4>6422576</vt:i4>
      </vt:variant>
      <vt:variant>
        <vt:i4>153</vt:i4>
      </vt:variant>
      <vt:variant>
        <vt:i4>0</vt:i4>
      </vt:variant>
      <vt:variant>
        <vt:i4>5</vt:i4>
      </vt:variant>
      <vt:variant>
        <vt:lpwstr>http://kumj.com.np/ftp/issue/17/editorial2.pdf</vt:lpwstr>
      </vt:variant>
      <vt:variant>
        <vt:lpwstr/>
      </vt:variant>
      <vt:variant>
        <vt:i4>4259851</vt:i4>
      </vt:variant>
      <vt:variant>
        <vt:i4>150</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147</vt:i4>
      </vt:variant>
      <vt:variant>
        <vt:i4>0</vt:i4>
      </vt:variant>
      <vt:variant>
        <vt:i4>5</vt:i4>
      </vt:variant>
      <vt:variant>
        <vt:lpwstr>http://www.the-monitor.org/index.php/publications/display?act=submit&amp;pqs_year=2008&amp;pqs_type=lm&amp;pqs_report=nepal&amp;pqs_section</vt:lpwstr>
      </vt:variant>
      <vt:variant>
        <vt:lpwstr/>
      </vt:variant>
      <vt:variant>
        <vt:i4>5177355</vt:i4>
      </vt:variant>
      <vt:variant>
        <vt:i4>144</vt:i4>
      </vt:variant>
      <vt:variant>
        <vt:i4>0</vt:i4>
      </vt:variant>
      <vt:variant>
        <vt:i4>5</vt:i4>
      </vt:variant>
      <vt:variant>
        <vt:lpwstr>http://www.the-monitor.org/index.php/publications/display?act=submit&amp;pqs_year=2007&amp;pqs_type=lm&amp;pqs_report=nepal&amp;pqs_section</vt:lpwstr>
      </vt:variant>
      <vt:variant>
        <vt:lpwstr/>
      </vt:variant>
      <vt:variant>
        <vt:i4>5111819</vt:i4>
      </vt:variant>
      <vt:variant>
        <vt:i4>141</vt:i4>
      </vt:variant>
      <vt:variant>
        <vt:i4>0</vt:i4>
      </vt:variant>
      <vt:variant>
        <vt:i4>5</vt:i4>
      </vt:variant>
      <vt:variant>
        <vt:lpwstr>http://www.the-monitor.org/index.php/publications/display?act=submit&amp;pqs_year=2006&amp;pqs_type=lm&amp;pqs_report=nepal&amp;pqs_section</vt:lpwstr>
      </vt:variant>
      <vt:variant>
        <vt:lpwstr/>
      </vt:variant>
      <vt:variant>
        <vt:i4>5046283</vt:i4>
      </vt:variant>
      <vt:variant>
        <vt:i4>138</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135</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132</vt:i4>
      </vt:variant>
      <vt:variant>
        <vt:i4>0</vt:i4>
      </vt:variant>
      <vt:variant>
        <vt:i4>5</vt:i4>
      </vt:variant>
      <vt:variant>
        <vt:lpwstr>http://www.the-monitor.org/index.php/publications/display?act=submit&amp;pqs_year=2003&amp;pqs_type=lm&amp;pqs_report=nepal&amp;pqs_section</vt:lpwstr>
      </vt:variant>
      <vt:variant>
        <vt:lpwstr/>
      </vt:variant>
      <vt:variant>
        <vt:i4>4849675</vt:i4>
      </vt:variant>
      <vt:variant>
        <vt:i4>129</vt:i4>
      </vt:variant>
      <vt:variant>
        <vt:i4>0</vt:i4>
      </vt:variant>
      <vt:variant>
        <vt:i4>5</vt:i4>
      </vt:variant>
      <vt:variant>
        <vt:lpwstr>http://www.the-monitor.org/index.php/publications/display?act=submit&amp;pqs_year=2002&amp;pqs_type=lm&amp;pqs_report=nepal&amp;pqs_section</vt:lpwstr>
      </vt:variant>
      <vt:variant>
        <vt:lpwstr/>
      </vt:variant>
      <vt:variant>
        <vt:i4>4784139</vt:i4>
      </vt:variant>
      <vt:variant>
        <vt:i4>126</vt:i4>
      </vt:variant>
      <vt:variant>
        <vt:i4>0</vt:i4>
      </vt:variant>
      <vt:variant>
        <vt:i4>5</vt:i4>
      </vt:variant>
      <vt:variant>
        <vt:lpwstr>http://www.the-monitor.org/index.php/publications/display?act=submit&amp;pqs_year=2001&amp;pqs_type=lm&amp;pqs_report=nepal&amp;pqs_section</vt:lpwstr>
      </vt:variant>
      <vt:variant>
        <vt:lpwstr/>
      </vt:variant>
      <vt:variant>
        <vt:i4>4718603</vt:i4>
      </vt:variant>
      <vt:variant>
        <vt:i4>123</vt:i4>
      </vt:variant>
      <vt:variant>
        <vt:i4>0</vt:i4>
      </vt:variant>
      <vt:variant>
        <vt:i4>5</vt:i4>
      </vt:variant>
      <vt:variant>
        <vt:lpwstr>http://www.the-monitor.org/index.php/publications/display?act=submit&amp;pqs_year=2000&amp;pqs_type=lm&amp;pqs_report=nepal&amp;pqs_section</vt:lpwstr>
      </vt:variant>
      <vt:variant>
        <vt:lpwstr/>
      </vt:variant>
      <vt:variant>
        <vt:i4>2949164</vt:i4>
      </vt:variant>
      <vt:variant>
        <vt:i4>120</vt:i4>
      </vt:variant>
      <vt:variant>
        <vt:i4>0</vt:i4>
      </vt:variant>
      <vt:variant>
        <vt:i4>5</vt:i4>
      </vt:variant>
      <vt:variant>
        <vt:lpwstr>http://www.inseconline.org/pics/1279523096.pdf</vt:lpwstr>
      </vt:variant>
      <vt:variant>
        <vt:lpwstr/>
      </vt:variant>
      <vt:variant>
        <vt:i4>3670122</vt:i4>
      </vt:variant>
      <vt:variant>
        <vt:i4>117</vt:i4>
      </vt:variant>
      <vt:variant>
        <vt:i4>0</vt:i4>
      </vt:variant>
      <vt:variant>
        <vt:i4>5</vt:i4>
      </vt:variant>
      <vt:variant>
        <vt:lpwstr>http://www.inseconline.org/</vt:lpwstr>
      </vt:variant>
      <vt:variant>
        <vt:lpwstr/>
      </vt:variant>
      <vt:variant>
        <vt:i4>2752559</vt:i4>
      </vt:variant>
      <vt:variant>
        <vt:i4>114</vt:i4>
      </vt:variant>
      <vt:variant>
        <vt:i4>0</vt:i4>
      </vt:variant>
      <vt:variant>
        <vt:i4>5</vt:i4>
      </vt:variant>
      <vt:variant>
        <vt:lpwstr>http://www.inseconline.org/pics/1271926138.pdf</vt:lpwstr>
      </vt:variant>
      <vt:variant>
        <vt:lpwstr/>
      </vt:variant>
      <vt:variant>
        <vt:i4>2359330</vt:i4>
      </vt:variant>
      <vt:variant>
        <vt:i4>111</vt:i4>
      </vt:variant>
      <vt:variant>
        <vt:i4>0</vt:i4>
      </vt:variant>
      <vt:variant>
        <vt:i4>5</vt:i4>
      </vt:variant>
      <vt:variant>
        <vt:lpwstr>http://www.inseconline.org/pics/1244452441.pdf</vt:lpwstr>
      </vt:variant>
      <vt:variant>
        <vt:lpwstr/>
      </vt:variant>
      <vt:variant>
        <vt:i4>6750247</vt:i4>
      </vt:variant>
      <vt:variant>
        <vt:i4>108</vt:i4>
      </vt:variant>
      <vt:variant>
        <vt:i4>0</vt:i4>
      </vt:variant>
      <vt:variant>
        <vt:i4>5</vt:i4>
      </vt:variant>
      <vt:variant>
        <vt:lpwstr>http://www.insec.org.np/index.php?type=reports&amp;id=1&amp;lang=en</vt:lpwstr>
      </vt:variant>
      <vt:variant>
        <vt:lpwstr/>
      </vt:variant>
      <vt:variant>
        <vt:i4>7602228</vt:i4>
      </vt:variant>
      <vt:variant>
        <vt:i4>105</vt:i4>
      </vt:variant>
      <vt:variant>
        <vt:i4>0</vt:i4>
      </vt:variant>
      <vt:variant>
        <vt:i4>5</vt:i4>
      </vt:variant>
      <vt:variant>
        <vt:lpwstr>http://www.insec.org.np/index.php?type=cms&amp;id=1&amp;lang=en</vt:lpwstr>
      </vt:variant>
      <vt:variant>
        <vt:lpwstr/>
      </vt:variant>
      <vt:variant>
        <vt:i4>2162734</vt:i4>
      </vt:variant>
      <vt:variant>
        <vt:i4>102</vt:i4>
      </vt:variant>
      <vt:variant>
        <vt:i4>0</vt:i4>
      </vt:variant>
      <vt:variant>
        <vt:i4>5</vt:i4>
      </vt:variant>
      <vt:variant>
        <vt:lpwstr>http://www.inseconline.org/pics/1244452080.pdf</vt:lpwstr>
      </vt:variant>
      <vt:variant>
        <vt:lpwstr/>
      </vt:variant>
      <vt:variant>
        <vt:i4>2490403</vt:i4>
      </vt:variant>
      <vt:variant>
        <vt:i4>99</vt:i4>
      </vt:variant>
      <vt:variant>
        <vt:i4>0</vt:i4>
      </vt:variant>
      <vt:variant>
        <vt:i4>5</vt:i4>
      </vt:variant>
      <vt:variant>
        <vt:lpwstr>http://www.inseconline.org/pics/1244451067.pdf</vt:lpwstr>
      </vt:variant>
      <vt:variant>
        <vt:lpwstr/>
      </vt:variant>
      <vt:variant>
        <vt:i4>2097190</vt:i4>
      </vt:variant>
      <vt:variant>
        <vt:i4>96</vt:i4>
      </vt:variant>
      <vt:variant>
        <vt:i4>0</vt:i4>
      </vt:variant>
      <vt:variant>
        <vt:i4>5</vt:i4>
      </vt:variant>
      <vt:variant>
        <vt:lpwstr>http://www.inseconline.org/pics/1244451031.pdf</vt:lpwstr>
      </vt:variant>
      <vt:variant>
        <vt:lpwstr/>
      </vt:variant>
      <vt:variant>
        <vt:i4>2162727</vt:i4>
      </vt:variant>
      <vt:variant>
        <vt:i4>93</vt:i4>
      </vt:variant>
      <vt:variant>
        <vt:i4>0</vt:i4>
      </vt:variant>
      <vt:variant>
        <vt:i4>5</vt:i4>
      </vt:variant>
      <vt:variant>
        <vt:lpwstr>http://www.inseconline.org/pics/1244451929.pdf</vt:lpwstr>
      </vt:variant>
      <vt:variant>
        <vt:lpwstr/>
      </vt:variant>
      <vt:variant>
        <vt:i4>3080231</vt:i4>
      </vt:variant>
      <vt:variant>
        <vt:i4>90</vt:i4>
      </vt:variant>
      <vt:variant>
        <vt:i4>0</vt:i4>
      </vt:variant>
      <vt:variant>
        <vt:i4>5</vt:i4>
      </vt:variant>
      <vt:variant>
        <vt:lpwstr>http://www.inseconline.org/pics/1244451628.pdf</vt:lpwstr>
      </vt:variant>
      <vt:variant>
        <vt:lpwstr/>
      </vt:variant>
      <vt:variant>
        <vt:i4>2162720</vt:i4>
      </vt:variant>
      <vt:variant>
        <vt:i4>87</vt:i4>
      </vt:variant>
      <vt:variant>
        <vt:i4>0</vt:i4>
      </vt:variant>
      <vt:variant>
        <vt:i4>5</vt:i4>
      </vt:variant>
      <vt:variant>
        <vt:lpwstr>http://www.inseconline.org/pics/1244451555.pdf</vt:lpwstr>
      </vt:variant>
      <vt:variant>
        <vt:lpwstr/>
      </vt:variant>
      <vt:variant>
        <vt:i4>2359341</vt:i4>
      </vt:variant>
      <vt:variant>
        <vt:i4>84</vt:i4>
      </vt:variant>
      <vt:variant>
        <vt:i4>0</vt:i4>
      </vt:variant>
      <vt:variant>
        <vt:i4>5</vt:i4>
      </vt:variant>
      <vt:variant>
        <vt:lpwstr>http://www.inseconline.org/pics/1244451287.pdf</vt:lpwstr>
      </vt:variant>
      <vt:variant>
        <vt:lpwstr/>
      </vt:variant>
      <vt:variant>
        <vt:i4>3932218</vt:i4>
      </vt:variant>
      <vt:variant>
        <vt:i4>81</vt:i4>
      </vt:variant>
      <vt:variant>
        <vt:i4>0</vt:i4>
      </vt:variant>
      <vt:variant>
        <vt:i4>5</vt:i4>
      </vt:variant>
      <vt:variant>
        <vt:lpwstr>http://www.un.org.np/reports//INSEC/2006/Handicap Final Report.pdf</vt:lpwstr>
      </vt:variant>
      <vt:variant>
        <vt:lpwstr/>
      </vt:variant>
      <vt:variant>
        <vt:i4>2490405</vt:i4>
      </vt:variant>
      <vt:variant>
        <vt:i4>78</vt:i4>
      </vt:variant>
      <vt:variant>
        <vt:i4>0</vt:i4>
      </vt:variant>
      <vt:variant>
        <vt:i4>5</vt:i4>
      </vt:variant>
      <vt:variant>
        <vt:lpwstr>http://www.inseconline.org/pics/1244451007.pdf</vt:lpwstr>
      </vt:variant>
      <vt:variant>
        <vt:lpwstr/>
      </vt:variant>
      <vt:variant>
        <vt:i4>2490405</vt:i4>
      </vt:variant>
      <vt:variant>
        <vt:i4>75</vt:i4>
      </vt:variant>
      <vt:variant>
        <vt:i4>0</vt:i4>
      </vt:variant>
      <vt:variant>
        <vt:i4>5</vt:i4>
      </vt:variant>
      <vt:variant>
        <vt:lpwstr>http://www.inseconline.org/pics/1244451007.pdf</vt:lpwstr>
      </vt:variant>
      <vt:variant>
        <vt:lpwstr/>
      </vt:variant>
      <vt:variant>
        <vt:i4>2097188</vt:i4>
      </vt:variant>
      <vt:variant>
        <vt:i4>72</vt:i4>
      </vt:variant>
      <vt:variant>
        <vt:i4>0</vt:i4>
      </vt:variant>
      <vt:variant>
        <vt:i4>5</vt:i4>
      </vt:variant>
      <vt:variant>
        <vt:lpwstr>http://www.inseconline.org/pics/1244450908.pdf</vt:lpwstr>
      </vt:variant>
      <vt:variant>
        <vt:lpwstr/>
      </vt:variant>
      <vt:variant>
        <vt:i4>2293792</vt:i4>
      </vt:variant>
      <vt:variant>
        <vt:i4>69</vt:i4>
      </vt:variant>
      <vt:variant>
        <vt:i4>0</vt:i4>
      </vt:variant>
      <vt:variant>
        <vt:i4>5</vt:i4>
      </vt:variant>
      <vt:variant>
        <vt:lpwstr>http://www.inseconline.org/pics/1244450644.pdf</vt:lpwstr>
      </vt:variant>
      <vt:variant>
        <vt:lpwstr/>
      </vt:variant>
      <vt:variant>
        <vt:i4>2424903</vt:i4>
      </vt:variant>
      <vt:variant>
        <vt:i4>66</vt:i4>
      </vt:variant>
      <vt:variant>
        <vt:i4>0</vt:i4>
      </vt:variant>
      <vt:variant>
        <vt:i4>5</vt:i4>
      </vt:variant>
      <vt:variant>
        <vt:lpwstr>http://www.handicap-international.org.uk/about_us/index</vt:lpwstr>
      </vt:variant>
      <vt:variant>
        <vt:lpwstr/>
      </vt:variant>
      <vt:variant>
        <vt:i4>3670131</vt:i4>
      </vt:variant>
      <vt:variant>
        <vt:i4>63</vt:i4>
      </vt:variant>
      <vt:variant>
        <vt:i4>0</vt:i4>
      </vt:variant>
      <vt:variant>
        <vt:i4>5</vt:i4>
      </vt:variant>
      <vt:variant>
        <vt:lpwstr>http://www.handicap-international.us/in-the-us/</vt:lpwstr>
      </vt:variant>
      <vt:variant>
        <vt:lpwstr/>
      </vt:variant>
      <vt:variant>
        <vt:i4>7602294</vt:i4>
      </vt:variant>
      <vt:variant>
        <vt:i4>60</vt:i4>
      </vt:variant>
      <vt:variant>
        <vt:i4>0</vt:i4>
      </vt:variant>
      <vt:variant>
        <vt:i4>5</vt:i4>
      </vt:variant>
      <vt:variant>
        <vt:lpwstr>http://www.mineaction.org/overview.asp?o=17</vt:lpwstr>
      </vt:variant>
      <vt:variant>
        <vt:lpwstr/>
      </vt:variant>
      <vt:variant>
        <vt:i4>4128872</vt:i4>
      </vt:variant>
      <vt:variant>
        <vt:i4>57</vt:i4>
      </vt:variant>
      <vt:variant>
        <vt:i4>0</vt:i4>
      </vt:variant>
      <vt:variant>
        <vt:i4>5</vt:i4>
      </vt:variant>
      <vt:variant>
        <vt:lpwstr>http://www.mineaction.org/country.asp?c=129</vt:lpwstr>
      </vt:variant>
      <vt:variant>
        <vt:lpwstr/>
      </vt:variant>
      <vt:variant>
        <vt:i4>131167</vt:i4>
      </vt:variant>
      <vt:variant>
        <vt:i4>54</vt:i4>
      </vt:variant>
      <vt:variant>
        <vt:i4>0</vt:i4>
      </vt:variant>
      <vt:variant>
        <vt:i4>5</vt:i4>
      </vt:variant>
      <vt:variant>
        <vt:lpwstr>https://www.cia.gov/library/publications/the-world-factbook/geos/np.html</vt:lpwstr>
      </vt:variant>
      <vt:variant>
        <vt:lpwstr/>
      </vt:variant>
      <vt:variant>
        <vt:i4>3407901</vt:i4>
      </vt:variant>
      <vt:variant>
        <vt:i4>51</vt:i4>
      </vt:variant>
      <vt:variant>
        <vt:i4>0</vt:i4>
      </vt:variant>
      <vt:variant>
        <vt:i4>5</vt:i4>
      </vt:variant>
      <vt:variant>
        <vt:lpwstr>http://www.cbs.gov.np/available_publications.php</vt:lpwstr>
      </vt:variant>
      <vt:variant>
        <vt:lpwstr/>
      </vt:variant>
      <vt:variant>
        <vt:i4>720982</vt:i4>
      </vt:variant>
      <vt:variant>
        <vt:i4>48</vt:i4>
      </vt:variant>
      <vt:variant>
        <vt:i4>0</vt:i4>
      </vt:variant>
      <vt:variant>
        <vt:i4>5</vt:i4>
      </vt:variant>
      <vt:variant>
        <vt:lpwstr>http://www.cdc.gov/mmwr/preview/mmwrhtml/rr5013a1.htm</vt:lpwstr>
      </vt:variant>
      <vt:variant>
        <vt:lpwstr/>
      </vt:variant>
      <vt:variant>
        <vt:i4>5701712</vt:i4>
      </vt:variant>
      <vt:variant>
        <vt:i4>45</vt:i4>
      </vt:variant>
      <vt:variant>
        <vt:i4>0</vt:i4>
      </vt:variant>
      <vt:variant>
        <vt:i4>5</vt:i4>
      </vt:variant>
      <vt:variant>
        <vt:lpwstr>http://news.bbc.co.uk/2/hi/south_asia/country_profiles/1166516.stm</vt:lpwstr>
      </vt:variant>
      <vt:variant>
        <vt:lpwstr/>
      </vt:variant>
      <vt:variant>
        <vt:i4>5439569</vt:i4>
      </vt:variant>
      <vt:variant>
        <vt:i4>42</vt:i4>
      </vt:variant>
      <vt:variant>
        <vt:i4>0</vt:i4>
      </vt:variant>
      <vt:variant>
        <vt:i4>5</vt:i4>
      </vt:variant>
      <vt:variant>
        <vt:lpwstr>http://news.bbc.co.uk/2/hi/south_asia/country_profiles/1166502.stm</vt:lpwstr>
      </vt:variant>
      <vt:variant>
        <vt:lpwstr/>
      </vt:variant>
      <vt:variant>
        <vt:i4>2883641</vt:i4>
      </vt:variant>
      <vt:variant>
        <vt:i4>39</vt:i4>
      </vt:variant>
      <vt:variant>
        <vt:i4>0</vt:i4>
      </vt:variant>
      <vt:variant>
        <vt:i4>5</vt:i4>
      </vt:variant>
      <vt:variant>
        <vt:lpwstr>http://www.inseconline.org/index.php?type=reports&amp;id=5&amp;lang=en</vt:lpwstr>
      </vt:variant>
      <vt:variant>
        <vt:lpwstr/>
      </vt:variant>
      <vt:variant>
        <vt:i4>4784184</vt:i4>
      </vt:variant>
      <vt:variant>
        <vt:i4>36</vt:i4>
      </vt:variant>
      <vt:variant>
        <vt:i4>0</vt:i4>
      </vt:variant>
      <vt:variant>
        <vt:i4>5</vt:i4>
      </vt:variant>
      <vt:variant>
        <vt:lpwstr>http://www.unicef.org/about/who/index_mission.html</vt:lpwstr>
      </vt:variant>
      <vt:variant>
        <vt:lpwstr/>
      </vt:variant>
      <vt:variant>
        <vt:i4>655425</vt:i4>
      </vt:variant>
      <vt:variant>
        <vt:i4>33</vt:i4>
      </vt:variant>
      <vt:variant>
        <vt:i4>0</vt:i4>
      </vt:variant>
      <vt:variant>
        <vt:i4>5</vt:i4>
      </vt:variant>
      <vt:variant>
        <vt:lpwstr>http://www.unicef.org/nepal/</vt:lpwstr>
      </vt:variant>
      <vt:variant>
        <vt:lpwstr/>
      </vt:variant>
      <vt:variant>
        <vt:i4>6553643</vt:i4>
      </vt:variant>
      <vt:variant>
        <vt:i4>30</vt:i4>
      </vt:variant>
      <vt:variant>
        <vt:i4>0</vt:i4>
      </vt:variant>
      <vt:variant>
        <vt:i4>5</vt:i4>
      </vt:variant>
      <vt:variant>
        <vt:lpwstr>http://www.handicap-international.org/</vt:lpwstr>
      </vt:variant>
      <vt:variant>
        <vt:lpwstr/>
      </vt:variant>
      <vt:variant>
        <vt:i4>3670122</vt:i4>
      </vt:variant>
      <vt:variant>
        <vt:i4>27</vt:i4>
      </vt:variant>
      <vt:variant>
        <vt:i4>0</vt:i4>
      </vt:variant>
      <vt:variant>
        <vt:i4>5</vt:i4>
      </vt:variant>
      <vt:variant>
        <vt:lpwstr>http://www.inseconline.org/</vt:lpwstr>
      </vt:variant>
      <vt:variant>
        <vt:lpwstr/>
      </vt:variant>
      <vt:variant>
        <vt:i4>1769561</vt:i4>
      </vt:variant>
      <vt:variant>
        <vt:i4>24</vt:i4>
      </vt:variant>
      <vt:variant>
        <vt:i4>0</vt:i4>
      </vt:variant>
      <vt:variant>
        <vt:i4>5</vt:i4>
      </vt:variant>
      <vt:variant>
        <vt:lpwstr>http://www.insec.org.np/</vt:lpwstr>
      </vt:variant>
      <vt:variant>
        <vt:lpwstr/>
      </vt:variant>
      <vt:variant>
        <vt:i4>2162813</vt:i4>
      </vt:variant>
      <vt:variant>
        <vt:i4>21</vt:i4>
      </vt:variant>
      <vt:variant>
        <vt:i4>0</vt:i4>
      </vt:variant>
      <vt:variant>
        <vt:i4>5</vt:i4>
      </vt:variant>
      <vt:variant>
        <vt:lpwstr>http://www.nepal.icbl.org/</vt:lpwstr>
      </vt:variant>
      <vt:variant>
        <vt:lpwstr/>
      </vt:variant>
      <vt:variant>
        <vt:i4>2162813</vt:i4>
      </vt:variant>
      <vt:variant>
        <vt:i4>18</vt:i4>
      </vt:variant>
      <vt:variant>
        <vt:i4>0</vt:i4>
      </vt:variant>
      <vt:variant>
        <vt:i4>5</vt:i4>
      </vt:variant>
      <vt:variant>
        <vt:lpwstr>http://www.nepal.icbl.org/</vt:lpwstr>
      </vt:variant>
      <vt:variant>
        <vt:lpwstr/>
      </vt:variant>
      <vt:variant>
        <vt:i4>2162813</vt:i4>
      </vt:variant>
      <vt:variant>
        <vt:i4>15</vt:i4>
      </vt:variant>
      <vt:variant>
        <vt:i4>0</vt:i4>
      </vt:variant>
      <vt:variant>
        <vt:i4>5</vt:i4>
      </vt:variant>
      <vt:variant>
        <vt:lpwstr>http://www.nepal.icbl.org/</vt:lpwstr>
      </vt:variant>
      <vt:variant>
        <vt:lpwstr/>
      </vt:variant>
      <vt:variant>
        <vt:i4>2162813</vt:i4>
      </vt:variant>
      <vt:variant>
        <vt:i4>12</vt:i4>
      </vt:variant>
      <vt:variant>
        <vt:i4>0</vt:i4>
      </vt:variant>
      <vt:variant>
        <vt:i4>5</vt:i4>
      </vt:variant>
      <vt:variant>
        <vt:lpwstr>http://www.nepal.icbl.org/</vt:lpwstr>
      </vt:variant>
      <vt:variant>
        <vt:lpwstr/>
      </vt:variant>
      <vt:variant>
        <vt:i4>2162813</vt:i4>
      </vt:variant>
      <vt:variant>
        <vt:i4>9</vt:i4>
      </vt:variant>
      <vt:variant>
        <vt:i4>0</vt:i4>
      </vt:variant>
      <vt:variant>
        <vt:i4>5</vt:i4>
      </vt:variant>
      <vt:variant>
        <vt:lpwstr>http://www.nepal.icbl.org/</vt:lpwstr>
      </vt:variant>
      <vt:variant>
        <vt:lpwstr/>
      </vt:variant>
      <vt:variant>
        <vt:i4>2162813</vt:i4>
      </vt:variant>
      <vt:variant>
        <vt:i4>6</vt:i4>
      </vt:variant>
      <vt:variant>
        <vt:i4>0</vt:i4>
      </vt:variant>
      <vt:variant>
        <vt:i4>5</vt:i4>
      </vt:variant>
      <vt:variant>
        <vt:lpwstr>http://www.nepal.icbl.org/</vt:lpwstr>
      </vt:variant>
      <vt:variant>
        <vt:lpwstr/>
      </vt:variant>
      <vt:variant>
        <vt:i4>2162813</vt:i4>
      </vt:variant>
      <vt:variant>
        <vt:i4>3</vt:i4>
      </vt:variant>
      <vt:variant>
        <vt:i4>0</vt:i4>
      </vt:variant>
      <vt:variant>
        <vt:i4>5</vt:i4>
      </vt:variant>
      <vt:variant>
        <vt:lpwstr>http://www.nepal.icbl.org/</vt:lpwstr>
      </vt:variant>
      <vt:variant>
        <vt:lpwstr/>
      </vt:variant>
      <vt:variant>
        <vt:i4>1966170</vt:i4>
      </vt:variant>
      <vt:variant>
        <vt:i4>27</vt:i4>
      </vt:variant>
      <vt:variant>
        <vt:i4>0</vt:i4>
      </vt:variant>
      <vt:variant>
        <vt:i4>5</vt:i4>
      </vt:variant>
      <vt:variant>
        <vt:lpwstr>http://www.who.int/whosis/en/</vt:lpwstr>
      </vt:variant>
      <vt:variant>
        <vt:lpwstr/>
      </vt:variant>
      <vt:variant>
        <vt:i4>983119</vt:i4>
      </vt:variant>
      <vt:variant>
        <vt:i4>24</vt:i4>
      </vt:variant>
      <vt:variant>
        <vt:i4>0</vt:i4>
      </vt:variant>
      <vt:variant>
        <vt:i4>5</vt:i4>
      </vt:variant>
      <vt:variant>
        <vt:lpwstr>http://www.ssmk.org/about-us</vt:lpwstr>
      </vt:variant>
      <vt:variant>
        <vt:lpwstr/>
      </vt:variant>
      <vt:variant>
        <vt:i4>1966170</vt:i4>
      </vt:variant>
      <vt:variant>
        <vt:i4>21</vt:i4>
      </vt:variant>
      <vt:variant>
        <vt:i4>0</vt:i4>
      </vt:variant>
      <vt:variant>
        <vt:i4>5</vt:i4>
      </vt:variant>
      <vt:variant>
        <vt:lpwstr>http://www.who.int/whosis/en/</vt:lpwstr>
      </vt:variant>
      <vt:variant>
        <vt:lpwstr/>
      </vt:variant>
      <vt:variant>
        <vt:i4>3866666</vt:i4>
      </vt:variant>
      <vt:variant>
        <vt:i4>18</vt:i4>
      </vt:variant>
      <vt:variant>
        <vt:i4>0</vt:i4>
      </vt:variant>
      <vt:variant>
        <vt:i4>5</vt:i4>
      </vt:variant>
      <vt:variant>
        <vt:lpwstr>http://www.getdropbox.com/</vt:lpwstr>
      </vt:variant>
      <vt:variant>
        <vt:lpwstr/>
      </vt:variant>
      <vt:variant>
        <vt:i4>3866666</vt:i4>
      </vt:variant>
      <vt:variant>
        <vt:i4>15</vt:i4>
      </vt:variant>
      <vt:variant>
        <vt:i4>0</vt:i4>
      </vt:variant>
      <vt:variant>
        <vt:i4>5</vt:i4>
      </vt:variant>
      <vt:variant>
        <vt:lpwstr>http://www.getdropbox.com/</vt:lpwstr>
      </vt:variant>
      <vt:variant>
        <vt:lpwstr/>
      </vt:variant>
      <vt:variant>
        <vt:i4>3866666</vt:i4>
      </vt:variant>
      <vt:variant>
        <vt:i4>12</vt:i4>
      </vt:variant>
      <vt:variant>
        <vt:i4>0</vt:i4>
      </vt:variant>
      <vt:variant>
        <vt:i4>5</vt:i4>
      </vt:variant>
      <vt:variant>
        <vt:lpwstr>http://www.getdropbox.com/</vt:lpwstr>
      </vt:variant>
      <vt:variant>
        <vt:lpwstr/>
      </vt:variant>
      <vt:variant>
        <vt:i4>6029321</vt:i4>
      </vt:variant>
      <vt:variant>
        <vt:i4>9</vt:i4>
      </vt:variant>
      <vt:variant>
        <vt:i4>0</vt:i4>
      </vt:variant>
      <vt:variant>
        <vt:i4>5</vt:i4>
      </vt:variant>
      <vt:variant>
        <vt:lpwstr>http://www.gichd.org/operational-assistance-research/information-management-imsma/imsma/overview/</vt:lpwstr>
      </vt:variant>
      <vt:variant>
        <vt:lpwstr/>
      </vt:variant>
      <vt:variant>
        <vt:i4>7602227</vt:i4>
      </vt:variant>
      <vt:variant>
        <vt:i4>6</vt:i4>
      </vt:variant>
      <vt:variant>
        <vt:i4>0</vt:i4>
      </vt:variant>
      <vt:variant>
        <vt:i4>5</vt:i4>
      </vt:variant>
      <vt:variant>
        <vt:lpwstr>http://www.insec.org.np/index.php?type=cms&amp;id=6&amp;lang=en</vt:lpwstr>
      </vt:variant>
      <vt:variant>
        <vt:lpwstr/>
      </vt:variant>
      <vt:variant>
        <vt:i4>3211317</vt:i4>
      </vt:variant>
      <vt:variant>
        <vt:i4>3</vt:i4>
      </vt:variant>
      <vt:variant>
        <vt:i4>0</vt:i4>
      </vt:variant>
      <vt:variant>
        <vt:i4>5</vt:i4>
      </vt:variant>
      <vt:variant>
        <vt:lpwstr>http://ph.one.un.org/response/clusters/protection/childprotection/mrm/MRM factsheet.pdf</vt:lpwstr>
      </vt:variant>
      <vt:variant>
        <vt:lpwstr/>
      </vt:variant>
      <vt:variant>
        <vt:i4>3866666</vt:i4>
      </vt:variant>
      <vt:variant>
        <vt:i4>0</vt:i4>
      </vt:variant>
      <vt:variant>
        <vt:i4>0</vt:i4>
      </vt:variant>
      <vt:variant>
        <vt:i4>5</vt:i4>
      </vt:variant>
      <vt:variant>
        <vt:lpwstr>http://www.getdropbox.com/</vt:lpwstr>
      </vt:variant>
      <vt:variant>
        <vt:lpwstr/>
      </vt:variant>
      <vt:variant>
        <vt:i4>3670122</vt:i4>
      </vt:variant>
      <vt:variant>
        <vt:i4>645</vt:i4>
      </vt:variant>
      <vt:variant>
        <vt:i4>0</vt:i4>
      </vt:variant>
      <vt:variant>
        <vt:i4>5</vt:i4>
      </vt:variant>
      <vt:variant>
        <vt:lpwstr>http://www.inseconline.org/</vt:lpwstr>
      </vt:variant>
      <vt:variant>
        <vt:lpwstr/>
      </vt:variant>
      <vt:variant>
        <vt:i4>2752559</vt:i4>
      </vt:variant>
      <vt:variant>
        <vt:i4>642</vt:i4>
      </vt:variant>
      <vt:variant>
        <vt:i4>0</vt:i4>
      </vt:variant>
      <vt:variant>
        <vt:i4>5</vt:i4>
      </vt:variant>
      <vt:variant>
        <vt:lpwstr>http://www.inseconline.org/pics/1271926138.pdf</vt:lpwstr>
      </vt:variant>
      <vt:variant>
        <vt:lpwstr/>
      </vt:variant>
      <vt:variant>
        <vt:i4>2490403</vt:i4>
      </vt:variant>
      <vt:variant>
        <vt:i4>639</vt:i4>
      </vt:variant>
      <vt:variant>
        <vt:i4>0</vt:i4>
      </vt:variant>
      <vt:variant>
        <vt:i4>5</vt:i4>
      </vt:variant>
      <vt:variant>
        <vt:lpwstr>http://www.inseconline.org/pics/1244451067.pdf</vt:lpwstr>
      </vt:variant>
      <vt:variant>
        <vt:lpwstr/>
      </vt:variant>
      <vt:variant>
        <vt:i4>2752559</vt:i4>
      </vt:variant>
      <vt:variant>
        <vt:i4>636</vt:i4>
      </vt:variant>
      <vt:variant>
        <vt:i4>0</vt:i4>
      </vt:variant>
      <vt:variant>
        <vt:i4>5</vt:i4>
      </vt:variant>
      <vt:variant>
        <vt:lpwstr>http://www.inseconline.org/pics/1271926138.pdf</vt:lpwstr>
      </vt:variant>
      <vt:variant>
        <vt:lpwstr/>
      </vt:variant>
      <vt:variant>
        <vt:i4>2359330</vt:i4>
      </vt:variant>
      <vt:variant>
        <vt:i4>633</vt:i4>
      </vt:variant>
      <vt:variant>
        <vt:i4>0</vt:i4>
      </vt:variant>
      <vt:variant>
        <vt:i4>5</vt:i4>
      </vt:variant>
      <vt:variant>
        <vt:lpwstr>http://www.inseconline.org/pics/1244452441.pdf</vt:lpwstr>
      </vt:variant>
      <vt:variant>
        <vt:lpwstr/>
      </vt:variant>
      <vt:variant>
        <vt:i4>2162734</vt:i4>
      </vt:variant>
      <vt:variant>
        <vt:i4>630</vt:i4>
      </vt:variant>
      <vt:variant>
        <vt:i4>0</vt:i4>
      </vt:variant>
      <vt:variant>
        <vt:i4>5</vt:i4>
      </vt:variant>
      <vt:variant>
        <vt:lpwstr>http://www.inseconline.org/pics/1244452080.pdf</vt:lpwstr>
      </vt:variant>
      <vt:variant>
        <vt:lpwstr/>
      </vt:variant>
      <vt:variant>
        <vt:i4>2490403</vt:i4>
      </vt:variant>
      <vt:variant>
        <vt:i4>627</vt:i4>
      </vt:variant>
      <vt:variant>
        <vt:i4>0</vt:i4>
      </vt:variant>
      <vt:variant>
        <vt:i4>5</vt:i4>
      </vt:variant>
      <vt:variant>
        <vt:lpwstr>http://www.inseconline.org/pics/1244451067.pdf</vt:lpwstr>
      </vt:variant>
      <vt:variant>
        <vt:lpwstr/>
      </vt:variant>
      <vt:variant>
        <vt:i4>1507423</vt:i4>
      </vt:variant>
      <vt:variant>
        <vt:i4>624</vt:i4>
      </vt:variant>
      <vt:variant>
        <vt:i4>0</vt:i4>
      </vt:variant>
      <vt:variant>
        <vt:i4>5</vt:i4>
      </vt:variant>
      <vt:variant>
        <vt:lpwstr>http://ocha-gwapps1.unog.ch/rw/lib.nsf/db900sid/RURI-6P2RT3/$file/imas-8gen-nov05.pdf?openelement</vt:lpwstr>
      </vt:variant>
      <vt:variant>
        <vt:lpwstr/>
      </vt:variant>
      <vt:variant>
        <vt:i4>4194315</vt:i4>
      </vt:variant>
      <vt:variant>
        <vt:i4>621</vt:i4>
      </vt:variant>
      <vt:variant>
        <vt:i4>0</vt:i4>
      </vt:variant>
      <vt:variant>
        <vt:i4>5</vt:i4>
      </vt:variant>
      <vt:variant>
        <vt:lpwstr>http://www.the-monitor.org/index.php/publications/display?act=submit&amp;pqs_year=2008&amp;pqs_type=lm&amp;pqs_report=nepal&amp;pqs_section</vt:lpwstr>
      </vt:variant>
      <vt:variant>
        <vt:lpwstr/>
      </vt:variant>
      <vt:variant>
        <vt:i4>4194315</vt:i4>
      </vt:variant>
      <vt:variant>
        <vt:i4>618</vt:i4>
      </vt:variant>
      <vt:variant>
        <vt:i4>0</vt:i4>
      </vt:variant>
      <vt:variant>
        <vt:i4>5</vt:i4>
      </vt:variant>
      <vt:variant>
        <vt:lpwstr>http://www.the-monitor.org/index.php/publications/display?act=submit&amp;pqs_year=2008&amp;pqs_type=lm&amp;pqs_report=nepal&amp;pqs_section</vt:lpwstr>
      </vt:variant>
      <vt:variant>
        <vt:lpwstr/>
      </vt:variant>
      <vt:variant>
        <vt:i4>4259851</vt:i4>
      </vt:variant>
      <vt:variant>
        <vt:i4>615</vt:i4>
      </vt:variant>
      <vt:variant>
        <vt:i4>0</vt:i4>
      </vt:variant>
      <vt:variant>
        <vt:i4>5</vt:i4>
      </vt:variant>
      <vt:variant>
        <vt:lpwstr>http://www.the-monitor.org/index.php/publications/display?act=submit&amp;pqs_year=2009&amp;pqs_type=lm&amp;pqs_report=nepal&amp;pqs_section</vt:lpwstr>
      </vt:variant>
      <vt:variant>
        <vt:lpwstr/>
      </vt:variant>
      <vt:variant>
        <vt:i4>5111819</vt:i4>
      </vt:variant>
      <vt:variant>
        <vt:i4>612</vt:i4>
      </vt:variant>
      <vt:variant>
        <vt:i4>0</vt:i4>
      </vt:variant>
      <vt:variant>
        <vt:i4>5</vt:i4>
      </vt:variant>
      <vt:variant>
        <vt:lpwstr>http://www.the-monitor.org/index.php/publications/display?act=submit&amp;pqs_year=2006&amp;pqs_type=lm&amp;pqs_report=nepal&amp;pqs_section</vt:lpwstr>
      </vt:variant>
      <vt:variant>
        <vt:lpwstr/>
      </vt:variant>
      <vt:variant>
        <vt:i4>4259851</vt:i4>
      </vt:variant>
      <vt:variant>
        <vt:i4>609</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606</vt:i4>
      </vt:variant>
      <vt:variant>
        <vt:i4>0</vt:i4>
      </vt:variant>
      <vt:variant>
        <vt:i4>5</vt:i4>
      </vt:variant>
      <vt:variant>
        <vt:lpwstr>http://www.the-monitor.org/index.php/publications/display?act=submit&amp;pqs_year=2007&amp;pqs_type=lm&amp;pqs_report=nepal&amp;pqs_section</vt:lpwstr>
      </vt:variant>
      <vt:variant>
        <vt:lpwstr/>
      </vt:variant>
      <vt:variant>
        <vt:i4>4194315</vt:i4>
      </vt:variant>
      <vt:variant>
        <vt:i4>603</vt:i4>
      </vt:variant>
      <vt:variant>
        <vt:i4>0</vt:i4>
      </vt:variant>
      <vt:variant>
        <vt:i4>5</vt:i4>
      </vt:variant>
      <vt:variant>
        <vt:lpwstr>http://www.the-monitor.org/index.php/publications/display?act=submit&amp;pqs_year=2008&amp;pqs_type=lm&amp;pqs_report=nepal&amp;pqs_section</vt:lpwstr>
      </vt:variant>
      <vt:variant>
        <vt:lpwstr/>
      </vt:variant>
      <vt:variant>
        <vt:i4>4194315</vt:i4>
      </vt:variant>
      <vt:variant>
        <vt:i4>600</vt:i4>
      </vt:variant>
      <vt:variant>
        <vt:i4>0</vt:i4>
      </vt:variant>
      <vt:variant>
        <vt:i4>5</vt:i4>
      </vt:variant>
      <vt:variant>
        <vt:lpwstr>http://www.the-monitor.org/index.php/publications/display?act=submit&amp;pqs_year=2008&amp;pqs_type=lm&amp;pqs_report=nepal&amp;pqs_section</vt:lpwstr>
      </vt:variant>
      <vt:variant>
        <vt:lpwstr/>
      </vt:variant>
      <vt:variant>
        <vt:i4>5046283</vt:i4>
      </vt:variant>
      <vt:variant>
        <vt:i4>597</vt:i4>
      </vt:variant>
      <vt:variant>
        <vt:i4>0</vt:i4>
      </vt:variant>
      <vt:variant>
        <vt:i4>5</vt:i4>
      </vt:variant>
      <vt:variant>
        <vt:lpwstr>http://www.the-monitor.org/index.php/publications/display?act=submit&amp;pqs_year=2005&amp;pqs_type=lm&amp;pqs_report=nepal&amp;pqs_section</vt:lpwstr>
      </vt:variant>
      <vt:variant>
        <vt:lpwstr/>
      </vt:variant>
      <vt:variant>
        <vt:i4>5177355</vt:i4>
      </vt:variant>
      <vt:variant>
        <vt:i4>594</vt:i4>
      </vt:variant>
      <vt:variant>
        <vt:i4>0</vt:i4>
      </vt:variant>
      <vt:variant>
        <vt:i4>5</vt:i4>
      </vt:variant>
      <vt:variant>
        <vt:lpwstr>http://www.the-monitor.org/index.php/publications/display?act=submit&amp;pqs_year=2007&amp;pqs_type=lm&amp;pqs_report=nepal&amp;pqs_section</vt:lpwstr>
      </vt:variant>
      <vt:variant>
        <vt:lpwstr/>
      </vt:variant>
      <vt:variant>
        <vt:i4>4194315</vt:i4>
      </vt:variant>
      <vt:variant>
        <vt:i4>591</vt:i4>
      </vt:variant>
      <vt:variant>
        <vt:i4>0</vt:i4>
      </vt:variant>
      <vt:variant>
        <vt:i4>5</vt:i4>
      </vt:variant>
      <vt:variant>
        <vt:lpwstr>http://www.the-monitor.org/index.php/publications/display?act=submit&amp;pqs_year=2008&amp;pqs_type=lm&amp;pqs_report=nepal&amp;pqs_section</vt:lpwstr>
      </vt:variant>
      <vt:variant>
        <vt:lpwstr/>
      </vt:variant>
      <vt:variant>
        <vt:i4>4194315</vt:i4>
      </vt:variant>
      <vt:variant>
        <vt:i4>588</vt:i4>
      </vt:variant>
      <vt:variant>
        <vt:i4>0</vt:i4>
      </vt:variant>
      <vt:variant>
        <vt:i4>5</vt:i4>
      </vt:variant>
      <vt:variant>
        <vt:lpwstr>http://www.the-monitor.org/index.php/publications/display?act=submit&amp;pqs_year=2008&amp;pqs_type=lm&amp;pqs_report=nepal&amp;pqs_section</vt:lpwstr>
      </vt:variant>
      <vt:variant>
        <vt:lpwstr/>
      </vt:variant>
      <vt:variant>
        <vt:i4>4259851</vt:i4>
      </vt:variant>
      <vt:variant>
        <vt:i4>585</vt:i4>
      </vt:variant>
      <vt:variant>
        <vt:i4>0</vt:i4>
      </vt:variant>
      <vt:variant>
        <vt:i4>5</vt:i4>
      </vt:variant>
      <vt:variant>
        <vt:lpwstr>http://www.the-monitor.org/index.php/publications/display?act=submit&amp;pqs_year=2009&amp;pqs_type=lm&amp;pqs_report=nepal&amp;pqs_section</vt:lpwstr>
      </vt:variant>
      <vt:variant>
        <vt:lpwstr/>
      </vt:variant>
      <vt:variant>
        <vt:i4>4259851</vt:i4>
      </vt:variant>
      <vt:variant>
        <vt:i4>582</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579</vt:i4>
      </vt:variant>
      <vt:variant>
        <vt:i4>0</vt:i4>
      </vt:variant>
      <vt:variant>
        <vt:i4>5</vt:i4>
      </vt:variant>
      <vt:variant>
        <vt:lpwstr>http://www.the-monitor.org/index.php/publications/display?act=submit&amp;pqs_year=2008&amp;pqs_type=lm&amp;pqs_report=nepal&amp;pqs_section</vt:lpwstr>
      </vt:variant>
      <vt:variant>
        <vt:lpwstr/>
      </vt:variant>
      <vt:variant>
        <vt:i4>4194315</vt:i4>
      </vt:variant>
      <vt:variant>
        <vt:i4>576</vt:i4>
      </vt:variant>
      <vt:variant>
        <vt:i4>0</vt:i4>
      </vt:variant>
      <vt:variant>
        <vt:i4>5</vt:i4>
      </vt:variant>
      <vt:variant>
        <vt:lpwstr>http://www.the-monitor.org/index.php/publications/display?act=submit&amp;pqs_year=2008&amp;pqs_type=lm&amp;pqs_report=nepal&amp;pqs_section</vt:lpwstr>
      </vt:variant>
      <vt:variant>
        <vt:lpwstr/>
      </vt:variant>
      <vt:variant>
        <vt:i4>5177355</vt:i4>
      </vt:variant>
      <vt:variant>
        <vt:i4>573</vt:i4>
      </vt:variant>
      <vt:variant>
        <vt:i4>0</vt:i4>
      </vt:variant>
      <vt:variant>
        <vt:i4>5</vt:i4>
      </vt:variant>
      <vt:variant>
        <vt:lpwstr>http://www.the-monitor.org/index.php/publications/display?act=submit&amp;pqs_year=2007&amp;pqs_type=lm&amp;pqs_report=nepal&amp;pqs_section</vt:lpwstr>
      </vt:variant>
      <vt:variant>
        <vt:lpwstr/>
      </vt:variant>
      <vt:variant>
        <vt:i4>4194315</vt:i4>
      </vt:variant>
      <vt:variant>
        <vt:i4>570</vt:i4>
      </vt:variant>
      <vt:variant>
        <vt:i4>0</vt:i4>
      </vt:variant>
      <vt:variant>
        <vt:i4>5</vt:i4>
      </vt:variant>
      <vt:variant>
        <vt:lpwstr>http://www.the-monitor.org/index.php/publications/display?act=submit&amp;pqs_year=2008&amp;pqs_type=lm&amp;pqs_report=nepal&amp;pqs_section</vt:lpwstr>
      </vt:variant>
      <vt:variant>
        <vt:lpwstr/>
      </vt:variant>
      <vt:variant>
        <vt:i4>7602294</vt:i4>
      </vt:variant>
      <vt:variant>
        <vt:i4>567</vt:i4>
      </vt:variant>
      <vt:variant>
        <vt:i4>0</vt:i4>
      </vt:variant>
      <vt:variant>
        <vt:i4>5</vt:i4>
      </vt:variant>
      <vt:variant>
        <vt:lpwstr>http://www.mineaction.org/overview.asp?o=17</vt:lpwstr>
      </vt:variant>
      <vt:variant>
        <vt:lpwstr/>
      </vt:variant>
      <vt:variant>
        <vt:i4>4915293</vt:i4>
      </vt:variant>
      <vt:variant>
        <vt:i4>564</vt:i4>
      </vt:variant>
      <vt:variant>
        <vt:i4>0</vt:i4>
      </vt:variant>
      <vt:variant>
        <vt:i4>5</vt:i4>
      </vt:variant>
      <vt:variant>
        <vt:lpwstr>http://ocha-gwapps1.unog.ch/rw/lib.nsf/db900sid/RURI-6NRPJC/$file/imas-gen-nov05.pdf?openelement</vt:lpwstr>
      </vt:variant>
      <vt:variant>
        <vt:lpwstr/>
      </vt:variant>
      <vt:variant>
        <vt:i4>3604521</vt:i4>
      </vt:variant>
      <vt:variant>
        <vt:i4>561</vt:i4>
      </vt:variant>
      <vt:variant>
        <vt:i4>0</vt:i4>
      </vt:variant>
      <vt:variant>
        <vt:i4>5</vt:i4>
      </vt:variant>
      <vt:variant>
        <vt:lpwstr>http://ocha-gwapps1.unog.ch/rw/lib.nsf/db900sid/RURI-6P9RL9/$file/imas-12gen-nov05.pdf?openelement</vt:lpwstr>
      </vt:variant>
      <vt:variant>
        <vt:lpwstr/>
      </vt:variant>
      <vt:variant>
        <vt:i4>720982</vt:i4>
      </vt:variant>
      <vt:variant>
        <vt:i4>558</vt:i4>
      </vt:variant>
      <vt:variant>
        <vt:i4>0</vt:i4>
      </vt:variant>
      <vt:variant>
        <vt:i4>5</vt:i4>
      </vt:variant>
      <vt:variant>
        <vt:lpwstr>http://www.cdc.gov/mmwr/preview/mmwrhtml/rr5013a1.htm</vt:lpwstr>
      </vt:variant>
      <vt:variant>
        <vt:lpwstr/>
      </vt:variant>
      <vt:variant>
        <vt:i4>720982</vt:i4>
      </vt:variant>
      <vt:variant>
        <vt:i4>555</vt:i4>
      </vt:variant>
      <vt:variant>
        <vt:i4>0</vt:i4>
      </vt:variant>
      <vt:variant>
        <vt:i4>5</vt:i4>
      </vt:variant>
      <vt:variant>
        <vt:lpwstr>http://www.cdc.gov/mmwr/preview/mmwrhtml/rr5013a1.htm</vt:lpwstr>
      </vt:variant>
      <vt:variant>
        <vt:lpwstr/>
      </vt:variant>
      <vt:variant>
        <vt:i4>4259851</vt:i4>
      </vt:variant>
      <vt:variant>
        <vt:i4>552</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549</vt:i4>
      </vt:variant>
      <vt:variant>
        <vt:i4>0</vt:i4>
      </vt:variant>
      <vt:variant>
        <vt:i4>5</vt:i4>
      </vt:variant>
      <vt:variant>
        <vt:lpwstr>http://www.the-monitor.org/index.php/publications/display?act=submit&amp;pqs_year=2008&amp;pqs_type=lm&amp;pqs_report=nepal&amp;pqs_section</vt:lpwstr>
      </vt:variant>
      <vt:variant>
        <vt:lpwstr/>
      </vt:variant>
      <vt:variant>
        <vt:i4>720982</vt:i4>
      </vt:variant>
      <vt:variant>
        <vt:i4>546</vt:i4>
      </vt:variant>
      <vt:variant>
        <vt:i4>0</vt:i4>
      </vt:variant>
      <vt:variant>
        <vt:i4>5</vt:i4>
      </vt:variant>
      <vt:variant>
        <vt:lpwstr>http://www.cdc.gov/mmwr/preview/mmwrhtml/rr5013a1.htm</vt:lpwstr>
      </vt:variant>
      <vt:variant>
        <vt:lpwstr/>
      </vt:variant>
      <vt:variant>
        <vt:i4>6815766</vt:i4>
      </vt:variant>
      <vt:variant>
        <vt:i4>543</vt:i4>
      </vt:variant>
      <vt:variant>
        <vt:i4>0</vt:i4>
      </vt:variant>
      <vt:variant>
        <vt:i4>5</vt:i4>
      </vt:variant>
      <vt:variant>
        <vt:lpwstr>http://www.who.int/healthinfo/global_burden_disease/estimates_country/en/index.html</vt:lpwstr>
      </vt:variant>
      <vt:variant>
        <vt:lpwstr/>
      </vt:variant>
      <vt:variant>
        <vt:i4>6422576</vt:i4>
      </vt:variant>
      <vt:variant>
        <vt:i4>540</vt:i4>
      </vt:variant>
      <vt:variant>
        <vt:i4>0</vt:i4>
      </vt:variant>
      <vt:variant>
        <vt:i4>5</vt:i4>
      </vt:variant>
      <vt:variant>
        <vt:lpwstr>http://kumj.com.np/ftp/issue/17/editorial2.pdf</vt:lpwstr>
      </vt:variant>
      <vt:variant>
        <vt:lpwstr/>
      </vt:variant>
      <vt:variant>
        <vt:i4>2162727</vt:i4>
      </vt:variant>
      <vt:variant>
        <vt:i4>537</vt:i4>
      </vt:variant>
      <vt:variant>
        <vt:i4>0</vt:i4>
      </vt:variant>
      <vt:variant>
        <vt:i4>5</vt:i4>
      </vt:variant>
      <vt:variant>
        <vt:lpwstr>http://www.inseconline.org/pics/1244451929.pdf</vt:lpwstr>
      </vt:variant>
      <vt:variant>
        <vt:lpwstr/>
      </vt:variant>
      <vt:variant>
        <vt:i4>3080231</vt:i4>
      </vt:variant>
      <vt:variant>
        <vt:i4>534</vt:i4>
      </vt:variant>
      <vt:variant>
        <vt:i4>0</vt:i4>
      </vt:variant>
      <vt:variant>
        <vt:i4>5</vt:i4>
      </vt:variant>
      <vt:variant>
        <vt:lpwstr>http://www.inseconline.org/pics/1244451628.pdf</vt:lpwstr>
      </vt:variant>
      <vt:variant>
        <vt:lpwstr/>
      </vt:variant>
      <vt:variant>
        <vt:i4>2162720</vt:i4>
      </vt:variant>
      <vt:variant>
        <vt:i4>531</vt:i4>
      </vt:variant>
      <vt:variant>
        <vt:i4>0</vt:i4>
      </vt:variant>
      <vt:variant>
        <vt:i4>5</vt:i4>
      </vt:variant>
      <vt:variant>
        <vt:lpwstr>http://www.inseconline.org/pics/1244451555.pdf</vt:lpwstr>
      </vt:variant>
      <vt:variant>
        <vt:lpwstr/>
      </vt:variant>
      <vt:variant>
        <vt:i4>2359341</vt:i4>
      </vt:variant>
      <vt:variant>
        <vt:i4>528</vt:i4>
      </vt:variant>
      <vt:variant>
        <vt:i4>0</vt:i4>
      </vt:variant>
      <vt:variant>
        <vt:i4>5</vt:i4>
      </vt:variant>
      <vt:variant>
        <vt:lpwstr>http://www.inseconline.org/pics/1244451287.pdf</vt:lpwstr>
      </vt:variant>
      <vt:variant>
        <vt:lpwstr/>
      </vt:variant>
      <vt:variant>
        <vt:i4>2097190</vt:i4>
      </vt:variant>
      <vt:variant>
        <vt:i4>525</vt:i4>
      </vt:variant>
      <vt:variant>
        <vt:i4>0</vt:i4>
      </vt:variant>
      <vt:variant>
        <vt:i4>5</vt:i4>
      </vt:variant>
      <vt:variant>
        <vt:lpwstr>http://www.inseconline.org/pics/1244451031.pdf</vt:lpwstr>
      </vt:variant>
      <vt:variant>
        <vt:lpwstr/>
      </vt:variant>
      <vt:variant>
        <vt:i4>2490405</vt:i4>
      </vt:variant>
      <vt:variant>
        <vt:i4>522</vt:i4>
      </vt:variant>
      <vt:variant>
        <vt:i4>0</vt:i4>
      </vt:variant>
      <vt:variant>
        <vt:i4>5</vt:i4>
      </vt:variant>
      <vt:variant>
        <vt:lpwstr>http://www.inseconline.org/pics/1244451007.pdf</vt:lpwstr>
      </vt:variant>
      <vt:variant>
        <vt:lpwstr/>
      </vt:variant>
      <vt:variant>
        <vt:i4>2490405</vt:i4>
      </vt:variant>
      <vt:variant>
        <vt:i4>519</vt:i4>
      </vt:variant>
      <vt:variant>
        <vt:i4>0</vt:i4>
      </vt:variant>
      <vt:variant>
        <vt:i4>5</vt:i4>
      </vt:variant>
      <vt:variant>
        <vt:lpwstr>http://www.inseconline.org/pics/1244451007.pdf</vt:lpwstr>
      </vt:variant>
      <vt:variant>
        <vt:lpwstr/>
      </vt:variant>
      <vt:variant>
        <vt:i4>2097188</vt:i4>
      </vt:variant>
      <vt:variant>
        <vt:i4>516</vt:i4>
      </vt:variant>
      <vt:variant>
        <vt:i4>0</vt:i4>
      </vt:variant>
      <vt:variant>
        <vt:i4>5</vt:i4>
      </vt:variant>
      <vt:variant>
        <vt:lpwstr>http://www.inseconline.org/pics/1244450908.pdf</vt:lpwstr>
      </vt:variant>
      <vt:variant>
        <vt:lpwstr/>
      </vt:variant>
      <vt:variant>
        <vt:i4>2293792</vt:i4>
      </vt:variant>
      <vt:variant>
        <vt:i4>513</vt:i4>
      </vt:variant>
      <vt:variant>
        <vt:i4>0</vt:i4>
      </vt:variant>
      <vt:variant>
        <vt:i4>5</vt:i4>
      </vt:variant>
      <vt:variant>
        <vt:lpwstr>http://www.inseconline.org/pics/1244450644.pdf</vt:lpwstr>
      </vt:variant>
      <vt:variant>
        <vt:lpwstr/>
      </vt:variant>
      <vt:variant>
        <vt:i4>5177355</vt:i4>
      </vt:variant>
      <vt:variant>
        <vt:i4>510</vt:i4>
      </vt:variant>
      <vt:variant>
        <vt:i4>0</vt:i4>
      </vt:variant>
      <vt:variant>
        <vt:i4>5</vt:i4>
      </vt:variant>
      <vt:variant>
        <vt:lpwstr>http://www.the-monitor.org/index.php/publications/display?act=submit&amp;pqs_year=2007&amp;pqs_type=lm&amp;pqs_report=nepal&amp;pqs_section</vt:lpwstr>
      </vt:variant>
      <vt:variant>
        <vt:lpwstr/>
      </vt:variant>
      <vt:variant>
        <vt:i4>4259851</vt:i4>
      </vt:variant>
      <vt:variant>
        <vt:i4>507</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504</vt:i4>
      </vt:variant>
      <vt:variant>
        <vt:i4>0</vt:i4>
      </vt:variant>
      <vt:variant>
        <vt:i4>5</vt:i4>
      </vt:variant>
      <vt:variant>
        <vt:lpwstr>http://www.the-monitor.org/index.php/publications/display?act=submit&amp;pqs_year=2008&amp;pqs_type=lm&amp;pqs_report=nepal&amp;pqs_section</vt:lpwstr>
      </vt:variant>
      <vt:variant>
        <vt:lpwstr/>
      </vt:variant>
      <vt:variant>
        <vt:i4>4259851</vt:i4>
      </vt:variant>
      <vt:variant>
        <vt:i4>501</vt:i4>
      </vt:variant>
      <vt:variant>
        <vt:i4>0</vt:i4>
      </vt:variant>
      <vt:variant>
        <vt:i4>5</vt:i4>
      </vt:variant>
      <vt:variant>
        <vt:lpwstr>http://www.the-monitor.org/index.php/publications/display?act=submit&amp;pqs_year=2009&amp;pqs_type=lm&amp;pqs_report=nepal&amp;pqs_section</vt:lpwstr>
      </vt:variant>
      <vt:variant>
        <vt:lpwstr/>
      </vt:variant>
      <vt:variant>
        <vt:i4>2490403</vt:i4>
      </vt:variant>
      <vt:variant>
        <vt:i4>498</vt:i4>
      </vt:variant>
      <vt:variant>
        <vt:i4>0</vt:i4>
      </vt:variant>
      <vt:variant>
        <vt:i4>5</vt:i4>
      </vt:variant>
      <vt:variant>
        <vt:lpwstr>http://www.inseconline.org/pics/1244451067.pdf</vt:lpwstr>
      </vt:variant>
      <vt:variant>
        <vt:lpwstr/>
      </vt:variant>
      <vt:variant>
        <vt:i4>2490403</vt:i4>
      </vt:variant>
      <vt:variant>
        <vt:i4>495</vt:i4>
      </vt:variant>
      <vt:variant>
        <vt:i4>0</vt:i4>
      </vt:variant>
      <vt:variant>
        <vt:i4>5</vt:i4>
      </vt:variant>
      <vt:variant>
        <vt:lpwstr>http://www.inseconline.org/pics/1244451067.pdf</vt:lpwstr>
      </vt:variant>
      <vt:variant>
        <vt:lpwstr/>
      </vt:variant>
      <vt:variant>
        <vt:i4>2359330</vt:i4>
      </vt:variant>
      <vt:variant>
        <vt:i4>492</vt:i4>
      </vt:variant>
      <vt:variant>
        <vt:i4>0</vt:i4>
      </vt:variant>
      <vt:variant>
        <vt:i4>5</vt:i4>
      </vt:variant>
      <vt:variant>
        <vt:lpwstr>http://www.inseconline.org/pics/1244452441.pdf</vt:lpwstr>
      </vt:variant>
      <vt:variant>
        <vt:lpwstr/>
      </vt:variant>
      <vt:variant>
        <vt:i4>2359330</vt:i4>
      </vt:variant>
      <vt:variant>
        <vt:i4>489</vt:i4>
      </vt:variant>
      <vt:variant>
        <vt:i4>0</vt:i4>
      </vt:variant>
      <vt:variant>
        <vt:i4>5</vt:i4>
      </vt:variant>
      <vt:variant>
        <vt:lpwstr>http://www.inseconline.org/pics/1244452441.pdf</vt:lpwstr>
      </vt:variant>
      <vt:variant>
        <vt:lpwstr/>
      </vt:variant>
      <vt:variant>
        <vt:i4>5177355</vt:i4>
      </vt:variant>
      <vt:variant>
        <vt:i4>486</vt:i4>
      </vt:variant>
      <vt:variant>
        <vt:i4>0</vt:i4>
      </vt:variant>
      <vt:variant>
        <vt:i4>5</vt:i4>
      </vt:variant>
      <vt:variant>
        <vt:lpwstr>http://www.the-monitor.org/index.php/publications/display?act=submit&amp;pqs_year=2007&amp;pqs_type=lm&amp;pqs_report=nepal&amp;pqs_section</vt:lpwstr>
      </vt:variant>
      <vt:variant>
        <vt:lpwstr/>
      </vt:variant>
      <vt:variant>
        <vt:i4>2490403</vt:i4>
      </vt:variant>
      <vt:variant>
        <vt:i4>483</vt:i4>
      </vt:variant>
      <vt:variant>
        <vt:i4>0</vt:i4>
      </vt:variant>
      <vt:variant>
        <vt:i4>5</vt:i4>
      </vt:variant>
      <vt:variant>
        <vt:lpwstr>http://www.inseconline.org/pics/1244451067.pdf</vt:lpwstr>
      </vt:variant>
      <vt:variant>
        <vt:lpwstr/>
      </vt:variant>
      <vt:variant>
        <vt:i4>2490403</vt:i4>
      </vt:variant>
      <vt:variant>
        <vt:i4>480</vt:i4>
      </vt:variant>
      <vt:variant>
        <vt:i4>0</vt:i4>
      </vt:variant>
      <vt:variant>
        <vt:i4>5</vt:i4>
      </vt:variant>
      <vt:variant>
        <vt:lpwstr>http://www.inseconline.org/pics/1244451067.pdf</vt:lpwstr>
      </vt:variant>
      <vt:variant>
        <vt:lpwstr/>
      </vt:variant>
      <vt:variant>
        <vt:i4>3932218</vt:i4>
      </vt:variant>
      <vt:variant>
        <vt:i4>477</vt:i4>
      </vt:variant>
      <vt:variant>
        <vt:i4>0</vt:i4>
      </vt:variant>
      <vt:variant>
        <vt:i4>5</vt:i4>
      </vt:variant>
      <vt:variant>
        <vt:lpwstr>http://www.un.org.np/reports//INSEC/2006/Handicap Final Report.pdf</vt:lpwstr>
      </vt:variant>
      <vt:variant>
        <vt:lpwstr/>
      </vt:variant>
      <vt:variant>
        <vt:i4>2490403</vt:i4>
      </vt:variant>
      <vt:variant>
        <vt:i4>474</vt:i4>
      </vt:variant>
      <vt:variant>
        <vt:i4>0</vt:i4>
      </vt:variant>
      <vt:variant>
        <vt:i4>5</vt:i4>
      </vt:variant>
      <vt:variant>
        <vt:lpwstr>http://www.inseconline.org/pics/1244451067.pdf</vt:lpwstr>
      </vt:variant>
      <vt:variant>
        <vt:lpwstr/>
      </vt:variant>
      <vt:variant>
        <vt:i4>2424903</vt:i4>
      </vt:variant>
      <vt:variant>
        <vt:i4>471</vt:i4>
      </vt:variant>
      <vt:variant>
        <vt:i4>0</vt:i4>
      </vt:variant>
      <vt:variant>
        <vt:i4>5</vt:i4>
      </vt:variant>
      <vt:variant>
        <vt:lpwstr>http://www.handicap-international.org.uk/about_us/index</vt:lpwstr>
      </vt:variant>
      <vt:variant>
        <vt:lpwstr/>
      </vt:variant>
      <vt:variant>
        <vt:i4>3670131</vt:i4>
      </vt:variant>
      <vt:variant>
        <vt:i4>468</vt:i4>
      </vt:variant>
      <vt:variant>
        <vt:i4>0</vt:i4>
      </vt:variant>
      <vt:variant>
        <vt:i4>5</vt:i4>
      </vt:variant>
      <vt:variant>
        <vt:lpwstr>http://www.handicap-international.us/in-the-us/</vt:lpwstr>
      </vt:variant>
      <vt:variant>
        <vt:lpwstr/>
      </vt:variant>
      <vt:variant>
        <vt:i4>5111819</vt:i4>
      </vt:variant>
      <vt:variant>
        <vt:i4>465</vt:i4>
      </vt:variant>
      <vt:variant>
        <vt:i4>0</vt:i4>
      </vt:variant>
      <vt:variant>
        <vt:i4>5</vt:i4>
      </vt:variant>
      <vt:variant>
        <vt:lpwstr>http://www.the-monitor.org/index.php/publications/display?act=submit&amp;pqs_year=2006&amp;pqs_type=lm&amp;pqs_report=nepal&amp;pqs_section</vt:lpwstr>
      </vt:variant>
      <vt:variant>
        <vt:lpwstr/>
      </vt:variant>
      <vt:variant>
        <vt:i4>7602228</vt:i4>
      </vt:variant>
      <vt:variant>
        <vt:i4>462</vt:i4>
      </vt:variant>
      <vt:variant>
        <vt:i4>0</vt:i4>
      </vt:variant>
      <vt:variant>
        <vt:i4>5</vt:i4>
      </vt:variant>
      <vt:variant>
        <vt:lpwstr>http://www.insec.org.np/index.php?type=cms&amp;id=1&amp;lang=en</vt:lpwstr>
      </vt:variant>
      <vt:variant>
        <vt:lpwstr/>
      </vt:variant>
      <vt:variant>
        <vt:i4>6750247</vt:i4>
      </vt:variant>
      <vt:variant>
        <vt:i4>459</vt:i4>
      </vt:variant>
      <vt:variant>
        <vt:i4>0</vt:i4>
      </vt:variant>
      <vt:variant>
        <vt:i4>5</vt:i4>
      </vt:variant>
      <vt:variant>
        <vt:lpwstr>http://www.insec.org.np/index.php?type=reports&amp;id=1&amp;lang=en</vt:lpwstr>
      </vt:variant>
      <vt:variant>
        <vt:lpwstr/>
      </vt:variant>
      <vt:variant>
        <vt:i4>5177355</vt:i4>
      </vt:variant>
      <vt:variant>
        <vt:i4>456</vt:i4>
      </vt:variant>
      <vt:variant>
        <vt:i4>0</vt:i4>
      </vt:variant>
      <vt:variant>
        <vt:i4>5</vt:i4>
      </vt:variant>
      <vt:variant>
        <vt:lpwstr>http://www.the-monitor.org/index.php/publications/display?act=submit&amp;pqs_year=2007&amp;pqs_type=lm&amp;pqs_report=nepal&amp;pqs_section</vt:lpwstr>
      </vt:variant>
      <vt:variant>
        <vt:lpwstr/>
      </vt:variant>
      <vt:variant>
        <vt:i4>2293792</vt:i4>
      </vt:variant>
      <vt:variant>
        <vt:i4>453</vt:i4>
      </vt:variant>
      <vt:variant>
        <vt:i4>0</vt:i4>
      </vt:variant>
      <vt:variant>
        <vt:i4>5</vt:i4>
      </vt:variant>
      <vt:variant>
        <vt:lpwstr>http://www.inseconline.org/pics/1244450644.pdf</vt:lpwstr>
      </vt:variant>
      <vt:variant>
        <vt:lpwstr/>
      </vt:variant>
      <vt:variant>
        <vt:i4>5111819</vt:i4>
      </vt:variant>
      <vt:variant>
        <vt:i4>450</vt:i4>
      </vt:variant>
      <vt:variant>
        <vt:i4>0</vt:i4>
      </vt:variant>
      <vt:variant>
        <vt:i4>5</vt:i4>
      </vt:variant>
      <vt:variant>
        <vt:lpwstr>http://www.the-monitor.org/index.php/publications/display?act=submit&amp;pqs_year=2006&amp;pqs_type=lm&amp;pqs_report=nepal&amp;pqs_section</vt:lpwstr>
      </vt:variant>
      <vt:variant>
        <vt:lpwstr/>
      </vt:variant>
      <vt:variant>
        <vt:i4>4259851</vt:i4>
      </vt:variant>
      <vt:variant>
        <vt:i4>447</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444</vt:i4>
      </vt:variant>
      <vt:variant>
        <vt:i4>0</vt:i4>
      </vt:variant>
      <vt:variant>
        <vt:i4>5</vt:i4>
      </vt:variant>
      <vt:variant>
        <vt:lpwstr>http://www.the-monitor.org/index.php/publications/display?act=submit&amp;pqs_year=2008&amp;pqs_type=lm&amp;pqs_report=nepal&amp;pqs_section</vt:lpwstr>
      </vt:variant>
      <vt:variant>
        <vt:lpwstr/>
      </vt:variant>
      <vt:variant>
        <vt:i4>2949164</vt:i4>
      </vt:variant>
      <vt:variant>
        <vt:i4>441</vt:i4>
      </vt:variant>
      <vt:variant>
        <vt:i4>0</vt:i4>
      </vt:variant>
      <vt:variant>
        <vt:i4>5</vt:i4>
      </vt:variant>
      <vt:variant>
        <vt:lpwstr>http://www.inseconline.org/pics/1279523096.pdf</vt:lpwstr>
      </vt:variant>
      <vt:variant>
        <vt:lpwstr/>
      </vt:variant>
      <vt:variant>
        <vt:i4>2293792</vt:i4>
      </vt:variant>
      <vt:variant>
        <vt:i4>438</vt:i4>
      </vt:variant>
      <vt:variant>
        <vt:i4>0</vt:i4>
      </vt:variant>
      <vt:variant>
        <vt:i4>5</vt:i4>
      </vt:variant>
      <vt:variant>
        <vt:lpwstr>http://www.inseconline.org/pics/1244450644.pdf</vt:lpwstr>
      </vt:variant>
      <vt:variant>
        <vt:lpwstr/>
      </vt:variant>
      <vt:variant>
        <vt:i4>5177355</vt:i4>
      </vt:variant>
      <vt:variant>
        <vt:i4>435</vt:i4>
      </vt:variant>
      <vt:variant>
        <vt:i4>0</vt:i4>
      </vt:variant>
      <vt:variant>
        <vt:i4>5</vt:i4>
      </vt:variant>
      <vt:variant>
        <vt:lpwstr>http://www.the-monitor.org/index.php/publications/display?act=submit&amp;pqs_year=2007&amp;pqs_type=lm&amp;pqs_report=nepal&amp;pqs_section</vt:lpwstr>
      </vt:variant>
      <vt:variant>
        <vt:lpwstr/>
      </vt:variant>
      <vt:variant>
        <vt:i4>5177355</vt:i4>
      </vt:variant>
      <vt:variant>
        <vt:i4>432</vt:i4>
      </vt:variant>
      <vt:variant>
        <vt:i4>0</vt:i4>
      </vt:variant>
      <vt:variant>
        <vt:i4>5</vt:i4>
      </vt:variant>
      <vt:variant>
        <vt:lpwstr>http://www.the-monitor.org/index.php/publications/display?act=submit&amp;pqs_year=2007&amp;pqs_type=lm&amp;pqs_report=nepal&amp;pqs_section</vt:lpwstr>
      </vt:variant>
      <vt:variant>
        <vt:lpwstr/>
      </vt:variant>
      <vt:variant>
        <vt:i4>5177355</vt:i4>
      </vt:variant>
      <vt:variant>
        <vt:i4>429</vt:i4>
      </vt:variant>
      <vt:variant>
        <vt:i4>0</vt:i4>
      </vt:variant>
      <vt:variant>
        <vt:i4>5</vt:i4>
      </vt:variant>
      <vt:variant>
        <vt:lpwstr>http://www.the-monitor.org/index.php/publications/display?act=submit&amp;pqs_year=2007&amp;pqs_type=lm&amp;pqs_report=nepal&amp;pqs_section</vt:lpwstr>
      </vt:variant>
      <vt:variant>
        <vt:lpwstr/>
      </vt:variant>
      <vt:variant>
        <vt:i4>2293792</vt:i4>
      </vt:variant>
      <vt:variant>
        <vt:i4>426</vt:i4>
      </vt:variant>
      <vt:variant>
        <vt:i4>0</vt:i4>
      </vt:variant>
      <vt:variant>
        <vt:i4>5</vt:i4>
      </vt:variant>
      <vt:variant>
        <vt:lpwstr>http://www.inseconline.org/pics/1244450644.pdf</vt:lpwstr>
      </vt:variant>
      <vt:variant>
        <vt:lpwstr/>
      </vt:variant>
      <vt:variant>
        <vt:i4>4259851</vt:i4>
      </vt:variant>
      <vt:variant>
        <vt:i4>423</vt:i4>
      </vt:variant>
      <vt:variant>
        <vt:i4>0</vt:i4>
      </vt:variant>
      <vt:variant>
        <vt:i4>5</vt:i4>
      </vt:variant>
      <vt:variant>
        <vt:lpwstr>http://www.the-monitor.org/index.php/publications/display?act=submit&amp;pqs_year=2009&amp;pqs_type=lm&amp;pqs_report=nepal&amp;pqs_section</vt:lpwstr>
      </vt:variant>
      <vt:variant>
        <vt:lpwstr/>
      </vt:variant>
      <vt:variant>
        <vt:i4>2162727</vt:i4>
      </vt:variant>
      <vt:variant>
        <vt:i4>420</vt:i4>
      </vt:variant>
      <vt:variant>
        <vt:i4>0</vt:i4>
      </vt:variant>
      <vt:variant>
        <vt:i4>5</vt:i4>
      </vt:variant>
      <vt:variant>
        <vt:lpwstr>http://www.inseconline.org/pics/1244451929.pdf</vt:lpwstr>
      </vt:variant>
      <vt:variant>
        <vt:lpwstr/>
      </vt:variant>
      <vt:variant>
        <vt:i4>3080231</vt:i4>
      </vt:variant>
      <vt:variant>
        <vt:i4>417</vt:i4>
      </vt:variant>
      <vt:variant>
        <vt:i4>0</vt:i4>
      </vt:variant>
      <vt:variant>
        <vt:i4>5</vt:i4>
      </vt:variant>
      <vt:variant>
        <vt:lpwstr>http://www.inseconline.org/pics/1244451628.pdf</vt:lpwstr>
      </vt:variant>
      <vt:variant>
        <vt:lpwstr/>
      </vt:variant>
      <vt:variant>
        <vt:i4>2162720</vt:i4>
      </vt:variant>
      <vt:variant>
        <vt:i4>414</vt:i4>
      </vt:variant>
      <vt:variant>
        <vt:i4>0</vt:i4>
      </vt:variant>
      <vt:variant>
        <vt:i4>5</vt:i4>
      </vt:variant>
      <vt:variant>
        <vt:lpwstr>http://www.inseconline.org/pics/1244451555.pdf</vt:lpwstr>
      </vt:variant>
      <vt:variant>
        <vt:lpwstr/>
      </vt:variant>
      <vt:variant>
        <vt:i4>2359341</vt:i4>
      </vt:variant>
      <vt:variant>
        <vt:i4>411</vt:i4>
      </vt:variant>
      <vt:variant>
        <vt:i4>0</vt:i4>
      </vt:variant>
      <vt:variant>
        <vt:i4>5</vt:i4>
      </vt:variant>
      <vt:variant>
        <vt:lpwstr>http://www.inseconline.org/pics/1244451287.pdf</vt:lpwstr>
      </vt:variant>
      <vt:variant>
        <vt:lpwstr/>
      </vt:variant>
      <vt:variant>
        <vt:i4>2097190</vt:i4>
      </vt:variant>
      <vt:variant>
        <vt:i4>408</vt:i4>
      </vt:variant>
      <vt:variant>
        <vt:i4>0</vt:i4>
      </vt:variant>
      <vt:variant>
        <vt:i4>5</vt:i4>
      </vt:variant>
      <vt:variant>
        <vt:lpwstr>http://www.inseconline.org/pics/1244451031.pdf</vt:lpwstr>
      </vt:variant>
      <vt:variant>
        <vt:lpwstr/>
      </vt:variant>
      <vt:variant>
        <vt:i4>2490405</vt:i4>
      </vt:variant>
      <vt:variant>
        <vt:i4>405</vt:i4>
      </vt:variant>
      <vt:variant>
        <vt:i4>0</vt:i4>
      </vt:variant>
      <vt:variant>
        <vt:i4>5</vt:i4>
      </vt:variant>
      <vt:variant>
        <vt:lpwstr>http://www.inseconline.org/pics/1244451007.pdf</vt:lpwstr>
      </vt:variant>
      <vt:variant>
        <vt:lpwstr/>
      </vt:variant>
      <vt:variant>
        <vt:i4>2490405</vt:i4>
      </vt:variant>
      <vt:variant>
        <vt:i4>402</vt:i4>
      </vt:variant>
      <vt:variant>
        <vt:i4>0</vt:i4>
      </vt:variant>
      <vt:variant>
        <vt:i4>5</vt:i4>
      </vt:variant>
      <vt:variant>
        <vt:lpwstr>http://www.inseconline.org/pics/1244451007.pdf</vt:lpwstr>
      </vt:variant>
      <vt:variant>
        <vt:lpwstr/>
      </vt:variant>
      <vt:variant>
        <vt:i4>2097188</vt:i4>
      </vt:variant>
      <vt:variant>
        <vt:i4>399</vt:i4>
      </vt:variant>
      <vt:variant>
        <vt:i4>0</vt:i4>
      </vt:variant>
      <vt:variant>
        <vt:i4>5</vt:i4>
      </vt:variant>
      <vt:variant>
        <vt:lpwstr>http://www.inseconline.org/pics/1244450908.pdf</vt:lpwstr>
      </vt:variant>
      <vt:variant>
        <vt:lpwstr/>
      </vt:variant>
      <vt:variant>
        <vt:i4>2293792</vt:i4>
      </vt:variant>
      <vt:variant>
        <vt:i4>396</vt:i4>
      </vt:variant>
      <vt:variant>
        <vt:i4>0</vt:i4>
      </vt:variant>
      <vt:variant>
        <vt:i4>5</vt:i4>
      </vt:variant>
      <vt:variant>
        <vt:lpwstr>http://www.inseconline.org/pics/1244450644.pdf</vt:lpwstr>
      </vt:variant>
      <vt:variant>
        <vt:lpwstr/>
      </vt:variant>
      <vt:variant>
        <vt:i4>5111819</vt:i4>
      </vt:variant>
      <vt:variant>
        <vt:i4>393</vt:i4>
      </vt:variant>
      <vt:variant>
        <vt:i4>0</vt:i4>
      </vt:variant>
      <vt:variant>
        <vt:i4>5</vt:i4>
      </vt:variant>
      <vt:variant>
        <vt:lpwstr>http://www.the-monitor.org/index.php/publications/display?act=submit&amp;pqs_year=2006&amp;pqs_type=lm&amp;pqs_report=nepal&amp;pqs_section</vt:lpwstr>
      </vt:variant>
      <vt:variant>
        <vt:lpwstr/>
      </vt:variant>
      <vt:variant>
        <vt:i4>2162727</vt:i4>
      </vt:variant>
      <vt:variant>
        <vt:i4>390</vt:i4>
      </vt:variant>
      <vt:variant>
        <vt:i4>0</vt:i4>
      </vt:variant>
      <vt:variant>
        <vt:i4>5</vt:i4>
      </vt:variant>
      <vt:variant>
        <vt:lpwstr>http://www.inseconline.org/pics/1244451929.pdf</vt:lpwstr>
      </vt:variant>
      <vt:variant>
        <vt:lpwstr/>
      </vt:variant>
      <vt:variant>
        <vt:i4>3080231</vt:i4>
      </vt:variant>
      <vt:variant>
        <vt:i4>387</vt:i4>
      </vt:variant>
      <vt:variant>
        <vt:i4>0</vt:i4>
      </vt:variant>
      <vt:variant>
        <vt:i4>5</vt:i4>
      </vt:variant>
      <vt:variant>
        <vt:lpwstr>http://www.inseconline.org/pics/1244451628.pdf</vt:lpwstr>
      </vt:variant>
      <vt:variant>
        <vt:lpwstr/>
      </vt:variant>
      <vt:variant>
        <vt:i4>2162720</vt:i4>
      </vt:variant>
      <vt:variant>
        <vt:i4>384</vt:i4>
      </vt:variant>
      <vt:variant>
        <vt:i4>0</vt:i4>
      </vt:variant>
      <vt:variant>
        <vt:i4>5</vt:i4>
      </vt:variant>
      <vt:variant>
        <vt:lpwstr>http://www.inseconline.org/pics/1244451555.pdf</vt:lpwstr>
      </vt:variant>
      <vt:variant>
        <vt:lpwstr/>
      </vt:variant>
      <vt:variant>
        <vt:i4>2359341</vt:i4>
      </vt:variant>
      <vt:variant>
        <vt:i4>381</vt:i4>
      </vt:variant>
      <vt:variant>
        <vt:i4>0</vt:i4>
      </vt:variant>
      <vt:variant>
        <vt:i4>5</vt:i4>
      </vt:variant>
      <vt:variant>
        <vt:lpwstr>http://www.inseconline.org/pics/1244451287.pdf</vt:lpwstr>
      </vt:variant>
      <vt:variant>
        <vt:lpwstr/>
      </vt:variant>
      <vt:variant>
        <vt:i4>2097190</vt:i4>
      </vt:variant>
      <vt:variant>
        <vt:i4>378</vt:i4>
      </vt:variant>
      <vt:variant>
        <vt:i4>0</vt:i4>
      </vt:variant>
      <vt:variant>
        <vt:i4>5</vt:i4>
      </vt:variant>
      <vt:variant>
        <vt:lpwstr>http://www.inseconline.org/pics/1244451031.pdf</vt:lpwstr>
      </vt:variant>
      <vt:variant>
        <vt:lpwstr/>
      </vt:variant>
      <vt:variant>
        <vt:i4>2490405</vt:i4>
      </vt:variant>
      <vt:variant>
        <vt:i4>375</vt:i4>
      </vt:variant>
      <vt:variant>
        <vt:i4>0</vt:i4>
      </vt:variant>
      <vt:variant>
        <vt:i4>5</vt:i4>
      </vt:variant>
      <vt:variant>
        <vt:lpwstr>http://www.inseconline.org/pics/1244451007.pdf</vt:lpwstr>
      </vt:variant>
      <vt:variant>
        <vt:lpwstr/>
      </vt:variant>
      <vt:variant>
        <vt:i4>2490405</vt:i4>
      </vt:variant>
      <vt:variant>
        <vt:i4>372</vt:i4>
      </vt:variant>
      <vt:variant>
        <vt:i4>0</vt:i4>
      </vt:variant>
      <vt:variant>
        <vt:i4>5</vt:i4>
      </vt:variant>
      <vt:variant>
        <vt:lpwstr>http://www.inseconline.org/pics/1244451007.pdf</vt:lpwstr>
      </vt:variant>
      <vt:variant>
        <vt:lpwstr/>
      </vt:variant>
      <vt:variant>
        <vt:i4>2097188</vt:i4>
      </vt:variant>
      <vt:variant>
        <vt:i4>369</vt:i4>
      </vt:variant>
      <vt:variant>
        <vt:i4>0</vt:i4>
      </vt:variant>
      <vt:variant>
        <vt:i4>5</vt:i4>
      </vt:variant>
      <vt:variant>
        <vt:lpwstr>http://www.inseconline.org/pics/1244450908.pdf</vt:lpwstr>
      </vt:variant>
      <vt:variant>
        <vt:lpwstr/>
      </vt:variant>
      <vt:variant>
        <vt:i4>2293792</vt:i4>
      </vt:variant>
      <vt:variant>
        <vt:i4>366</vt:i4>
      </vt:variant>
      <vt:variant>
        <vt:i4>0</vt:i4>
      </vt:variant>
      <vt:variant>
        <vt:i4>5</vt:i4>
      </vt:variant>
      <vt:variant>
        <vt:lpwstr>http://www.inseconline.org/pics/1244450644.pdf</vt:lpwstr>
      </vt:variant>
      <vt:variant>
        <vt:lpwstr/>
      </vt:variant>
      <vt:variant>
        <vt:i4>5046283</vt:i4>
      </vt:variant>
      <vt:variant>
        <vt:i4>363</vt:i4>
      </vt:variant>
      <vt:variant>
        <vt:i4>0</vt:i4>
      </vt:variant>
      <vt:variant>
        <vt:i4>5</vt:i4>
      </vt:variant>
      <vt:variant>
        <vt:lpwstr>http://www.the-monitor.org/index.php/publications/display?act=submit&amp;pqs_year=2005&amp;pqs_type=lm&amp;pqs_report=nepal&amp;pqs_section</vt:lpwstr>
      </vt:variant>
      <vt:variant>
        <vt:lpwstr/>
      </vt:variant>
      <vt:variant>
        <vt:i4>4915211</vt:i4>
      </vt:variant>
      <vt:variant>
        <vt:i4>360</vt:i4>
      </vt:variant>
      <vt:variant>
        <vt:i4>0</vt:i4>
      </vt:variant>
      <vt:variant>
        <vt:i4>5</vt:i4>
      </vt:variant>
      <vt:variant>
        <vt:lpwstr>http://www.the-monitor.org/index.php/publications/display?act=submit&amp;pqs_year=2003&amp;pqs_type=lm&amp;pqs_report=nepal&amp;pqs_section</vt:lpwstr>
      </vt:variant>
      <vt:variant>
        <vt:lpwstr/>
      </vt:variant>
      <vt:variant>
        <vt:i4>5046283</vt:i4>
      </vt:variant>
      <vt:variant>
        <vt:i4>357</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354</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351</vt:i4>
      </vt:variant>
      <vt:variant>
        <vt:i4>0</vt:i4>
      </vt:variant>
      <vt:variant>
        <vt:i4>5</vt:i4>
      </vt:variant>
      <vt:variant>
        <vt:lpwstr>http://www.the-monitor.org/index.php/publications/display?act=submit&amp;pqs_year=2003&amp;pqs_type=lm&amp;pqs_report=nepal&amp;pqs_section</vt:lpwstr>
      </vt:variant>
      <vt:variant>
        <vt:lpwstr/>
      </vt:variant>
      <vt:variant>
        <vt:i4>4849675</vt:i4>
      </vt:variant>
      <vt:variant>
        <vt:i4>348</vt:i4>
      </vt:variant>
      <vt:variant>
        <vt:i4>0</vt:i4>
      </vt:variant>
      <vt:variant>
        <vt:i4>5</vt:i4>
      </vt:variant>
      <vt:variant>
        <vt:lpwstr>http://www.the-monitor.org/index.php/publications/display?act=submit&amp;pqs_year=2002&amp;pqs_type=lm&amp;pqs_report=nepal&amp;pqs_section</vt:lpwstr>
      </vt:variant>
      <vt:variant>
        <vt:lpwstr/>
      </vt:variant>
      <vt:variant>
        <vt:i4>720982</vt:i4>
      </vt:variant>
      <vt:variant>
        <vt:i4>345</vt:i4>
      </vt:variant>
      <vt:variant>
        <vt:i4>0</vt:i4>
      </vt:variant>
      <vt:variant>
        <vt:i4>5</vt:i4>
      </vt:variant>
      <vt:variant>
        <vt:lpwstr>http://www.cdc.gov/mmwr/preview/mmwrhtml/rr5013a1.htm</vt:lpwstr>
      </vt:variant>
      <vt:variant>
        <vt:lpwstr/>
      </vt:variant>
      <vt:variant>
        <vt:i4>1376292</vt:i4>
      </vt:variant>
      <vt:variant>
        <vt:i4>342</vt:i4>
      </vt:variant>
      <vt:variant>
        <vt:i4>0</vt:i4>
      </vt:variant>
      <vt:variant>
        <vt:i4>5</vt:i4>
      </vt:variant>
      <vt:variant>
        <vt:lpwstr>http://www.uneval.org/papersandpubs/documentdetail.jsp?doc_id=22</vt:lpwstr>
      </vt:variant>
      <vt:variant>
        <vt:lpwstr/>
      </vt:variant>
      <vt:variant>
        <vt:i4>8323119</vt:i4>
      </vt:variant>
      <vt:variant>
        <vt:i4>339</vt:i4>
      </vt:variant>
      <vt:variant>
        <vt:i4>0</vt:i4>
      </vt:variant>
      <vt:variant>
        <vt:i4>5</vt:i4>
      </vt:variant>
      <vt:variant>
        <vt:lpwstr>http://www.escwa.un.org/divisions/pptcd/upload/uneg.pdf</vt:lpwstr>
      </vt:variant>
      <vt:variant>
        <vt:lpwstr/>
      </vt:variant>
      <vt:variant>
        <vt:i4>4980747</vt:i4>
      </vt:variant>
      <vt:variant>
        <vt:i4>336</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333</vt:i4>
      </vt:variant>
      <vt:variant>
        <vt:i4>0</vt:i4>
      </vt:variant>
      <vt:variant>
        <vt:i4>5</vt:i4>
      </vt:variant>
      <vt:variant>
        <vt:lpwstr>http://www.the-monitor.org/index.php/publications/display?act=submit&amp;pqs_year=2003&amp;pqs_type=lm&amp;pqs_report=nepal&amp;pqs_section</vt:lpwstr>
      </vt:variant>
      <vt:variant>
        <vt:lpwstr/>
      </vt:variant>
      <vt:variant>
        <vt:i4>4259851</vt:i4>
      </vt:variant>
      <vt:variant>
        <vt:i4>330</vt:i4>
      </vt:variant>
      <vt:variant>
        <vt:i4>0</vt:i4>
      </vt:variant>
      <vt:variant>
        <vt:i4>5</vt:i4>
      </vt:variant>
      <vt:variant>
        <vt:lpwstr>http://www.the-monitor.org/index.php/publications/display?act=submit&amp;pqs_year=2009&amp;pqs_type=lm&amp;pqs_report=nepal&amp;pqs_section</vt:lpwstr>
      </vt:variant>
      <vt:variant>
        <vt:lpwstr/>
      </vt:variant>
      <vt:variant>
        <vt:i4>4980747</vt:i4>
      </vt:variant>
      <vt:variant>
        <vt:i4>327</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324</vt:i4>
      </vt:variant>
      <vt:variant>
        <vt:i4>0</vt:i4>
      </vt:variant>
      <vt:variant>
        <vt:i4>5</vt:i4>
      </vt:variant>
      <vt:variant>
        <vt:lpwstr>http://www.the-monitor.org/index.php/publications/display?act=submit&amp;pqs_year=2003&amp;pqs_type=lm&amp;pqs_report=nepal&amp;pqs_section</vt:lpwstr>
      </vt:variant>
      <vt:variant>
        <vt:lpwstr/>
      </vt:variant>
      <vt:variant>
        <vt:i4>2752559</vt:i4>
      </vt:variant>
      <vt:variant>
        <vt:i4>321</vt:i4>
      </vt:variant>
      <vt:variant>
        <vt:i4>0</vt:i4>
      </vt:variant>
      <vt:variant>
        <vt:i4>5</vt:i4>
      </vt:variant>
      <vt:variant>
        <vt:lpwstr>http://www.inseconline.org/pics/1271926138.pdf</vt:lpwstr>
      </vt:variant>
      <vt:variant>
        <vt:lpwstr/>
      </vt:variant>
      <vt:variant>
        <vt:i4>2359330</vt:i4>
      </vt:variant>
      <vt:variant>
        <vt:i4>318</vt:i4>
      </vt:variant>
      <vt:variant>
        <vt:i4>0</vt:i4>
      </vt:variant>
      <vt:variant>
        <vt:i4>5</vt:i4>
      </vt:variant>
      <vt:variant>
        <vt:lpwstr>http://www.inseconline.org/pics/1244452441.pdf</vt:lpwstr>
      </vt:variant>
      <vt:variant>
        <vt:lpwstr/>
      </vt:variant>
      <vt:variant>
        <vt:i4>2162734</vt:i4>
      </vt:variant>
      <vt:variant>
        <vt:i4>315</vt:i4>
      </vt:variant>
      <vt:variant>
        <vt:i4>0</vt:i4>
      </vt:variant>
      <vt:variant>
        <vt:i4>5</vt:i4>
      </vt:variant>
      <vt:variant>
        <vt:lpwstr>http://www.inseconline.org/pics/1244452080.pdf</vt:lpwstr>
      </vt:variant>
      <vt:variant>
        <vt:lpwstr/>
      </vt:variant>
      <vt:variant>
        <vt:i4>2490403</vt:i4>
      </vt:variant>
      <vt:variant>
        <vt:i4>312</vt:i4>
      </vt:variant>
      <vt:variant>
        <vt:i4>0</vt:i4>
      </vt:variant>
      <vt:variant>
        <vt:i4>5</vt:i4>
      </vt:variant>
      <vt:variant>
        <vt:lpwstr>http://www.inseconline.org/pics/1244451067.pdf</vt:lpwstr>
      </vt:variant>
      <vt:variant>
        <vt:lpwstr/>
      </vt:variant>
      <vt:variant>
        <vt:i4>4915211</vt:i4>
      </vt:variant>
      <vt:variant>
        <vt:i4>309</vt:i4>
      </vt:variant>
      <vt:variant>
        <vt:i4>0</vt:i4>
      </vt:variant>
      <vt:variant>
        <vt:i4>5</vt:i4>
      </vt:variant>
      <vt:variant>
        <vt:lpwstr>http://www.the-monitor.org/index.php/publications/display?act=submit&amp;pqs_year=2003&amp;pqs_type=lm&amp;pqs_report=nepal&amp;pqs_section</vt:lpwstr>
      </vt:variant>
      <vt:variant>
        <vt:lpwstr/>
      </vt:variant>
      <vt:variant>
        <vt:i4>4784139</vt:i4>
      </vt:variant>
      <vt:variant>
        <vt:i4>306</vt:i4>
      </vt:variant>
      <vt:variant>
        <vt:i4>0</vt:i4>
      </vt:variant>
      <vt:variant>
        <vt:i4>5</vt:i4>
      </vt:variant>
      <vt:variant>
        <vt:lpwstr>http://www.the-monitor.org/index.php/publications/display?act=submit&amp;pqs_year=2001&amp;pqs_type=lm&amp;pqs_report=nepal&amp;pqs_section</vt:lpwstr>
      </vt:variant>
      <vt:variant>
        <vt:lpwstr/>
      </vt:variant>
      <vt:variant>
        <vt:i4>4194315</vt:i4>
      </vt:variant>
      <vt:variant>
        <vt:i4>303</vt:i4>
      </vt:variant>
      <vt:variant>
        <vt:i4>0</vt:i4>
      </vt:variant>
      <vt:variant>
        <vt:i4>5</vt:i4>
      </vt:variant>
      <vt:variant>
        <vt:lpwstr>http://www.the-monitor.org/index.php/publications/display?act=submit&amp;pqs_year=2008&amp;pqs_type=lm&amp;pqs_report=nepal&amp;pqs_section</vt:lpwstr>
      </vt:variant>
      <vt:variant>
        <vt:lpwstr/>
      </vt:variant>
      <vt:variant>
        <vt:i4>5177355</vt:i4>
      </vt:variant>
      <vt:variant>
        <vt:i4>300</vt:i4>
      </vt:variant>
      <vt:variant>
        <vt:i4>0</vt:i4>
      </vt:variant>
      <vt:variant>
        <vt:i4>5</vt:i4>
      </vt:variant>
      <vt:variant>
        <vt:lpwstr>http://www.the-monitor.org/index.php/publications/display?act=submit&amp;pqs_year=2007&amp;pqs_type=lm&amp;pqs_report=nepal&amp;pqs_section</vt:lpwstr>
      </vt:variant>
      <vt:variant>
        <vt:lpwstr/>
      </vt:variant>
      <vt:variant>
        <vt:i4>5177355</vt:i4>
      </vt:variant>
      <vt:variant>
        <vt:i4>297</vt:i4>
      </vt:variant>
      <vt:variant>
        <vt:i4>0</vt:i4>
      </vt:variant>
      <vt:variant>
        <vt:i4>5</vt:i4>
      </vt:variant>
      <vt:variant>
        <vt:lpwstr>http://www.the-monitor.org/index.php/publications/display?act=submit&amp;pqs_year=2007&amp;pqs_type=lm&amp;pqs_report=nepal&amp;pqs_section</vt:lpwstr>
      </vt:variant>
      <vt:variant>
        <vt:lpwstr/>
      </vt:variant>
      <vt:variant>
        <vt:i4>4849675</vt:i4>
      </vt:variant>
      <vt:variant>
        <vt:i4>294</vt:i4>
      </vt:variant>
      <vt:variant>
        <vt:i4>0</vt:i4>
      </vt:variant>
      <vt:variant>
        <vt:i4>5</vt:i4>
      </vt:variant>
      <vt:variant>
        <vt:lpwstr>http://www.the-monitor.org/index.php/publications/display?act=submit&amp;pqs_year=2002&amp;pqs_type=lm&amp;pqs_report=nepal&amp;pqs_section</vt:lpwstr>
      </vt:variant>
      <vt:variant>
        <vt:lpwstr/>
      </vt:variant>
      <vt:variant>
        <vt:i4>4849675</vt:i4>
      </vt:variant>
      <vt:variant>
        <vt:i4>291</vt:i4>
      </vt:variant>
      <vt:variant>
        <vt:i4>0</vt:i4>
      </vt:variant>
      <vt:variant>
        <vt:i4>5</vt:i4>
      </vt:variant>
      <vt:variant>
        <vt:lpwstr>http://www.the-monitor.org/index.php/publications/display?act=submit&amp;pqs_year=2002&amp;pqs_type=lm&amp;pqs_report=nepal&amp;pqs_section</vt:lpwstr>
      </vt:variant>
      <vt:variant>
        <vt:lpwstr/>
      </vt:variant>
      <vt:variant>
        <vt:i4>5177355</vt:i4>
      </vt:variant>
      <vt:variant>
        <vt:i4>288</vt:i4>
      </vt:variant>
      <vt:variant>
        <vt:i4>0</vt:i4>
      </vt:variant>
      <vt:variant>
        <vt:i4>5</vt:i4>
      </vt:variant>
      <vt:variant>
        <vt:lpwstr>http://www.the-monitor.org/index.php/publications/display?act=submit&amp;pqs_year=2007&amp;pqs_type=lm&amp;pqs_report=nepal&amp;pqs_section</vt:lpwstr>
      </vt:variant>
      <vt:variant>
        <vt:lpwstr/>
      </vt:variant>
      <vt:variant>
        <vt:i4>5177355</vt:i4>
      </vt:variant>
      <vt:variant>
        <vt:i4>285</vt:i4>
      </vt:variant>
      <vt:variant>
        <vt:i4>0</vt:i4>
      </vt:variant>
      <vt:variant>
        <vt:i4>5</vt:i4>
      </vt:variant>
      <vt:variant>
        <vt:lpwstr>http://www.the-monitor.org/index.php/publications/display?act=submit&amp;pqs_year=2007&amp;pqs_type=lm&amp;pqs_report=nepal&amp;pqs_section</vt:lpwstr>
      </vt:variant>
      <vt:variant>
        <vt:lpwstr/>
      </vt:variant>
      <vt:variant>
        <vt:i4>2752559</vt:i4>
      </vt:variant>
      <vt:variant>
        <vt:i4>282</vt:i4>
      </vt:variant>
      <vt:variant>
        <vt:i4>0</vt:i4>
      </vt:variant>
      <vt:variant>
        <vt:i4>5</vt:i4>
      </vt:variant>
      <vt:variant>
        <vt:lpwstr>http://www.inseconline.org/pics/1271926138.pdf</vt:lpwstr>
      </vt:variant>
      <vt:variant>
        <vt:lpwstr/>
      </vt:variant>
      <vt:variant>
        <vt:i4>2359330</vt:i4>
      </vt:variant>
      <vt:variant>
        <vt:i4>279</vt:i4>
      </vt:variant>
      <vt:variant>
        <vt:i4>0</vt:i4>
      </vt:variant>
      <vt:variant>
        <vt:i4>5</vt:i4>
      </vt:variant>
      <vt:variant>
        <vt:lpwstr>http://www.inseconline.org/pics/1244452441.pdf</vt:lpwstr>
      </vt:variant>
      <vt:variant>
        <vt:lpwstr/>
      </vt:variant>
      <vt:variant>
        <vt:i4>2162734</vt:i4>
      </vt:variant>
      <vt:variant>
        <vt:i4>276</vt:i4>
      </vt:variant>
      <vt:variant>
        <vt:i4>0</vt:i4>
      </vt:variant>
      <vt:variant>
        <vt:i4>5</vt:i4>
      </vt:variant>
      <vt:variant>
        <vt:lpwstr>http://www.inseconline.org/pics/1244452080.pdf</vt:lpwstr>
      </vt:variant>
      <vt:variant>
        <vt:lpwstr/>
      </vt:variant>
      <vt:variant>
        <vt:i4>5177355</vt:i4>
      </vt:variant>
      <vt:variant>
        <vt:i4>273</vt:i4>
      </vt:variant>
      <vt:variant>
        <vt:i4>0</vt:i4>
      </vt:variant>
      <vt:variant>
        <vt:i4>5</vt:i4>
      </vt:variant>
      <vt:variant>
        <vt:lpwstr>http://www.the-monitor.org/index.php/publications/display?act=submit&amp;pqs_year=2007&amp;pqs_type=lm&amp;pqs_report=nepal&amp;pqs_section</vt:lpwstr>
      </vt:variant>
      <vt:variant>
        <vt:lpwstr/>
      </vt:variant>
      <vt:variant>
        <vt:i4>5111819</vt:i4>
      </vt:variant>
      <vt:variant>
        <vt:i4>270</vt:i4>
      </vt:variant>
      <vt:variant>
        <vt:i4>0</vt:i4>
      </vt:variant>
      <vt:variant>
        <vt:i4>5</vt:i4>
      </vt:variant>
      <vt:variant>
        <vt:lpwstr>http://www.the-monitor.org/index.php/publications/display?act=submit&amp;pqs_year=2006&amp;pqs_type=lm&amp;pqs_report=nepal&amp;pqs_section</vt:lpwstr>
      </vt:variant>
      <vt:variant>
        <vt:lpwstr/>
      </vt:variant>
      <vt:variant>
        <vt:i4>5046283</vt:i4>
      </vt:variant>
      <vt:variant>
        <vt:i4>267</vt:i4>
      </vt:variant>
      <vt:variant>
        <vt:i4>0</vt:i4>
      </vt:variant>
      <vt:variant>
        <vt:i4>5</vt:i4>
      </vt:variant>
      <vt:variant>
        <vt:lpwstr>http://www.the-monitor.org/index.php/publications/display?act=submit&amp;pqs_year=2005&amp;pqs_type=lm&amp;pqs_report=nepal&amp;pqs_section</vt:lpwstr>
      </vt:variant>
      <vt:variant>
        <vt:lpwstr/>
      </vt:variant>
      <vt:variant>
        <vt:i4>4915211</vt:i4>
      </vt:variant>
      <vt:variant>
        <vt:i4>264</vt:i4>
      </vt:variant>
      <vt:variant>
        <vt:i4>0</vt:i4>
      </vt:variant>
      <vt:variant>
        <vt:i4>5</vt:i4>
      </vt:variant>
      <vt:variant>
        <vt:lpwstr>http://www.the-monitor.org/index.php/publications/display?act=submit&amp;pqs_year=2003&amp;pqs_type=lm&amp;pqs_report=nepal&amp;pqs_section</vt:lpwstr>
      </vt:variant>
      <vt:variant>
        <vt:lpwstr/>
      </vt:variant>
      <vt:variant>
        <vt:i4>4784139</vt:i4>
      </vt:variant>
      <vt:variant>
        <vt:i4>261</vt:i4>
      </vt:variant>
      <vt:variant>
        <vt:i4>0</vt:i4>
      </vt:variant>
      <vt:variant>
        <vt:i4>5</vt:i4>
      </vt:variant>
      <vt:variant>
        <vt:lpwstr>http://www.the-monitor.org/index.php/publications/display?act=submit&amp;pqs_year=2001&amp;pqs_type=lm&amp;pqs_report=nepal&amp;pqs_section</vt:lpwstr>
      </vt:variant>
      <vt:variant>
        <vt:lpwstr/>
      </vt:variant>
      <vt:variant>
        <vt:i4>4259851</vt:i4>
      </vt:variant>
      <vt:variant>
        <vt:i4>258</vt:i4>
      </vt:variant>
      <vt:variant>
        <vt:i4>0</vt:i4>
      </vt:variant>
      <vt:variant>
        <vt:i4>5</vt:i4>
      </vt:variant>
      <vt:variant>
        <vt:lpwstr>http://www.the-monitor.org/index.php/publications/display?act=submit&amp;pqs_year=2009&amp;pqs_type=lm&amp;pqs_report=nepal&amp;pqs_section</vt:lpwstr>
      </vt:variant>
      <vt:variant>
        <vt:lpwstr/>
      </vt:variant>
      <vt:variant>
        <vt:i4>5701712</vt:i4>
      </vt:variant>
      <vt:variant>
        <vt:i4>255</vt:i4>
      </vt:variant>
      <vt:variant>
        <vt:i4>0</vt:i4>
      </vt:variant>
      <vt:variant>
        <vt:i4>5</vt:i4>
      </vt:variant>
      <vt:variant>
        <vt:lpwstr>http://news.bbc.co.uk/2/hi/south_asia/country_profiles/1166516.stm</vt:lpwstr>
      </vt:variant>
      <vt:variant>
        <vt:lpwstr/>
      </vt:variant>
      <vt:variant>
        <vt:i4>4259851</vt:i4>
      </vt:variant>
      <vt:variant>
        <vt:i4>252</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249</vt:i4>
      </vt:variant>
      <vt:variant>
        <vt:i4>0</vt:i4>
      </vt:variant>
      <vt:variant>
        <vt:i4>5</vt:i4>
      </vt:variant>
      <vt:variant>
        <vt:lpwstr>http://www.the-monitor.org/index.php/publications/display?act=submit&amp;pqs_year=2007&amp;pqs_type=lm&amp;pqs_report=nepal&amp;pqs_section</vt:lpwstr>
      </vt:variant>
      <vt:variant>
        <vt:lpwstr/>
      </vt:variant>
      <vt:variant>
        <vt:i4>4194315</vt:i4>
      </vt:variant>
      <vt:variant>
        <vt:i4>246</vt:i4>
      </vt:variant>
      <vt:variant>
        <vt:i4>0</vt:i4>
      </vt:variant>
      <vt:variant>
        <vt:i4>5</vt:i4>
      </vt:variant>
      <vt:variant>
        <vt:lpwstr>http://www.the-monitor.org/index.php/publications/display?act=submit&amp;pqs_year=2008&amp;pqs_type=lm&amp;pqs_report=nepal&amp;pqs_section</vt:lpwstr>
      </vt:variant>
      <vt:variant>
        <vt:lpwstr/>
      </vt:variant>
      <vt:variant>
        <vt:i4>4259851</vt:i4>
      </vt:variant>
      <vt:variant>
        <vt:i4>243</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240</vt:i4>
      </vt:variant>
      <vt:variant>
        <vt:i4>0</vt:i4>
      </vt:variant>
      <vt:variant>
        <vt:i4>5</vt:i4>
      </vt:variant>
      <vt:variant>
        <vt:lpwstr>http://www.the-monitor.org/index.php/publications/display?act=submit&amp;pqs_year=2007&amp;pqs_type=lm&amp;pqs_report=nepal&amp;pqs_section</vt:lpwstr>
      </vt:variant>
      <vt:variant>
        <vt:lpwstr/>
      </vt:variant>
      <vt:variant>
        <vt:i4>4128872</vt:i4>
      </vt:variant>
      <vt:variant>
        <vt:i4>237</vt:i4>
      </vt:variant>
      <vt:variant>
        <vt:i4>0</vt:i4>
      </vt:variant>
      <vt:variant>
        <vt:i4>5</vt:i4>
      </vt:variant>
      <vt:variant>
        <vt:lpwstr>http://www.mineaction.org/country.asp?c=129</vt:lpwstr>
      </vt:variant>
      <vt:variant>
        <vt:lpwstr/>
      </vt:variant>
      <vt:variant>
        <vt:i4>4259851</vt:i4>
      </vt:variant>
      <vt:variant>
        <vt:i4>234</vt:i4>
      </vt:variant>
      <vt:variant>
        <vt:i4>0</vt:i4>
      </vt:variant>
      <vt:variant>
        <vt:i4>5</vt:i4>
      </vt:variant>
      <vt:variant>
        <vt:lpwstr>http://www.the-monitor.org/index.php/publications/display?act=submit&amp;pqs_year=2009&amp;pqs_type=lm&amp;pqs_report=nepal&amp;pqs_section</vt:lpwstr>
      </vt:variant>
      <vt:variant>
        <vt:lpwstr/>
      </vt:variant>
      <vt:variant>
        <vt:i4>4128872</vt:i4>
      </vt:variant>
      <vt:variant>
        <vt:i4>231</vt:i4>
      </vt:variant>
      <vt:variant>
        <vt:i4>0</vt:i4>
      </vt:variant>
      <vt:variant>
        <vt:i4>5</vt:i4>
      </vt:variant>
      <vt:variant>
        <vt:lpwstr>http://www.mineaction.org/country.asp?c=129</vt:lpwstr>
      </vt:variant>
      <vt:variant>
        <vt:lpwstr/>
      </vt:variant>
      <vt:variant>
        <vt:i4>4259851</vt:i4>
      </vt:variant>
      <vt:variant>
        <vt:i4>228</vt:i4>
      </vt:variant>
      <vt:variant>
        <vt:i4>0</vt:i4>
      </vt:variant>
      <vt:variant>
        <vt:i4>5</vt:i4>
      </vt:variant>
      <vt:variant>
        <vt:lpwstr>http://www.the-monitor.org/index.php/publications/display?act=submit&amp;pqs_year=2009&amp;pqs_type=lm&amp;pqs_report=nepal&amp;pqs_section</vt:lpwstr>
      </vt:variant>
      <vt:variant>
        <vt:lpwstr/>
      </vt:variant>
      <vt:variant>
        <vt:i4>5046283</vt:i4>
      </vt:variant>
      <vt:variant>
        <vt:i4>225</vt:i4>
      </vt:variant>
      <vt:variant>
        <vt:i4>0</vt:i4>
      </vt:variant>
      <vt:variant>
        <vt:i4>5</vt:i4>
      </vt:variant>
      <vt:variant>
        <vt:lpwstr>http://www.the-monitor.org/index.php/publications/display?act=submit&amp;pqs_year=2005&amp;pqs_type=lm&amp;pqs_report=nepal&amp;pqs_section</vt:lpwstr>
      </vt:variant>
      <vt:variant>
        <vt:lpwstr/>
      </vt:variant>
      <vt:variant>
        <vt:i4>4128872</vt:i4>
      </vt:variant>
      <vt:variant>
        <vt:i4>222</vt:i4>
      </vt:variant>
      <vt:variant>
        <vt:i4>0</vt:i4>
      </vt:variant>
      <vt:variant>
        <vt:i4>5</vt:i4>
      </vt:variant>
      <vt:variant>
        <vt:lpwstr>http://www.mineaction.org/country.asp?c=129</vt:lpwstr>
      </vt:variant>
      <vt:variant>
        <vt:lpwstr/>
      </vt:variant>
      <vt:variant>
        <vt:i4>4128872</vt:i4>
      </vt:variant>
      <vt:variant>
        <vt:i4>219</vt:i4>
      </vt:variant>
      <vt:variant>
        <vt:i4>0</vt:i4>
      </vt:variant>
      <vt:variant>
        <vt:i4>5</vt:i4>
      </vt:variant>
      <vt:variant>
        <vt:lpwstr>http://www.mineaction.org/country.asp?c=129</vt:lpwstr>
      </vt:variant>
      <vt:variant>
        <vt:lpwstr/>
      </vt:variant>
      <vt:variant>
        <vt:i4>5046283</vt:i4>
      </vt:variant>
      <vt:variant>
        <vt:i4>216</vt:i4>
      </vt:variant>
      <vt:variant>
        <vt:i4>0</vt:i4>
      </vt:variant>
      <vt:variant>
        <vt:i4>5</vt:i4>
      </vt:variant>
      <vt:variant>
        <vt:lpwstr>http://www.the-monitor.org/index.php/publications/display?act=submit&amp;pqs_year=2005&amp;pqs_type=lm&amp;pqs_report=nepal&amp;pqs_section</vt:lpwstr>
      </vt:variant>
      <vt:variant>
        <vt:lpwstr/>
      </vt:variant>
      <vt:variant>
        <vt:i4>5046283</vt:i4>
      </vt:variant>
      <vt:variant>
        <vt:i4>213</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210</vt:i4>
      </vt:variant>
      <vt:variant>
        <vt:i4>0</vt:i4>
      </vt:variant>
      <vt:variant>
        <vt:i4>5</vt:i4>
      </vt:variant>
      <vt:variant>
        <vt:lpwstr>http://www.the-monitor.org/index.php/publications/display?act=submit&amp;pqs_year=2004&amp;pqs_type=lm&amp;pqs_report=nepal&amp;pqs_section</vt:lpwstr>
      </vt:variant>
      <vt:variant>
        <vt:lpwstr/>
      </vt:variant>
      <vt:variant>
        <vt:i4>4128872</vt:i4>
      </vt:variant>
      <vt:variant>
        <vt:i4>207</vt:i4>
      </vt:variant>
      <vt:variant>
        <vt:i4>0</vt:i4>
      </vt:variant>
      <vt:variant>
        <vt:i4>5</vt:i4>
      </vt:variant>
      <vt:variant>
        <vt:lpwstr>http://www.mineaction.org/country.asp?c=129</vt:lpwstr>
      </vt:variant>
      <vt:variant>
        <vt:lpwstr/>
      </vt:variant>
      <vt:variant>
        <vt:i4>5046283</vt:i4>
      </vt:variant>
      <vt:variant>
        <vt:i4>204</vt:i4>
      </vt:variant>
      <vt:variant>
        <vt:i4>0</vt:i4>
      </vt:variant>
      <vt:variant>
        <vt:i4>5</vt:i4>
      </vt:variant>
      <vt:variant>
        <vt:lpwstr>http://www.the-monitor.org/index.php/publications/display?act=submit&amp;pqs_year=2005&amp;pqs_type=lm&amp;pqs_report=nepal&amp;pqs_section</vt:lpwstr>
      </vt:variant>
      <vt:variant>
        <vt:lpwstr/>
      </vt:variant>
      <vt:variant>
        <vt:i4>5046283</vt:i4>
      </vt:variant>
      <vt:variant>
        <vt:i4>201</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198</vt:i4>
      </vt:variant>
      <vt:variant>
        <vt:i4>0</vt:i4>
      </vt:variant>
      <vt:variant>
        <vt:i4>5</vt:i4>
      </vt:variant>
      <vt:variant>
        <vt:lpwstr>http://www.the-monitor.org/index.php/publications/display?act=submit&amp;pqs_year=2004&amp;pqs_type=lm&amp;pqs_report=nepal&amp;pqs_section</vt:lpwstr>
      </vt:variant>
      <vt:variant>
        <vt:lpwstr/>
      </vt:variant>
      <vt:variant>
        <vt:i4>4849675</vt:i4>
      </vt:variant>
      <vt:variant>
        <vt:i4>195</vt:i4>
      </vt:variant>
      <vt:variant>
        <vt:i4>0</vt:i4>
      </vt:variant>
      <vt:variant>
        <vt:i4>5</vt:i4>
      </vt:variant>
      <vt:variant>
        <vt:lpwstr>http://www.the-monitor.org/index.php/publications/display?act=submit&amp;pqs_year=2002&amp;pqs_type=lm&amp;pqs_report=nepal&amp;pqs_section</vt:lpwstr>
      </vt:variant>
      <vt:variant>
        <vt:lpwstr/>
      </vt:variant>
      <vt:variant>
        <vt:i4>5111819</vt:i4>
      </vt:variant>
      <vt:variant>
        <vt:i4>192</vt:i4>
      </vt:variant>
      <vt:variant>
        <vt:i4>0</vt:i4>
      </vt:variant>
      <vt:variant>
        <vt:i4>5</vt:i4>
      </vt:variant>
      <vt:variant>
        <vt:lpwstr>http://www.the-monitor.org/index.php/publications/display?act=submit&amp;pqs_year=2006&amp;pqs_type=lm&amp;pqs_report=nepal&amp;pqs_section</vt:lpwstr>
      </vt:variant>
      <vt:variant>
        <vt:lpwstr/>
      </vt:variant>
      <vt:variant>
        <vt:i4>4718603</vt:i4>
      </vt:variant>
      <vt:variant>
        <vt:i4>189</vt:i4>
      </vt:variant>
      <vt:variant>
        <vt:i4>0</vt:i4>
      </vt:variant>
      <vt:variant>
        <vt:i4>5</vt:i4>
      </vt:variant>
      <vt:variant>
        <vt:lpwstr>http://www.the-monitor.org/index.php/publications/display?act=submit&amp;pqs_year=2000&amp;pqs_type=lm&amp;pqs_report=nepal&amp;pqs_section</vt:lpwstr>
      </vt:variant>
      <vt:variant>
        <vt:lpwstr/>
      </vt:variant>
      <vt:variant>
        <vt:i4>5111819</vt:i4>
      </vt:variant>
      <vt:variant>
        <vt:i4>186</vt:i4>
      </vt:variant>
      <vt:variant>
        <vt:i4>0</vt:i4>
      </vt:variant>
      <vt:variant>
        <vt:i4>5</vt:i4>
      </vt:variant>
      <vt:variant>
        <vt:lpwstr>http://www.the-monitor.org/index.php/publications/display?act=submit&amp;pqs_year=2006&amp;pqs_type=lm&amp;pqs_report=nepal&amp;pqs_section</vt:lpwstr>
      </vt:variant>
      <vt:variant>
        <vt:lpwstr/>
      </vt:variant>
      <vt:variant>
        <vt:i4>5046283</vt:i4>
      </vt:variant>
      <vt:variant>
        <vt:i4>183</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180</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177</vt:i4>
      </vt:variant>
      <vt:variant>
        <vt:i4>0</vt:i4>
      </vt:variant>
      <vt:variant>
        <vt:i4>5</vt:i4>
      </vt:variant>
      <vt:variant>
        <vt:lpwstr>http://www.the-monitor.org/index.php/publications/display?act=submit&amp;pqs_year=2003&amp;pqs_type=lm&amp;pqs_report=nepal&amp;pqs_section</vt:lpwstr>
      </vt:variant>
      <vt:variant>
        <vt:lpwstr/>
      </vt:variant>
      <vt:variant>
        <vt:i4>4849675</vt:i4>
      </vt:variant>
      <vt:variant>
        <vt:i4>174</vt:i4>
      </vt:variant>
      <vt:variant>
        <vt:i4>0</vt:i4>
      </vt:variant>
      <vt:variant>
        <vt:i4>5</vt:i4>
      </vt:variant>
      <vt:variant>
        <vt:lpwstr>http://www.the-monitor.org/index.php/publications/display?act=submit&amp;pqs_year=2002&amp;pqs_type=lm&amp;pqs_report=nepal&amp;pqs_section</vt:lpwstr>
      </vt:variant>
      <vt:variant>
        <vt:lpwstr/>
      </vt:variant>
      <vt:variant>
        <vt:i4>4259851</vt:i4>
      </vt:variant>
      <vt:variant>
        <vt:i4>171</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168</vt:i4>
      </vt:variant>
      <vt:variant>
        <vt:i4>0</vt:i4>
      </vt:variant>
      <vt:variant>
        <vt:i4>5</vt:i4>
      </vt:variant>
      <vt:variant>
        <vt:lpwstr>http://www.the-monitor.org/index.php/publications/display?act=submit&amp;pqs_year=2007&amp;pqs_type=lm&amp;pqs_report=nepal&amp;pqs_section</vt:lpwstr>
      </vt:variant>
      <vt:variant>
        <vt:lpwstr/>
      </vt:variant>
      <vt:variant>
        <vt:i4>4849675</vt:i4>
      </vt:variant>
      <vt:variant>
        <vt:i4>165</vt:i4>
      </vt:variant>
      <vt:variant>
        <vt:i4>0</vt:i4>
      </vt:variant>
      <vt:variant>
        <vt:i4>5</vt:i4>
      </vt:variant>
      <vt:variant>
        <vt:lpwstr>http://www.the-monitor.org/index.php/publications/display?act=submit&amp;pqs_year=2002&amp;pqs_type=lm&amp;pqs_report=nepal&amp;pqs_section</vt:lpwstr>
      </vt:variant>
      <vt:variant>
        <vt:lpwstr/>
      </vt:variant>
      <vt:variant>
        <vt:i4>4259851</vt:i4>
      </vt:variant>
      <vt:variant>
        <vt:i4>162</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159</vt:i4>
      </vt:variant>
      <vt:variant>
        <vt:i4>0</vt:i4>
      </vt:variant>
      <vt:variant>
        <vt:i4>5</vt:i4>
      </vt:variant>
      <vt:variant>
        <vt:lpwstr>http://www.the-monitor.org/index.php/publications/display?act=submit&amp;pqs_year=2007&amp;pqs_type=lm&amp;pqs_report=nepal&amp;pqs_section</vt:lpwstr>
      </vt:variant>
      <vt:variant>
        <vt:lpwstr/>
      </vt:variant>
      <vt:variant>
        <vt:i4>4980747</vt:i4>
      </vt:variant>
      <vt:variant>
        <vt:i4>156</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153</vt:i4>
      </vt:variant>
      <vt:variant>
        <vt:i4>0</vt:i4>
      </vt:variant>
      <vt:variant>
        <vt:i4>5</vt:i4>
      </vt:variant>
      <vt:variant>
        <vt:lpwstr>http://www.the-monitor.org/index.php/publications/display?act=submit&amp;pqs_year=2003&amp;pqs_type=lm&amp;pqs_report=nepal&amp;pqs_section</vt:lpwstr>
      </vt:variant>
      <vt:variant>
        <vt:lpwstr/>
      </vt:variant>
      <vt:variant>
        <vt:i4>4259851</vt:i4>
      </vt:variant>
      <vt:variant>
        <vt:i4>150</vt:i4>
      </vt:variant>
      <vt:variant>
        <vt:i4>0</vt:i4>
      </vt:variant>
      <vt:variant>
        <vt:i4>5</vt:i4>
      </vt:variant>
      <vt:variant>
        <vt:lpwstr>http://www.the-monitor.org/index.php/publications/display?act=submit&amp;pqs_year=2009&amp;pqs_type=lm&amp;pqs_report=nepal&amp;pqs_section</vt:lpwstr>
      </vt:variant>
      <vt:variant>
        <vt:lpwstr/>
      </vt:variant>
      <vt:variant>
        <vt:i4>5177355</vt:i4>
      </vt:variant>
      <vt:variant>
        <vt:i4>147</vt:i4>
      </vt:variant>
      <vt:variant>
        <vt:i4>0</vt:i4>
      </vt:variant>
      <vt:variant>
        <vt:i4>5</vt:i4>
      </vt:variant>
      <vt:variant>
        <vt:lpwstr>http://www.the-monitor.org/index.php/publications/display?act=submit&amp;pqs_year=2007&amp;pqs_type=lm&amp;pqs_report=nepal&amp;pqs_section</vt:lpwstr>
      </vt:variant>
      <vt:variant>
        <vt:lpwstr/>
      </vt:variant>
      <vt:variant>
        <vt:i4>4849675</vt:i4>
      </vt:variant>
      <vt:variant>
        <vt:i4>144</vt:i4>
      </vt:variant>
      <vt:variant>
        <vt:i4>0</vt:i4>
      </vt:variant>
      <vt:variant>
        <vt:i4>5</vt:i4>
      </vt:variant>
      <vt:variant>
        <vt:lpwstr>http://www.the-monitor.org/index.php/publications/display?act=submit&amp;pqs_year=2002&amp;pqs_type=lm&amp;pqs_report=nepal&amp;pqs_section</vt:lpwstr>
      </vt:variant>
      <vt:variant>
        <vt:lpwstr/>
      </vt:variant>
      <vt:variant>
        <vt:i4>5046283</vt:i4>
      </vt:variant>
      <vt:variant>
        <vt:i4>141</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138</vt:i4>
      </vt:variant>
      <vt:variant>
        <vt:i4>0</vt:i4>
      </vt:variant>
      <vt:variant>
        <vt:i4>5</vt:i4>
      </vt:variant>
      <vt:variant>
        <vt:lpwstr>http://www.the-monitor.org/index.php/publications/display?act=submit&amp;pqs_year=2004&amp;pqs_type=lm&amp;pqs_report=nepal&amp;pqs_section</vt:lpwstr>
      </vt:variant>
      <vt:variant>
        <vt:lpwstr/>
      </vt:variant>
      <vt:variant>
        <vt:i4>5046283</vt:i4>
      </vt:variant>
      <vt:variant>
        <vt:i4>135</vt:i4>
      </vt:variant>
      <vt:variant>
        <vt:i4>0</vt:i4>
      </vt:variant>
      <vt:variant>
        <vt:i4>5</vt:i4>
      </vt:variant>
      <vt:variant>
        <vt:lpwstr>http://www.the-monitor.org/index.php/publications/display?act=submit&amp;pqs_year=2005&amp;pqs_type=lm&amp;pqs_report=nepal&amp;pqs_section</vt:lpwstr>
      </vt:variant>
      <vt:variant>
        <vt:lpwstr/>
      </vt:variant>
      <vt:variant>
        <vt:i4>4128872</vt:i4>
      </vt:variant>
      <vt:variant>
        <vt:i4>132</vt:i4>
      </vt:variant>
      <vt:variant>
        <vt:i4>0</vt:i4>
      </vt:variant>
      <vt:variant>
        <vt:i4>5</vt:i4>
      </vt:variant>
      <vt:variant>
        <vt:lpwstr>http://www.mineaction.org/country.asp?c=129</vt:lpwstr>
      </vt:variant>
      <vt:variant>
        <vt:lpwstr/>
      </vt:variant>
      <vt:variant>
        <vt:i4>4849675</vt:i4>
      </vt:variant>
      <vt:variant>
        <vt:i4>129</vt:i4>
      </vt:variant>
      <vt:variant>
        <vt:i4>0</vt:i4>
      </vt:variant>
      <vt:variant>
        <vt:i4>5</vt:i4>
      </vt:variant>
      <vt:variant>
        <vt:lpwstr>http://www.the-monitor.org/index.php/publications/display?act=submit&amp;pqs_year=2002&amp;pqs_type=lm&amp;pqs_report=nepal&amp;pqs_section</vt:lpwstr>
      </vt:variant>
      <vt:variant>
        <vt:lpwstr/>
      </vt:variant>
      <vt:variant>
        <vt:i4>4915211</vt:i4>
      </vt:variant>
      <vt:variant>
        <vt:i4>126</vt:i4>
      </vt:variant>
      <vt:variant>
        <vt:i4>0</vt:i4>
      </vt:variant>
      <vt:variant>
        <vt:i4>5</vt:i4>
      </vt:variant>
      <vt:variant>
        <vt:lpwstr>http://www.the-monitor.org/index.php/publications/display?act=submit&amp;pqs_year=2003&amp;pqs_type=lm&amp;pqs_report=nepal&amp;pqs_section</vt:lpwstr>
      </vt:variant>
      <vt:variant>
        <vt:lpwstr/>
      </vt:variant>
      <vt:variant>
        <vt:i4>4849675</vt:i4>
      </vt:variant>
      <vt:variant>
        <vt:i4>123</vt:i4>
      </vt:variant>
      <vt:variant>
        <vt:i4>0</vt:i4>
      </vt:variant>
      <vt:variant>
        <vt:i4>5</vt:i4>
      </vt:variant>
      <vt:variant>
        <vt:lpwstr>http://www.the-monitor.org/index.php/publications/display?act=submit&amp;pqs_year=2002&amp;pqs_type=lm&amp;pqs_report=nepal&amp;pqs_section</vt:lpwstr>
      </vt:variant>
      <vt:variant>
        <vt:lpwstr/>
      </vt:variant>
      <vt:variant>
        <vt:i4>5046283</vt:i4>
      </vt:variant>
      <vt:variant>
        <vt:i4>120</vt:i4>
      </vt:variant>
      <vt:variant>
        <vt:i4>0</vt:i4>
      </vt:variant>
      <vt:variant>
        <vt:i4>5</vt:i4>
      </vt:variant>
      <vt:variant>
        <vt:lpwstr>http://www.the-monitor.org/index.php/publications/display?act=submit&amp;pqs_year=2005&amp;pqs_type=lm&amp;pqs_report=nepal&amp;pqs_section</vt:lpwstr>
      </vt:variant>
      <vt:variant>
        <vt:lpwstr/>
      </vt:variant>
      <vt:variant>
        <vt:i4>4128872</vt:i4>
      </vt:variant>
      <vt:variant>
        <vt:i4>117</vt:i4>
      </vt:variant>
      <vt:variant>
        <vt:i4>0</vt:i4>
      </vt:variant>
      <vt:variant>
        <vt:i4>5</vt:i4>
      </vt:variant>
      <vt:variant>
        <vt:lpwstr>http://www.mineaction.org/country.asp?c=129</vt:lpwstr>
      </vt:variant>
      <vt:variant>
        <vt:lpwstr/>
      </vt:variant>
      <vt:variant>
        <vt:i4>5046283</vt:i4>
      </vt:variant>
      <vt:variant>
        <vt:i4>114</vt:i4>
      </vt:variant>
      <vt:variant>
        <vt:i4>0</vt:i4>
      </vt:variant>
      <vt:variant>
        <vt:i4>5</vt:i4>
      </vt:variant>
      <vt:variant>
        <vt:lpwstr>http://www.the-monitor.org/index.php/publications/display?act=submit&amp;pqs_year=2005&amp;pqs_type=lm&amp;pqs_report=nepal&amp;pqs_section</vt:lpwstr>
      </vt:variant>
      <vt:variant>
        <vt:lpwstr/>
      </vt:variant>
      <vt:variant>
        <vt:i4>4128872</vt:i4>
      </vt:variant>
      <vt:variant>
        <vt:i4>111</vt:i4>
      </vt:variant>
      <vt:variant>
        <vt:i4>0</vt:i4>
      </vt:variant>
      <vt:variant>
        <vt:i4>5</vt:i4>
      </vt:variant>
      <vt:variant>
        <vt:lpwstr>http://www.mineaction.org/country.asp?c=129</vt:lpwstr>
      </vt:variant>
      <vt:variant>
        <vt:lpwstr/>
      </vt:variant>
      <vt:variant>
        <vt:i4>4849675</vt:i4>
      </vt:variant>
      <vt:variant>
        <vt:i4>108</vt:i4>
      </vt:variant>
      <vt:variant>
        <vt:i4>0</vt:i4>
      </vt:variant>
      <vt:variant>
        <vt:i4>5</vt:i4>
      </vt:variant>
      <vt:variant>
        <vt:lpwstr>http://www.the-monitor.org/index.php/publications/display?act=submit&amp;pqs_year=2002&amp;pqs_type=lm&amp;pqs_report=nepal&amp;pqs_section</vt:lpwstr>
      </vt:variant>
      <vt:variant>
        <vt:lpwstr/>
      </vt:variant>
      <vt:variant>
        <vt:i4>4980747</vt:i4>
      </vt:variant>
      <vt:variant>
        <vt:i4>105</vt:i4>
      </vt:variant>
      <vt:variant>
        <vt:i4>0</vt:i4>
      </vt:variant>
      <vt:variant>
        <vt:i4>5</vt:i4>
      </vt:variant>
      <vt:variant>
        <vt:lpwstr>http://www.the-monitor.org/index.php/publications/display?act=submit&amp;pqs_year=2004&amp;pqs_type=lm&amp;pqs_report=nepal&amp;pqs_section</vt:lpwstr>
      </vt:variant>
      <vt:variant>
        <vt:lpwstr/>
      </vt:variant>
      <vt:variant>
        <vt:i4>4980747</vt:i4>
      </vt:variant>
      <vt:variant>
        <vt:i4>102</vt:i4>
      </vt:variant>
      <vt:variant>
        <vt:i4>0</vt:i4>
      </vt:variant>
      <vt:variant>
        <vt:i4>5</vt:i4>
      </vt:variant>
      <vt:variant>
        <vt:lpwstr>http://www.the-monitor.org/index.php/publications/display?act=submit&amp;pqs_year=2004&amp;pqs_type=lm&amp;pqs_report=nepal&amp;pqs_section</vt:lpwstr>
      </vt:variant>
      <vt:variant>
        <vt:lpwstr/>
      </vt:variant>
      <vt:variant>
        <vt:i4>4849675</vt:i4>
      </vt:variant>
      <vt:variant>
        <vt:i4>99</vt:i4>
      </vt:variant>
      <vt:variant>
        <vt:i4>0</vt:i4>
      </vt:variant>
      <vt:variant>
        <vt:i4>5</vt:i4>
      </vt:variant>
      <vt:variant>
        <vt:lpwstr>http://www.the-monitor.org/index.php/publications/display?act=submit&amp;pqs_year=2002&amp;pqs_type=lm&amp;pqs_report=nepal&amp;pqs_section</vt:lpwstr>
      </vt:variant>
      <vt:variant>
        <vt:lpwstr/>
      </vt:variant>
      <vt:variant>
        <vt:i4>4980747</vt:i4>
      </vt:variant>
      <vt:variant>
        <vt:i4>96</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93</vt:i4>
      </vt:variant>
      <vt:variant>
        <vt:i4>0</vt:i4>
      </vt:variant>
      <vt:variant>
        <vt:i4>5</vt:i4>
      </vt:variant>
      <vt:variant>
        <vt:lpwstr>http://www.the-monitor.org/index.php/publications/display?act=submit&amp;pqs_year=2003&amp;pqs_type=lm&amp;pqs_report=nepal&amp;pqs_section</vt:lpwstr>
      </vt:variant>
      <vt:variant>
        <vt:lpwstr/>
      </vt:variant>
      <vt:variant>
        <vt:i4>4980747</vt:i4>
      </vt:variant>
      <vt:variant>
        <vt:i4>90</vt:i4>
      </vt:variant>
      <vt:variant>
        <vt:i4>0</vt:i4>
      </vt:variant>
      <vt:variant>
        <vt:i4>5</vt:i4>
      </vt:variant>
      <vt:variant>
        <vt:lpwstr>http://www.the-monitor.org/index.php/publications/display?act=submit&amp;pqs_year=2004&amp;pqs_type=lm&amp;pqs_report=nepal&amp;pqs_section</vt:lpwstr>
      </vt:variant>
      <vt:variant>
        <vt:lpwstr/>
      </vt:variant>
      <vt:variant>
        <vt:i4>4259851</vt:i4>
      </vt:variant>
      <vt:variant>
        <vt:i4>87</vt:i4>
      </vt:variant>
      <vt:variant>
        <vt:i4>0</vt:i4>
      </vt:variant>
      <vt:variant>
        <vt:i4>5</vt:i4>
      </vt:variant>
      <vt:variant>
        <vt:lpwstr>http://www.the-monitor.org/index.php/publications/display?act=submit&amp;pqs_year=2009&amp;pqs_type=lm&amp;pqs_report=nepal&amp;pqs_section</vt:lpwstr>
      </vt:variant>
      <vt:variant>
        <vt:lpwstr/>
      </vt:variant>
      <vt:variant>
        <vt:i4>5046283</vt:i4>
      </vt:variant>
      <vt:variant>
        <vt:i4>84</vt:i4>
      </vt:variant>
      <vt:variant>
        <vt:i4>0</vt:i4>
      </vt:variant>
      <vt:variant>
        <vt:i4>5</vt:i4>
      </vt:variant>
      <vt:variant>
        <vt:lpwstr>http://www.the-monitor.org/index.php/publications/display?act=submit&amp;pqs_year=2005&amp;pqs_type=lm&amp;pqs_report=nepal&amp;pqs_section</vt:lpwstr>
      </vt:variant>
      <vt:variant>
        <vt:lpwstr/>
      </vt:variant>
      <vt:variant>
        <vt:i4>5177355</vt:i4>
      </vt:variant>
      <vt:variant>
        <vt:i4>81</vt:i4>
      </vt:variant>
      <vt:variant>
        <vt:i4>0</vt:i4>
      </vt:variant>
      <vt:variant>
        <vt:i4>5</vt:i4>
      </vt:variant>
      <vt:variant>
        <vt:lpwstr>http://www.the-monitor.org/index.php/publications/display?act=submit&amp;pqs_year=2007&amp;pqs_type=lm&amp;pqs_report=nepal&amp;pqs_section</vt:lpwstr>
      </vt:variant>
      <vt:variant>
        <vt:lpwstr/>
      </vt:variant>
      <vt:variant>
        <vt:i4>5111819</vt:i4>
      </vt:variant>
      <vt:variant>
        <vt:i4>78</vt:i4>
      </vt:variant>
      <vt:variant>
        <vt:i4>0</vt:i4>
      </vt:variant>
      <vt:variant>
        <vt:i4>5</vt:i4>
      </vt:variant>
      <vt:variant>
        <vt:lpwstr>http://www.the-monitor.org/index.php/publications/display?act=submit&amp;pqs_year=2006&amp;pqs_type=lm&amp;pqs_report=nepal&amp;pqs_section</vt:lpwstr>
      </vt:variant>
      <vt:variant>
        <vt:lpwstr/>
      </vt:variant>
      <vt:variant>
        <vt:i4>4194315</vt:i4>
      </vt:variant>
      <vt:variant>
        <vt:i4>75</vt:i4>
      </vt:variant>
      <vt:variant>
        <vt:i4>0</vt:i4>
      </vt:variant>
      <vt:variant>
        <vt:i4>5</vt:i4>
      </vt:variant>
      <vt:variant>
        <vt:lpwstr>http://www.the-monitor.org/index.php/publications/display?act=submit&amp;pqs_year=2008&amp;pqs_type=lm&amp;pqs_report=nepal&amp;pqs_section</vt:lpwstr>
      </vt:variant>
      <vt:variant>
        <vt:lpwstr/>
      </vt:variant>
      <vt:variant>
        <vt:i4>5046283</vt:i4>
      </vt:variant>
      <vt:variant>
        <vt:i4>72</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69</vt:i4>
      </vt:variant>
      <vt:variant>
        <vt:i4>0</vt:i4>
      </vt:variant>
      <vt:variant>
        <vt:i4>5</vt:i4>
      </vt:variant>
      <vt:variant>
        <vt:lpwstr>http://www.the-monitor.org/index.php/publications/display?act=submit&amp;pqs_year=2004&amp;pqs_type=lm&amp;pqs_report=nepal&amp;pqs_section</vt:lpwstr>
      </vt:variant>
      <vt:variant>
        <vt:lpwstr/>
      </vt:variant>
      <vt:variant>
        <vt:i4>5177355</vt:i4>
      </vt:variant>
      <vt:variant>
        <vt:i4>66</vt:i4>
      </vt:variant>
      <vt:variant>
        <vt:i4>0</vt:i4>
      </vt:variant>
      <vt:variant>
        <vt:i4>5</vt:i4>
      </vt:variant>
      <vt:variant>
        <vt:lpwstr>http://www.the-monitor.org/index.php/publications/display?act=submit&amp;pqs_year=2007&amp;pqs_type=lm&amp;pqs_report=nepal&amp;pqs_section</vt:lpwstr>
      </vt:variant>
      <vt:variant>
        <vt:lpwstr/>
      </vt:variant>
      <vt:variant>
        <vt:i4>4194315</vt:i4>
      </vt:variant>
      <vt:variant>
        <vt:i4>63</vt:i4>
      </vt:variant>
      <vt:variant>
        <vt:i4>0</vt:i4>
      </vt:variant>
      <vt:variant>
        <vt:i4>5</vt:i4>
      </vt:variant>
      <vt:variant>
        <vt:lpwstr>http://www.the-monitor.org/index.php/publications/display?act=submit&amp;pqs_year=2008&amp;pqs_type=lm&amp;pqs_report=nepal&amp;pqs_section</vt:lpwstr>
      </vt:variant>
      <vt:variant>
        <vt:lpwstr/>
      </vt:variant>
      <vt:variant>
        <vt:i4>5177355</vt:i4>
      </vt:variant>
      <vt:variant>
        <vt:i4>60</vt:i4>
      </vt:variant>
      <vt:variant>
        <vt:i4>0</vt:i4>
      </vt:variant>
      <vt:variant>
        <vt:i4>5</vt:i4>
      </vt:variant>
      <vt:variant>
        <vt:lpwstr>http://www.the-monitor.org/index.php/publications/display?act=submit&amp;pqs_year=2007&amp;pqs_type=lm&amp;pqs_report=nepal&amp;pqs_section</vt:lpwstr>
      </vt:variant>
      <vt:variant>
        <vt:lpwstr/>
      </vt:variant>
      <vt:variant>
        <vt:i4>5046283</vt:i4>
      </vt:variant>
      <vt:variant>
        <vt:i4>57</vt:i4>
      </vt:variant>
      <vt:variant>
        <vt:i4>0</vt:i4>
      </vt:variant>
      <vt:variant>
        <vt:i4>5</vt:i4>
      </vt:variant>
      <vt:variant>
        <vt:lpwstr>http://www.the-monitor.org/index.php/publications/display?act=submit&amp;pqs_year=2005&amp;pqs_type=lm&amp;pqs_report=nepal&amp;pqs_section</vt:lpwstr>
      </vt:variant>
      <vt:variant>
        <vt:lpwstr/>
      </vt:variant>
      <vt:variant>
        <vt:i4>4980747</vt:i4>
      </vt:variant>
      <vt:variant>
        <vt:i4>54</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51</vt:i4>
      </vt:variant>
      <vt:variant>
        <vt:i4>0</vt:i4>
      </vt:variant>
      <vt:variant>
        <vt:i4>5</vt:i4>
      </vt:variant>
      <vt:variant>
        <vt:lpwstr>http://www.the-monitor.org/index.php/publications/display?act=submit&amp;pqs_year=2003&amp;pqs_type=lm&amp;pqs_report=nepal&amp;pqs_section</vt:lpwstr>
      </vt:variant>
      <vt:variant>
        <vt:lpwstr/>
      </vt:variant>
      <vt:variant>
        <vt:i4>4259851</vt:i4>
      </vt:variant>
      <vt:variant>
        <vt:i4>48</vt:i4>
      </vt:variant>
      <vt:variant>
        <vt:i4>0</vt:i4>
      </vt:variant>
      <vt:variant>
        <vt:i4>5</vt:i4>
      </vt:variant>
      <vt:variant>
        <vt:lpwstr>http://www.the-monitor.org/index.php/publications/display?act=submit&amp;pqs_year=2009&amp;pqs_type=lm&amp;pqs_report=nepal&amp;pqs_section</vt:lpwstr>
      </vt:variant>
      <vt:variant>
        <vt:lpwstr/>
      </vt:variant>
      <vt:variant>
        <vt:i4>4194315</vt:i4>
      </vt:variant>
      <vt:variant>
        <vt:i4>45</vt:i4>
      </vt:variant>
      <vt:variant>
        <vt:i4>0</vt:i4>
      </vt:variant>
      <vt:variant>
        <vt:i4>5</vt:i4>
      </vt:variant>
      <vt:variant>
        <vt:lpwstr>http://www.the-monitor.org/index.php/publications/display?act=submit&amp;pqs_year=2008&amp;pqs_type=lm&amp;pqs_report=nepal&amp;pqs_section</vt:lpwstr>
      </vt:variant>
      <vt:variant>
        <vt:lpwstr/>
      </vt:variant>
      <vt:variant>
        <vt:i4>5046283</vt:i4>
      </vt:variant>
      <vt:variant>
        <vt:i4>42</vt:i4>
      </vt:variant>
      <vt:variant>
        <vt:i4>0</vt:i4>
      </vt:variant>
      <vt:variant>
        <vt:i4>5</vt:i4>
      </vt:variant>
      <vt:variant>
        <vt:lpwstr>http://www.the-monitor.org/index.php/publications/display?act=submit&amp;pqs_year=2005&amp;pqs_type=lm&amp;pqs_report=nepal&amp;pqs_section</vt:lpwstr>
      </vt:variant>
      <vt:variant>
        <vt:lpwstr/>
      </vt:variant>
      <vt:variant>
        <vt:i4>5046283</vt:i4>
      </vt:variant>
      <vt:variant>
        <vt:i4>39</vt:i4>
      </vt:variant>
      <vt:variant>
        <vt:i4>0</vt:i4>
      </vt:variant>
      <vt:variant>
        <vt:i4>5</vt:i4>
      </vt:variant>
      <vt:variant>
        <vt:lpwstr>http://www.the-monitor.org/index.php/publications/display?act=submit&amp;pqs_year=2005&amp;pqs_type=lm&amp;pqs_report=nepal&amp;pqs_section</vt:lpwstr>
      </vt:variant>
      <vt:variant>
        <vt:lpwstr/>
      </vt:variant>
      <vt:variant>
        <vt:i4>4915211</vt:i4>
      </vt:variant>
      <vt:variant>
        <vt:i4>36</vt:i4>
      </vt:variant>
      <vt:variant>
        <vt:i4>0</vt:i4>
      </vt:variant>
      <vt:variant>
        <vt:i4>5</vt:i4>
      </vt:variant>
      <vt:variant>
        <vt:lpwstr>http://www.the-monitor.org/index.php/publications/display?act=submit&amp;pqs_year=2003&amp;pqs_type=lm&amp;pqs_report=nepal&amp;pqs_section</vt:lpwstr>
      </vt:variant>
      <vt:variant>
        <vt:lpwstr/>
      </vt:variant>
      <vt:variant>
        <vt:i4>4849675</vt:i4>
      </vt:variant>
      <vt:variant>
        <vt:i4>33</vt:i4>
      </vt:variant>
      <vt:variant>
        <vt:i4>0</vt:i4>
      </vt:variant>
      <vt:variant>
        <vt:i4>5</vt:i4>
      </vt:variant>
      <vt:variant>
        <vt:lpwstr>http://www.the-monitor.org/index.php/publications/display?act=submit&amp;pqs_year=2002&amp;pqs_type=lm&amp;pqs_report=nepal&amp;pqs_section</vt:lpwstr>
      </vt:variant>
      <vt:variant>
        <vt:lpwstr/>
      </vt:variant>
      <vt:variant>
        <vt:i4>4980747</vt:i4>
      </vt:variant>
      <vt:variant>
        <vt:i4>30</vt:i4>
      </vt:variant>
      <vt:variant>
        <vt:i4>0</vt:i4>
      </vt:variant>
      <vt:variant>
        <vt:i4>5</vt:i4>
      </vt:variant>
      <vt:variant>
        <vt:lpwstr>http://www.the-monitor.org/index.php/publications/display?act=submit&amp;pqs_year=2004&amp;pqs_type=lm&amp;pqs_report=nepal&amp;pqs_section</vt:lpwstr>
      </vt:variant>
      <vt:variant>
        <vt:lpwstr/>
      </vt:variant>
      <vt:variant>
        <vt:i4>4915211</vt:i4>
      </vt:variant>
      <vt:variant>
        <vt:i4>27</vt:i4>
      </vt:variant>
      <vt:variant>
        <vt:i4>0</vt:i4>
      </vt:variant>
      <vt:variant>
        <vt:i4>5</vt:i4>
      </vt:variant>
      <vt:variant>
        <vt:lpwstr>http://www.the-monitor.org/index.php/publications/display?act=submit&amp;pqs_year=2003&amp;pqs_type=lm&amp;pqs_report=nepal&amp;pqs_section</vt:lpwstr>
      </vt:variant>
      <vt:variant>
        <vt:lpwstr/>
      </vt:variant>
      <vt:variant>
        <vt:i4>5111819</vt:i4>
      </vt:variant>
      <vt:variant>
        <vt:i4>24</vt:i4>
      </vt:variant>
      <vt:variant>
        <vt:i4>0</vt:i4>
      </vt:variant>
      <vt:variant>
        <vt:i4>5</vt:i4>
      </vt:variant>
      <vt:variant>
        <vt:lpwstr>http://www.the-monitor.org/index.php/publications/display?act=submit&amp;pqs_year=2006&amp;pqs_type=lm&amp;pqs_report=nepal&amp;pqs_section</vt:lpwstr>
      </vt:variant>
      <vt:variant>
        <vt:lpwstr/>
      </vt:variant>
      <vt:variant>
        <vt:i4>4915211</vt:i4>
      </vt:variant>
      <vt:variant>
        <vt:i4>21</vt:i4>
      </vt:variant>
      <vt:variant>
        <vt:i4>0</vt:i4>
      </vt:variant>
      <vt:variant>
        <vt:i4>5</vt:i4>
      </vt:variant>
      <vt:variant>
        <vt:lpwstr>http://www.the-monitor.org/index.php/publications/display?act=submit&amp;pqs_year=2003&amp;pqs_type=lm&amp;pqs_report=nepal&amp;pqs_section</vt:lpwstr>
      </vt:variant>
      <vt:variant>
        <vt:lpwstr/>
      </vt:variant>
      <vt:variant>
        <vt:i4>8192042</vt:i4>
      </vt:variant>
      <vt:variant>
        <vt:i4>18</vt:i4>
      </vt:variant>
      <vt:variant>
        <vt:i4>0</vt:i4>
      </vt:variant>
      <vt:variant>
        <vt:i4>5</vt:i4>
      </vt:variant>
      <vt:variant>
        <vt:lpwstr>http://www.unmin.org.np/?d=about&amp;p=mandate</vt:lpwstr>
      </vt:variant>
      <vt:variant>
        <vt:lpwstr/>
      </vt:variant>
      <vt:variant>
        <vt:i4>5701712</vt:i4>
      </vt:variant>
      <vt:variant>
        <vt:i4>15</vt:i4>
      </vt:variant>
      <vt:variant>
        <vt:i4>0</vt:i4>
      </vt:variant>
      <vt:variant>
        <vt:i4>5</vt:i4>
      </vt:variant>
      <vt:variant>
        <vt:lpwstr>http://news.bbc.co.uk/2/hi/south_asia/country_profiles/1166516.stm</vt:lpwstr>
      </vt:variant>
      <vt:variant>
        <vt:lpwstr/>
      </vt:variant>
      <vt:variant>
        <vt:i4>5439569</vt:i4>
      </vt:variant>
      <vt:variant>
        <vt:i4>12</vt:i4>
      </vt:variant>
      <vt:variant>
        <vt:i4>0</vt:i4>
      </vt:variant>
      <vt:variant>
        <vt:i4>5</vt:i4>
      </vt:variant>
      <vt:variant>
        <vt:lpwstr>http://news.bbc.co.uk/2/hi/south_asia/country_profiles/1166502.stm</vt:lpwstr>
      </vt:variant>
      <vt:variant>
        <vt:lpwstr/>
      </vt:variant>
      <vt:variant>
        <vt:i4>5111819</vt:i4>
      </vt:variant>
      <vt:variant>
        <vt:i4>9</vt:i4>
      </vt:variant>
      <vt:variant>
        <vt:i4>0</vt:i4>
      </vt:variant>
      <vt:variant>
        <vt:i4>5</vt:i4>
      </vt:variant>
      <vt:variant>
        <vt:lpwstr>http://www.the-monitor.org/index.php/publications/display?act=submit&amp;pqs_year=2006&amp;pqs_type=lm&amp;pqs_report=nepal&amp;pqs_section</vt:lpwstr>
      </vt:variant>
      <vt:variant>
        <vt:lpwstr/>
      </vt:variant>
      <vt:variant>
        <vt:i4>4784139</vt:i4>
      </vt:variant>
      <vt:variant>
        <vt:i4>6</vt:i4>
      </vt:variant>
      <vt:variant>
        <vt:i4>0</vt:i4>
      </vt:variant>
      <vt:variant>
        <vt:i4>5</vt:i4>
      </vt:variant>
      <vt:variant>
        <vt:lpwstr>http://www.the-monitor.org/index.php/publications/display?act=submit&amp;pqs_year=2001&amp;pqs_type=lm&amp;pqs_report=nepal&amp;pqs_section</vt:lpwstr>
      </vt:variant>
      <vt:variant>
        <vt:lpwstr/>
      </vt:variant>
      <vt:variant>
        <vt:i4>3407901</vt:i4>
      </vt:variant>
      <vt:variant>
        <vt:i4>3</vt:i4>
      </vt:variant>
      <vt:variant>
        <vt:i4>0</vt:i4>
      </vt:variant>
      <vt:variant>
        <vt:i4>5</vt:i4>
      </vt:variant>
      <vt:variant>
        <vt:lpwstr>http://www.cbs.gov.np/available_publications.php</vt:lpwstr>
      </vt:variant>
      <vt:variant>
        <vt:lpwstr/>
      </vt:variant>
      <vt:variant>
        <vt:i4>131167</vt:i4>
      </vt:variant>
      <vt:variant>
        <vt:i4>0</vt:i4>
      </vt:variant>
      <vt:variant>
        <vt:i4>0</vt:i4>
      </vt:variant>
      <vt:variant>
        <vt:i4>5</vt:i4>
      </vt:variant>
      <vt:variant>
        <vt:lpwstr>https://www.cia.gov/library/publications/the-world-factbook/geos/np.html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UNICEF Nepal Mine Action Activities:</dc:title>
  <dc:creator>fvn8</dc:creator>
  <cp:lastModifiedBy>UNICEF</cp:lastModifiedBy>
  <cp:revision>2</cp:revision>
  <cp:lastPrinted>2010-09-07T20:18:00Z</cp:lastPrinted>
  <dcterms:created xsi:type="dcterms:W3CDTF">2011-02-08T04:25:00Z</dcterms:created>
  <dcterms:modified xsi:type="dcterms:W3CDTF">2011-02-08T04:25:00Z</dcterms:modified>
</cp:coreProperties>
</file>