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FF9CE3" w14:textId="181ABCB6" w:rsidR="006E00BF" w:rsidRPr="006E00BF" w:rsidRDefault="00EC4FB8" w:rsidP="006E00BF">
      <w:pPr>
        <w:keepNext/>
        <w:keepLines/>
        <w:spacing w:before="40" w:after="120"/>
        <w:ind w:hanging="360"/>
        <w:outlineLvl w:val="1"/>
        <w:rPr>
          <w:rFonts w:asciiTheme="minorHAnsi" w:eastAsiaTheme="minorHAnsi" w:hAnsiTheme="minorHAnsi" w:cstheme="minorBidi"/>
          <w:b/>
          <w:i/>
          <w:color w:val="002060"/>
          <w:sz w:val="28"/>
          <w:szCs w:val="28"/>
          <w:lang w:eastAsia="en-US"/>
        </w:rPr>
      </w:pPr>
      <w:r w:rsidRPr="006E00BF">
        <w:rPr>
          <w:rFonts w:asciiTheme="minorHAnsi" w:eastAsiaTheme="minorHAnsi" w:hAnsiTheme="minorHAnsi" w:cstheme="minorBidi"/>
          <w:b/>
          <w:i/>
          <w:color w:val="002060"/>
          <w:sz w:val="28"/>
          <w:szCs w:val="28"/>
          <w:lang w:eastAsia="en-US"/>
        </w:rPr>
        <w:t>A</w:t>
      </w:r>
      <w:r w:rsidR="00CE7ECC" w:rsidRPr="006E00BF">
        <w:rPr>
          <w:rFonts w:asciiTheme="minorHAnsi" w:eastAsiaTheme="minorHAnsi" w:hAnsiTheme="minorHAnsi" w:cstheme="minorBidi"/>
          <w:b/>
          <w:i/>
          <w:color w:val="002060"/>
          <w:sz w:val="28"/>
          <w:szCs w:val="28"/>
          <w:lang w:eastAsia="en-US"/>
        </w:rPr>
        <w:t xml:space="preserve">NEXO </w:t>
      </w:r>
      <w:r w:rsidR="006E00BF" w:rsidRPr="006E00BF">
        <w:rPr>
          <w:rFonts w:asciiTheme="minorHAnsi" w:eastAsiaTheme="minorHAnsi" w:hAnsiTheme="minorHAnsi" w:cstheme="minorBidi"/>
          <w:b/>
          <w:i/>
          <w:color w:val="002060"/>
          <w:sz w:val="28"/>
          <w:szCs w:val="28"/>
          <w:lang w:eastAsia="en-US"/>
        </w:rPr>
        <w:t>3</w:t>
      </w:r>
      <w:r w:rsidR="00CE7ECC" w:rsidRPr="006E00BF">
        <w:rPr>
          <w:rFonts w:asciiTheme="minorHAnsi" w:eastAsiaTheme="minorHAnsi" w:hAnsiTheme="minorHAnsi" w:cstheme="minorBidi"/>
          <w:b/>
          <w:i/>
          <w:color w:val="002060"/>
          <w:sz w:val="28"/>
          <w:szCs w:val="28"/>
          <w:lang w:eastAsia="en-US"/>
        </w:rPr>
        <w:t>:</w:t>
      </w:r>
      <w:r w:rsidRPr="006E00BF">
        <w:rPr>
          <w:rFonts w:asciiTheme="minorHAnsi" w:eastAsiaTheme="minorHAnsi" w:hAnsiTheme="minorHAnsi" w:cstheme="minorBidi"/>
          <w:b/>
          <w:i/>
          <w:color w:val="002060"/>
          <w:sz w:val="28"/>
          <w:szCs w:val="28"/>
          <w:lang w:eastAsia="en-US"/>
        </w:rPr>
        <w:t xml:space="preserve"> </w:t>
      </w:r>
      <w:r w:rsidR="006E00BF" w:rsidRPr="006E00BF">
        <w:rPr>
          <w:rFonts w:asciiTheme="minorHAnsi" w:eastAsiaTheme="minorHAnsi" w:hAnsiTheme="minorHAnsi" w:cstheme="minorBidi"/>
          <w:b/>
          <w:i/>
          <w:color w:val="002060"/>
          <w:sz w:val="28"/>
          <w:szCs w:val="28"/>
          <w:lang w:eastAsia="en-US"/>
        </w:rPr>
        <w:t>Marco normativo programa PLaNEA</w:t>
      </w:r>
      <w:r w:rsidR="006E00BF">
        <w:rPr>
          <w:rFonts w:asciiTheme="minorHAnsi" w:eastAsiaTheme="minorHAnsi" w:hAnsiTheme="minorHAnsi" w:cstheme="minorBidi"/>
          <w:b/>
          <w:i/>
          <w:color w:val="002060"/>
          <w:sz w:val="28"/>
          <w:szCs w:val="28"/>
          <w:lang w:eastAsia="en-US"/>
        </w:rPr>
        <w:t xml:space="preserve"> y d</w:t>
      </w:r>
      <w:r w:rsidR="006E00BF" w:rsidRPr="006E00BF">
        <w:rPr>
          <w:rFonts w:asciiTheme="minorHAnsi" w:eastAsiaTheme="minorHAnsi" w:hAnsiTheme="minorHAnsi" w:cstheme="minorBidi"/>
          <w:b/>
          <w:i/>
          <w:color w:val="002060"/>
          <w:sz w:val="28"/>
          <w:szCs w:val="28"/>
          <w:lang w:eastAsia="en-US"/>
        </w:rPr>
        <w:t>ocumentación revisada para criterios de Pertinencia, Eficacia, Eficiencia, Sostenibilidad y Coherencia.</w:t>
      </w:r>
    </w:p>
    <w:p w14:paraId="58E6A1AB" w14:textId="77777777" w:rsidR="006E00BF" w:rsidRDefault="006E00BF">
      <w:pPr>
        <w:rPr>
          <w:b/>
          <w:lang w:val="es-MX"/>
        </w:rPr>
      </w:pPr>
    </w:p>
    <w:p w14:paraId="066F1DBA" w14:textId="54C65CE5" w:rsidR="00A678B1" w:rsidRPr="00EC4FB8" w:rsidRDefault="00EC4FB8" w:rsidP="006E00BF">
      <w:pPr>
        <w:ind w:left="-426"/>
        <w:rPr>
          <w:b/>
          <w:lang w:val="es-MX"/>
        </w:rPr>
      </w:pPr>
      <w:r w:rsidRPr="00EC4FB8">
        <w:rPr>
          <w:b/>
          <w:lang w:val="es-MX"/>
        </w:rPr>
        <w:t>Marcos normativos en los que se fundamenta programa PLaNEA</w:t>
      </w: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0"/>
        <w:gridCol w:w="7513"/>
      </w:tblGrid>
      <w:tr w:rsidR="00EC4FB8" w:rsidRPr="007C234E" w14:paraId="3F8E40FB" w14:textId="77777777" w:rsidTr="006E00BF">
        <w:tc>
          <w:tcPr>
            <w:tcW w:w="2410" w:type="dxa"/>
            <w:shd w:val="clear" w:color="auto" w:fill="9CC2E5"/>
          </w:tcPr>
          <w:p w14:paraId="6FD41E5E" w14:textId="77777777" w:rsidR="00EC4FB8" w:rsidRPr="007C234E" w:rsidRDefault="00EC4FB8" w:rsidP="008C1763">
            <w:pPr>
              <w:spacing w:line="259" w:lineRule="auto"/>
              <w:rPr>
                <w:rFonts w:asciiTheme="majorHAnsi" w:hAnsiTheme="majorHAnsi" w:cstheme="majorHAnsi"/>
                <w:b/>
                <w:sz w:val="20"/>
              </w:rPr>
            </w:pPr>
            <w:r w:rsidRPr="007C234E">
              <w:rPr>
                <w:rFonts w:asciiTheme="majorHAnsi" w:hAnsiTheme="majorHAnsi" w:cstheme="majorHAnsi"/>
                <w:b/>
                <w:sz w:val="20"/>
              </w:rPr>
              <w:t>Marco normativo</w:t>
            </w:r>
          </w:p>
        </w:tc>
        <w:tc>
          <w:tcPr>
            <w:tcW w:w="7513" w:type="dxa"/>
            <w:shd w:val="clear" w:color="auto" w:fill="9CC2E5"/>
          </w:tcPr>
          <w:p w14:paraId="379DE606" w14:textId="77777777" w:rsidR="00EC4FB8" w:rsidRPr="007C234E" w:rsidRDefault="00EC4FB8" w:rsidP="008C1763">
            <w:pPr>
              <w:spacing w:line="259" w:lineRule="auto"/>
              <w:rPr>
                <w:rFonts w:asciiTheme="majorHAnsi" w:hAnsiTheme="majorHAnsi" w:cstheme="majorHAnsi"/>
                <w:b/>
                <w:sz w:val="20"/>
              </w:rPr>
            </w:pPr>
            <w:r w:rsidRPr="007C234E">
              <w:rPr>
                <w:rFonts w:asciiTheme="majorHAnsi" w:hAnsiTheme="majorHAnsi" w:cstheme="majorHAnsi"/>
                <w:b/>
                <w:sz w:val="20"/>
              </w:rPr>
              <w:t>Qué señala</w:t>
            </w:r>
          </w:p>
        </w:tc>
      </w:tr>
      <w:tr w:rsidR="00EC4FB8" w:rsidRPr="007C234E" w14:paraId="4C4A61EA" w14:textId="77777777" w:rsidTr="006E00BF">
        <w:tc>
          <w:tcPr>
            <w:tcW w:w="2410" w:type="dxa"/>
          </w:tcPr>
          <w:p w14:paraId="4F5FBDFE" w14:textId="77777777" w:rsidR="00EC4FB8" w:rsidRPr="007C234E" w:rsidRDefault="00EC4FB8" w:rsidP="008C1763">
            <w:pPr>
              <w:spacing w:after="160" w:line="259" w:lineRule="auto"/>
              <w:rPr>
                <w:rFonts w:asciiTheme="majorHAnsi" w:hAnsiTheme="majorHAnsi" w:cstheme="majorHAnsi"/>
                <w:sz w:val="20"/>
              </w:rPr>
            </w:pPr>
            <w:r w:rsidRPr="007C234E">
              <w:rPr>
                <w:rFonts w:asciiTheme="majorHAnsi" w:hAnsiTheme="majorHAnsi" w:cstheme="majorHAnsi"/>
                <w:sz w:val="20"/>
              </w:rPr>
              <w:t xml:space="preserve">Ley de Educación Nacional </w:t>
            </w:r>
            <w:proofErr w:type="spellStart"/>
            <w:r w:rsidRPr="007C234E">
              <w:rPr>
                <w:rFonts w:asciiTheme="majorHAnsi" w:hAnsiTheme="majorHAnsi" w:cstheme="majorHAnsi"/>
                <w:sz w:val="20"/>
              </w:rPr>
              <w:t>n°</w:t>
            </w:r>
            <w:proofErr w:type="spellEnd"/>
            <w:r w:rsidRPr="007C234E">
              <w:rPr>
                <w:rFonts w:asciiTheme="majorHAnsi" w:hAnsiTheme="majorHAnsi" w:cstheme="majorHAnsi"/>
                <w:sz w:val="20"/>
              </w:rPr>
              <w:t xml:space="preserve"> 26206 (LEN)</w:t>
            </w:r>
          </w:p>
        </w:tc>
        <w:tc>
          <w:tcPr>
            <w:tcW w:w="7513" w:type="dxa"/>
          </w:tcPr>
          <w:p w14:paraId="270886D3" w14:textId="77777777" w:rsidR="00EC4FB8" w:rsidRPr="007C234E" w:rsidRDefault="00EC4FB8" w:rsidP="008C1763">
            <w:pPr>
              <w:numPr>
                <w:ilvl w:val="0"/>
                <w:numId w:val="1"/>
              </w:numPr>
              <w:spacing w:after="160" w:line="259" w:lineRule="auto"/>
              <w:rPr>
                <w:rFonts w:asciiTheme="majorHAnsi" w:hAnsiTheme="majorHAnsi" w:cstheme="majorHAnsi"/>
                <w:sz w:val="20"/>
              </w:rPr>
            </w:pPr>
            <w:r w:rsidRPr="007C234E">
              <w:rPr>
                <w:rFonts w:asciiTheme="majorHAnsi" w:hAnsiTheme="majorHAnsi" w:cstheme="majorHAnsi"/>
                <w:sz w:val="20"/>
              </w:rPr>
              <w:t>Obligatoriedad Educación Secundaria</w:t>
            </w:r>
          </w:p>
          <w:p w14:paraId="0D29266B" w14:textId="77777777" w:rsidR="00EC4FB8" w:rsidRDefault="00EC4FB8" w:rsidP="008C1763">
            <w:pPr>
              <w:numPr>
                <w:ilvl w:val="0"/>
                <w:numId w:val="1"/>
              </w:numPr>
              <w:spacing w:after="160" w:line="259" w:lineRule="auto"/>
              <w:rPr>
                <w:rFonts w:asciiTheme="majorHAnsi" w:hAnsiTheme="majorHAnsi" w:cstheme="majorHAnsi"/>
                <w:sz w:val="20"/>
              </w:rPr>
            </w:pPr>
            <w:r w:rsidRPr="007C234E">
              <w:rPr>
                <w:rFonts w:asciiTheme="majorHAnsi" w:hAnsiTheme="majorHAnsi" w:cstheme="majorHAnsi"/>
                <w:sz w:val="20"/>
              </w:rPr>
              <w:t>Releva la figura del tutor como aquel que acompaña las trayectorias escolares de las y los estudiantes, con el fin de fortalecer el proceso educativo individual y/o grupal</w:t>
            </w:r>
          </w:p>
          <w:p w14:paraId="7EB3A192" w14:textId="77777777" w:rsidR="00EC4FB8" w:rsidRPr="007C234E" w:rsidRDefault="00EC4FB8" w:rsidP="008C1763">
            <w:pPr>
              <w:numPr>
                <w:ilvl w:val="0"/>
                <w:numId w:val="1"/>
              </w:numPr>
              <w:spacing w:after="160" w:line="259" w:lineRule="auto"/>
              <w:rPr>
                <w:rFonts w:asciiTheme="majorHAnsi" w:hAnsiTheme="majorHAnsi" w:cstheme="majorHAnsi"/>
                <w:sz w:val="20"/>
              </w:rPr>
            </w:pPr>
            <w:r>
              <w:rPr>
                <w:rFonts w:asciiTheme="majorHAnsi" w:hAnsiTheme="majorHAnsi" w:cstheme="majorHAnsi"/>
                <w:sz w:val="20"/>
              </w:rPr>
              <w:t>Incorpora la centralidad del desarrollo de las habilidades digitales e integración de las tecnologías en las escuelas</w:t>
            </w:r>
          </w:p>
        </w:tc>
      </w:tr>
      <w:tr w:rsidR="00EC4FB8" w:rsidRPr="007C234E" w14:paraId="507F6A65" w14:textId="77777777" w:rsidTr="006E00BF">
        <w:tc>
          <w:tcPr>
            <w:tcW w:w="2410" w:type="dxa"/>
          </w:tcPr>
          <w:p w14:paraId="5C9B1BDB" w14:textId="77777777" w:rsidR="00EC4FB8" w:rsidRPr="007C234E" w:rsidRDefault="00EC4FB8" w:rsidP="008C1763">
            <w:pPr>
              <w:spacing w:after="160" w:line="259" w:lineRule="auto"/>
              <w:rPr>
                <w:rFonts w:asciiTheme="majorHAnsi" w:hAnsiTheme="majorHAnsi" w:cstheme="majorHAnsi"/>
                <w:sz w:val="20"/>
              </w:rPr>
            </w:pPr>
            <w:r>
              <w:rPr>
                <w:rFonts w:asciiTheme="majorHAnsi" w:hAnsiTheme="majorHAnsi" w:cstheme="majorHAnsi"/>
                <w:sz w:val="20"/>
              </w:rPr>
              <w:t xml:space="preserve">Ley Provincial de Educación </w:t>
            </w:r>
            <w:proofErr w:type="spellStart"/>
            <w:r>
              <w:rPr>
                <w:rFonts w:asciiTheme="majorHAnsi" w:hAnsiTheme="majorHAnsi" w:cstheme="majorHAnsi"/>
                <w:sz w:val="20"/>
              </w:rPr>
              <w:t>n°</w:t>
            </w:r>
            <w:proofErr w:type="spellEnd"/>
            <w:r>
              <w:rPr>
                <w:rFonts w:asciiTheme="majorHAnsi" w:hAnsiTheme="majorHAnsi" w:cstheme="majorHAnsi"/>
                <w:sz w:val="20"/>
              </w:rPr>
              <w:t xml:space="preserve"> 8391 (2010).</w:t>
            </w:r>
          </w:p>
        </w:tc>
        <w:tc>
          <w:tcPr>
            <w:tcW w:w="7513" w:type="dxa"/>
          </w:tcPr>
          <w:p w14:paraId="45889632" w14:textId="77777777" w:rsidR="00EC4FB8" w:rsidRDefault="00EC4FB8" w:rsidP="008C1763">
            <w:pPr>
              <w:numPr>
                <w:ilvl w:val="0"/>
                <w:numId w:val="1"/>
              </w:numPr>
              <w:spacing w:after="160" w:line="259" w:lineRule="auto"/>
              <w:rPr>
                <w:rFonts w:asciiTheme="majorHAnsi" w:hAnsiTheme="majorHAnsi" w:cstheme="majorHAnsi"/>
                <w:sz w:val="20"/>
              </w:rPr>
            </w:pPr>
            <w:r>
              <w:rPr>
                <w:rFonts w:asciiTheme="majorHAnsi" w:hAnsiTheme="majorHAnsi" w:cstheme="majorHAnsi"/>
                <w:sz w:val="20"/>
              </w:rPr>
              <w:t>Obligatoriedad Educación Secundaria, estableciendo 13 años de escolaridad.</w:t>
            </w:r>
          </w:p>
          <w:p w14:paraId="23F6DCC0" w14:textId="77777777" w:rsidR="00EC4FB8" w:rsidRPr="007C234E" w:rsidRDefault="00EC4FB8" w:rsidP="008C1763">
            <w:pPr>
              <w:numPr>
                <w:ilvl w:val="0"/>
                <w:numId w:val="1"/>
              </w:numPr>
              <w:spacing w:after="160" w:line="259" w:lineRule="auto"/>
              <w:rPr>
                <w:rFonts w:asciiTheme="majorHAnsi" w:hAnsiTheme="majorHAnsi" w:cstheme="majorHAnsi"/>
                <w:sz w:val="20"/>
              </w:rPr>
            </w:pPr>
            <w:r>
              <w:rPr>
                <w:rFonts w:asciiTheme="majorHAnsi" w:hAnsiTheme="majorHAnsi" w:cstheme="majorHAnsi"/>
                <w:sz w:val="20"/>
              </w:rPr>
              <w:t>Apertura y flexibilidad del Sistema Educativo Provincial para adecuarlo a la diversidad, desigualdad y complejidad de los contextos.</w:t>
            </w:r>
          </w:p>
        </w:tc>
      </w:tr>
      <w:tr w:rsidR="00EC4FB8" w:rsidRPr="007C234E" w14:paraId="7CA22C30" w14:textId="77777777" w:rsidTr="006E00BF">
        <w:tc>
          <w:tcPr>
            <w:tcW w:w="2410" w:type="dxa"/>
          </w:tcPr>
          <w:p w14:paraId="43218AD2" w14:textId="77777777" w:rsidR="00EC4FB8" w:rsidRPr="007C234E" w:rsidRDefault="00EC4FB8" w:rsidP="008C1763">
            <w:pPr>
              <w:spacing w:after="160" w:line="259" w:lineRule="auto"/>
              <w:rPr>
                <w:rFonts w:asciiTheme="majorHAnsi" w:hAnsiTheme="majorHAnsi" w:cstheme="majorHAnsi"/>
                <w:sz w:val="20"/>
              </w:rPr>
            </w:pPr>
            <w:r w:rsidRPr="007C234E">
              <w:rPr>
                <w:rFonts w:asciiTheme="majorHAnsi" w:hAnsiTheme="majorHAnsi" w:cstheme="majorHAnsi"/>
                <w:sz w:val="20"/>
              </w:rPr>
              <w:t>Resolución 93/09 Consejo Federal de Educación (CFE)</w:t>
            </w:r>
          </w:p>
        </w:tc>
        <w:tc>
          <w:tcPr>
            <w:tcW w:w="7513" w:type="dxa"/>
          </w:tcPr>
          <w:p w14:paraId="78D763DE" w14:textId="77777777" w:rsidR="00EC4FB8" w:rsidRPr="007C234E" w:rsidRDefault="00EC4FB8" w:rsidP="008C1763">
            <w:pPr>
              <w:numPr>
                <w:ilvl w:val="0"/>
                <w:numId w:val="1"/>
              </w:numPr>
              <w:spacing w:after="160" w:line="259" w:lineRule="auto"/>
              <w:rPr>
                <w:rFonts w:asciiTheme="majorHAnsi" w:hAnsiTheme="majorHAnsi" w:cstheme="majorHAnsi"/>
                <w:sz w:val="20"/>
              </w:rPr>
            </w:pPr>
            <w:r w:rsidRPr="007C234E">
              <w:rPr>
                <w:rFonts w:asciiTheme="majorHAnsi" w:hAnsiTheme="majorHAnsi" w:cstheme="majorHAnsi"/>
                <w:sz w:val="20"/>
              </w:rPr>
              <w:t xml:space="preserve">Permite la modificación de la organización y gestión escolar en la medida que los saberes, dinámicas y roles sean </w:t>
            </w:r>
            <w:proofErr w:type="spellStart"/>
            <w:r w:rsidRPr="007C234E">
              <w:rPr>
                <w:rFonts w:asciiTheme="majorHAnsi" w:hAnsiTheme="majorHAnsi" w:cstheme="majorHAnsi"/>
                <w:sz w:val="20"/>
              </w:rPr>
              <w:t>re-definidos</w:t>
            </w:r>
            <w:proofErr w:type="spellEnd"/>
          </w:p>
          <w:p w14:paraId="7A1F23B8" w14:textId="77777777" w:rsidR="00EC4FB8" w:rsidRPr="007C234E" w:rsidRDefault="00EC4FB8" w:rsidP="008C1763">
            <w:pPr>
              <w:numPr>
                <w:ilvl w:val="0"/>
                <w:numId w:val="1"/>
              </w:numPr>
              <w:spacing w:after="160" w:line="259" w:lineRule="auto"/>
              <w:rPr>
                <w:rFonts w:asciiTheme="majorHAnsi" w:hAnsiTheme="majorHAnsi" w:cstheme="majorHAnsi"/>
                <w:sz w:val="20"/>
              </w:rPr>
            </w:pPr>
            <w:r w:rsidRPr="007C234E">
              <w:rPr>
                <w:rFonts w:asciiTheme="majorHAnsi" w:hAnsiTheme="majorHAnsi" w:cstheme="majorHAnsi"/>
                <w:sz w:val="20"/>
              </w:rPr>
              <w:t xml:space="preserve">Habilita a las jurisdicciones a desarrollar normativas, criterios y orientaciones en políticas de enseñanza en </w:t>
            </w:r>
            <w:proofErr w:type="spellStart"/>
            <w:r w:rsidRPr="007C234E">
              <w:rPr>
                <w:rFonts w:asciiTheme="majorHAnsi" w:hAnsiTheme="majorHAnsi" w:cstheme="majorHAnsi"/>
                <w:sz w:val="20"/>
              </w:rPr>
              <w:t>pos</w:t>
            </w:r>
            <w:proofErr w:type="spellEnd"/>
            <w:r w:rsidRPr="007C234E">
              <w:rPr>
                <w:rFonts w:asciiTheme="majorHAnsi" w:hAnsiTheme="majorHAnsi" w:cstheme="majorHAnsi"/>
                <w:sz w:val="20"/>
              </w:rPr>
              <w:t xml:space="preserve"> de habilitar diversas propuestas curriculares.</w:t>
            </w:r>
          </w:p>
          <w:p w14:paraId="17AA5596" w14:textId="77777777" w:rsidR="00EC4FB8" w:rsidRPr="00E327A4" w:rsidRDefault="00EC4FB8" w:rsidP="008C1763">
            <w:pPr>
              <w:numPr>
                <w:ilvl w:val="0"/>
                <w:numId w:val="1"/>
              </w:numPr>
              <w:spacing w:after="160" w:line="259" w:lineRule="auto"/>
              <w:rPr>
                <w:rFonts w:asciiTheme="majorHAnsi" w:hAnsiTheme="majorHAnsi" w:cstheme="majorHAnsi"/>
                <w:sz w:val="20"/>
              </w:rPr>
            </w:pPr>
            <w:r w:rsidRPr="007C234E">
              <w:rPr>
                <w:rFonts w:asciiTheme="majorHAnsi" w:hAnsiTheme="majorHAnsi" w:cstheme="majorHAnsi"/>
                <w:sz w:val="20"/>
              </w:rPr>
              <w:t>Releva la figura del tutor como apoyo al sostenimiento de las trayectorias escolares.</w:t>
            </w:r>
          </w:p>
        </w:tc>
      </w:tr>
      <w:tr w:rsidR="00EC4FB8" w:rsidRPr="007C234E" w14:paraId="6F910AE7" w14:textId="77777777" w:rsidTr="006E00BF">
        <w:tc>
          <w:tcPr>
            <w:tcW w:w="2410" w:type="dxa"/>
          </w:tcPr>
          <w:p w14:paraId="74861F53" w14:textId="77777777" w:rsidR="00EC4FB8" w:rsidRPr="007C234E" w:rsidRDefault="00EC4FB8" w:rsidP="008C1763">
            <w:pPr>
              <w:spacing w:after="160" w:line="259" w:lineRule="auto"/>
              <w:rPr>
                <w:rFonts w:asciiTheme="majorHAnsi" w:hAnsiTheme="majorHAnsi" w:cstheme="majorHAnsi"/>
                <w:sz w:val="20"/>
              </w:rPr>
            </w:pPr>
            <w:r w:rsidRPr="007C234E">
              <w:rPr>
                <w:rFonts w:asciiTheme="majorHAnsi" w:hAnsiTheme="majorHAnsi" w:cstheme="majorHAnsi"/>
                <w:sz w:val="20"/>
              </w:rPr>
              <w:t>Resolución 84/09 Consejo Federal de Educación (CFE)</w:t>
            </w:r>
          </w:p>
        </w:tc>
        <w:tc>
          <w:tcPr>
            <w:tcW w:w="7513" w:type="dxa"/>
          </w:tcPr>
          <w:p w14:paraId="586CB6F3" w14:textId="77777777" w:rsidR="00EC4FB8" w:rsidRPr="007C234E" w:rsidRDefault="00EC4FB8" w:rsidP="008C1763">
            <w:pPr>
              <w:numPr>
                <w:ilvl w:val="0"/>
                <w:numId w:val="1"/>
              </w:numPr>
              <w:spacing w:after="160" w:line="259" w:lineRule="auto"/>
              <w:rPr>
                <w:rFonts w:asciiTheme="majorHAnsi" w:hAnsiTheme="majorHAnsi" w:cstheme="majorHAnsi"/>
                <w:sz w:val="20"/>
              </w:rPr>
            </w:pPr>
            <w:r w:rsidRPr="007C234E">
              <w:rPr>
                <w:rFonts w:asciiTheme="majorHAnsi" w:hAnsiTheme="majorHAnsi" w:cstheme="majorHAnsi"/>
                <w:sz w:val="20"/>
              </w:rPr>
              <w:t>Entrega lineamientos orientados a la inclusión de itinerarios pedagógicos variados, como también de espacios y formatos para enseñar a aprender</w:t>
            </w:r>
          </w:p>
          <w:p w14:paraId="5DB37599" w14:textId="77777777" w:rsidR="00EC4FB8" w:rsidRPr="007C234E" w:rsidRDefault="00EC4FB8" w:rsidP="008C1763">
            <w:pPr>
              <w:numPr>
                <w:ilvl w:val="0"/>
                <w:numId w:val="1"/>
              </w:numPr>
              <w:spacing w:after="160" w:line="259" w:lineRule="auto"/>
              <w:rPr>
                <w:rFonts w:asciiTheme="majorHAnsi" w:hAnsiTheme="majorHAnsi" w:cstheme="majorHAnsi"/>
                <w:sz w:val="20"/>
              </w:rPr>
            </w:pPr>
            <w:r w:rsidRPr="007C234E">
              <w:rPr>
                <w:rFonts w:asciiTheme="majorHAnsi" w:hAnsiTheme="majorHAnsi" w:cstheme="majorHAnsi"/>
                <w:sz w:val="20"/>
              </w:rPr>
              <w:t>Ubica al estudiante en el centro, tanto del proceso de enseñanza-aprendizaje como en la escuela.</w:t>
            </w:r>
          </w:p>
          <w:p w14:paraId="48B348F2" w14:textId="77777777" w:rsidR="00EC4FB8" w:rsidRDefault="00EC4FB8" w:rsidP="008C1763">
            <w:pPr>
              <w:numPr>
                <w:ilvl w:val="0"/>
                <w:numId w:val="1"/>
              </w:numPr>
              <w:spacing w:after="160" w:line="259" w:lineRule="auto"/>
              <w:rPr>
                <w:rFonts w:asciiTheme="majorHAnsi" w:hAnsiTheme="majorHAnsi" w:cstheme="majorHAnsi"/>
                <w:sz w:val="20"/>
              </w:rPr>
            </w:pPr>
            <w:r w:rsidRPr="007C234E">
              <w:rPr>
                <w:rFonts w:asciiTheme="majorHAnsi" w:hAnsiTheme="majorHAnsi" w:cstheme="majorHAnsi"/>
                <w:sz w:val="20"/>
              </w:rPr>
              <w:t>Otorga lineamientos respecto al establecimiento de nuevos diálogos respecto de los saberes que deben ser transmitidos</w:t>
            </w:r>
            <w:r>
              <w:rPr>
                <w:rFonts w:asciiTheme="majorHAnsi" w:hAnsiTheme="majorHAnsi" w:cstheme="majorHAnsi"/>
                <w:sz w:val="20"/>
              </w:rPr>
              <w:t>.</w:t>
            </w:r>
          </w:p>
          <w:p w14:paraId="21024801" w14:textId="77777777" w:rsidR="00EC4FB8" w:rsidRPr="007C234E" w:rsidRDefault="00EC4FB8" w:rsidP="008C1763">
            <w:pPr>
              <w:numPr>
                <w:ilvl w:val="0"/>
                <w:numId w:val="1"/>
              </w:numPr>
              <w:spacing w:after="160" w:line="259" w:lineRule="auto"/>
              <w:rPr>
                <w:rFonts w:asciiTheme="majorHAnsi" w:hAnsiTheme="majorHAnsi" w:cstheme="majorHAnsi"/>
                <w:sz w:val="20"/>
              </w:rPr>
            </w:pPr>
            <w:r>
              <w:rPr>
                <w:rFonts w:asciiTheme="majorHAnsi" w:hAnsiTheme="majorHAnsi" w:cstheme="majorHAnsi"/>
                <w:sz w:val="20"/>
              </w:rPr>
              <w:t>Incorpora la importancia del desarrollo de habilidades digitales y habilidades para la ciudadanía, la vida y el trabajo.</w:t>
            </w:r>
          </w:p>
        </w:tc>
      </w:tr>
      <w:tr w:rsidR="00EC4FB8" w:rsidRPr="007C234E" w14:paraId="74BC0534" w14:textId="77777777" w:rsidTr="006E00BF">
        <w:tc>
          <w:tcPr>
            <w:tcW w:w="2410" w:type="dxa"/>
          </w:tcPr>
          <w:p w14:paraId="2A5C3721" w14:textId="77777777" w:rsidR="00EC4FB8" w:rsidRPr="007C234E" w:rsidRDefault="00EC4FB8" w:rsidP="008C1763">
            <w:pPr>
              <w:spacing w:after="160" w:line="259" w:lineRule="auto"/>
              <w:rPr>
                <w:rFonts w:asciiTheme="majorHAnsi" w:hAnsiTheme="majorHAnsi" w:cstheme="majorHAnsi"/>
                <w:sz w:val="20"/>
              </w:rPr>
            </w:pPr>
            <w:r>
              <w:rPr>
                <w:rFonts w:asciiTheme="majorHAnsi" w:hAnsiTheme="majorHAnsi" w:cstheme="majorHAnsi"/>
                <w:sz w:val="20"/>
              </w:rPr>
              <w:t>Resolución 322/17 Consejo Federal de Educación</w:t>
            </w:r>
          </w:p>
        </w:tc>
        <w:tc>
          <w:tcPr>
            <w:tcW w:w="7513" w:type="dxa"/>
          </w:tcPr>
          <w:p w14:paraId="2EBBC687" w14:textId="77777777" w:rsidR="00EC4FB8" w:rsidRPr="007C234E" w:rsidRDefault="00EC4FB8" w:rsidP="008C1763">
            <w:pPr>
              <w:numPr>
                <w:ilvl w:val="0"/>
                <w:numId w:val="1"/>
              </w:numPr>
              <w:spacing w:after="160" w:line="259" w:lineRule="auto"/>
              <w:rPr>
                <w:rFonts w:asciiTheme="majorHAnsi" w:hAnsiTheme="majorHAnsi" w:cstheme="majorHAnsi"/>
                <w:sz w:val="20"/>
              </w:rPr>
            </w:pPr>
            <w:r>
              <w:rPr>
                <w:rFonts w:asciiTheme="majorHAnsi" w:hAnsiTheme="majorHAnsi" w:cstheme="majorHAnsi"/>
                <w:sz w:val="20"/>
              </w:rPr>
              <w:t>Aprueba la Campaña Nacional “Prevención del embarazo no intencional en la Adolescencia” en el marco del Programa de Educación Sexual Integral (ESI).</w:t>
            </w:r>
          </w:p>
        </w:tc>
      </w:tr>
      <w:tr w:rsidR="00EC4FB8" w:rsidRPr="007C234E" w14:paraId="4BFEF568" w14:textId="77777777" w:rsidTr="006E00BF">
        <w:tc>
          <w:tcPr>
            <w:tcW w:w="2410" w:type="dxa"/>
          </w:tcPr>
          <w:p w14:paraId="6C2085C3" w14:textId="77777777" w:rsidR="00EC4FB8" w:rsidRDefault="00EC4FB8" w:rsidP="008C1763">
            <w:pPr>
              <w:spacing w:after="160" w:line="259" w:lineRule="auto"/>
              <w:rPr>
                <w:rFonts w:asciiTheme="majorHAnsi" w:hAnsiTheme="majorHAnsi" w:cstheme="majorHAnsi"/>
                <w:sz w:val="20"/>
              </w:rPr>
            </w:pPr>
            <w:r>
              <w:rPr>
                <w:rFonts w:asciiTheme="majorHAnsi" w:hAnsiTheme="majorHAnsi" w:cstheme="majorHAnsi"/>
                <w:sz w:val="20"/>
              </w:rPr>
              <w:t>Resolución 330/17 Consejo Federal de Educación (CFE)</w:t>
            </w:r>
          </w:p>
        </w:tc>
        <w:tc>
          <w:tcPr>
            <w:tcW w:w="7513" w:type="dxa"/>
          </w:tcPr>
          <w:p w14:paraId="36B87D01" w14:textId="77777777" w:rsidR="00EC4FB8" w:rsidRDefault="00EC4FB8" w:rsidP="008C1763">
            <w:pPr>
              <w:numPr>
                <w:ilvl w:val="0"/>
                <w:numId w:val="1"/>
              </w:numPr>
              <w:spacing w:after="160" w:line="259" w:lineRule="auto"/>
              <w:rPr>
                <w:rFonts w:asciiTheme="majorHAnsi" w:hAnsiTheme="majorHAnsi" w:cstheme="majorHAnsi"/>
                <w:sz w:val="20"/>
              </w:rPr>
            </w:pPr>
            <w:r>
              <w:rPr>
                <w:rFonts w:asciiTheme="majorHAnsi" w:hAnsiTheme="majorHAnsi" w:cstheme="majorHAnsi"/>
                <w:sz w:val="20"/>
              </w:rPr>
              <w:t>Reorganización progresiva del trabajo docente, propiciando mayor concentración horaria y/o conformación de cargos.</w:t>
            </w:r>
          </w:p>
          <w:p w14:paraId="5EA0703E" w14:textId="77777777" w:rsidR="00EC4FB8" w:rsidRDefault="00EC4FB8" w:rsidP="008C1763">
            <w:pPr>
              <w:numPr>
                <w:ilvl w:val="0"/>
                <w:numId w:val="1"/>
              </w:numPr>
              <w:spacing w:after="160" w:line="259" w:lineRule="auto"/>
              <w:rPr>
                <w:rFonts w:asciiTheme="majorHAnsi" w:hAnsiTheme="majorHAnsi" w:cstheme="majorHAnsi"/>
                <w:sz w:val="20"/>
              </w:rPr>
            </w:pPr>
            <w:r>
              <w:rPr>
                <w:rFonts w:asciiTheme="majorHAnsi" w:hAnsiTheme="majorHAnsi" w:cstheme="majorHAnsi"/>
                <w:sz w:val="20"/>
              </w:rPr>
              <w:t>Desarrollo de dispositivos de formación docente y acompañamiento a escuelas.</w:t>
            </w:r>
          </w:p>
        </w:tc>
      </w:tr>
      <w:tr w:rsidR="00EC4FB8" w:rsidRPr="007C234E" w14:paraId="7B2D32D5" w14:textId="77777777" w:rsidTr="006E00BF">
        <w:tc>
          <w:tcPr>
            <w:tcW w:w="2410" w:type="dxa"/>
          </w:tcPr>
          <w:p w14:paraId="0F196C6D" w14:textId="77777777" w:rsidR="00EC4FB8" w:rsidRDefault="00EC4FB8" w:rsidP="008C1763">
            <w:pPr>
              <w:spacing w:after="160" w:line="259" w:lineRule="auto"/>
              <w:rPr>
                <w:rFonts w:asciiTheme="majorHAnsi" w:hAnsiTheme="majorHAnsi" w:cstheme="majorHAnsi"/>
                <w:sz w:val="20"/>
              </w:rPr>
            </w:pPr>
            <w:r>
              <w:rPr>
                <w:rFonts w:asciiTheme="majorHAnsi" w:hAnsiTheme="majorHAnsi" w:cstheme="majorHAnsi"/>
                <w:sz w:val="20"/>
              </w:rPr>
              <w:t>Resolución Ministerial 146/5 (</w:t>
            </w:r>
            <w:proofErr w:type="spellStart"/>
            <w:r>
              <w:rPr>
                <w:rFonts w:asciiTheme="majorHAnsi" w:hAnsiTheme="majorHAnsi" w:cstheme="majorHAnsi"/>
                <w:sz w:val="20"/>
              </w:rPr>
              <w:t>MEd</w:t>
            </w:r>
            <w:proofErr w:type="spellEnd"/>
            <w:r>
              <w:rPr>
                <w:rFonts w:asciiTheme="majorHAnsi" w:hAnsiTheme="majorHAnsi" w:cstheme="majorHAnsi"/>
                <w:sz w:val="20"/>
              </w:rPr>
              <w:t>)-10</w:t>
            </w:r>
          </w:p>
        </w:tc>
        <w:tc>
          <w:tcPr>
            <w:tcW w:w="7513" w:type="dxa"/>
          </w:tcPr>
          <w:p w14:paraId="5D615CAD" w14:textId="77777777" w:rsidR="00EC4FB8" w:rsidRDefault="00EC4FB8" w:rsidP="008C1763">
            <w:pPr>
              <w:numPr>
                <w:ilvl w:val="0"/>
                <w:numId w:val="1"/>
              </w:numPr>
              <w:spacing w:after="160" w:line="259" w:lineRule="auto"/>
              <w:rPr>
                <w:rFonts w:asciiTheme="majorHAnsi" w:hAnsiTheme="majorHAnsi" w:cstheme="majorHAnsi"/>
                <w:sz w:val="20"/>
              </w:rPr>
            </w:pPr>
            <w:r>
              <w:rPr>
                <w:rFonts w:asciiTheme="majorHAnsi" w:hAnsiTheme="majorHAnsi" w:cstheme="majorHAnsi"/>
                <w:sz w:val="20"/>
              </w:rPr>
              <w:t>Define nuevos formatos de organización pedagógico-curricular para la Escuela Secundaria.</w:t>
            </w:r>
          </w:p>
        </w:tc>
      </w:tr>
      <w:tr w:rsidR="00EC4FB8" w:rsidRPr="007C234E" w14:paraId="1B515972" w14:textId="77777777" w:rsidTr="006E00BF">
        <w:tc>
          <w:tcPr>
            <w:tcW w:w="2410" w:type="dxa"/>
          </w:tcPr>
          <w:p w14:paraId="10041B5B" w14:textId="77777777" w:rsidR="00EC4FB8" w:rsidRDefault="00EC4FB8" w:rsidP="008C1763">
            <w:pPr>
              <w:spacing w:after="160" w:line="259" w:lineRule="auto"/>
              <w:rPr>
                <w:rFonts w:asciiTheme="majorHAnsi" w:hAnsiTheme="majorHAnsi" w:cstheme="majorHAnsi"/>
                <w:sz w:val="20"/>
              </w:rPr>
            </w:pPr>
            <w:r>
              <w:rPr>
                <w:rFonts w:asciiTheme="majorHAnsi" w:hAnsiTheme="majorHAnsi" w:cstheme="majorHAnsi"/>
                <w:sz w:val="20"/>
              </w:rPr>
              <w:lastRenderedPageBreak/>
              <w:t>Resolución Ministerial 1222/5 (</w:t>
            </w:r>
            <w:proofErr w:type="spellStart"/>
            <w:r>
              <w:rPr>
                <w:rFonts w:asciiTheme="majorHAnsi" w:hAnsiTheme="majorHAnsi" w:cstheme="majorHAnsi"/>
                <w:sz w:val="20"/>
              </w:rPr>
              <w:t>MEd</w:t>
            </w:r>
            <w:proofErr w:type="spellEnd"/>
            <w:r>
              <w:rPr>
                <w:rFonts w:asciiTheme="majorHAnsi" w:hAnsiTheme="majorHAnsi" w:cstheme="majorHAnsi"/>
                <w:sz w:val="20"/>
              </w:rPr>
              <w:t>)-11</w:t>
            </w:r>
          </w:p>
        </w:tc>
        <w:tc>
          <w:tcPr>
            <w:tcW w:w="7513" w:type="dxa"/>
          </w:tcPr>
          <w:p w14:paraId="089A1CD9" w14:textId="77777777" w:rsidR="00EC4FB8" w:rsidRDefault="00EC4FB8" w:rsidP="008C1763">
            <w:pPr>
              <w:numPr>
                <w:ilvl w:val="0"/>
                <w:numId w:val="1"/>
              </w:numPr>
              <w:spacing w:after="160" w:line="259" w:lineRule="auto"/>
              <w:rPr>
                <w:rFonts w:asciiTheme="majorHAnsi" w:hAnsiTheme="majorHAnsi" w:cstheme="majorHAnsi"/>
                <w:sz w:val="20"/>
              </w:rPr>
            </w:pPr>
            <w:r>
              <w:rPr>
                <w:rFonts w:asciiTheme="majorHAnsi" w:hAnsiTheme="majorHAnsi" w:cstheme="majorHAnsi"/>
                <w:sz w:val="20"/>
              </w:rPr>
              <w:t>Dispone la implementación del Régimen Académico de la Educación Secundaria y sus modalidades en la Provincia de Tucumán.</w:t>
            </w:r>
          </w:p>
        </w:tc>
      </w:tr>
      <w:tr w:rsidR="00EC4FB8" w:rsidRPr="007C234E" w14:paraId="78057BBD" w14:textId="77777777" w:rsidTr="006E00BF">
        <w:tc>
          <w:tcPr>
            <w:tcW w:w="2410" w:type="dxa"/>
          </w:tcPr>
          <w:p w14:paraId="1AE12F20" w14:textId="77777777" w:rsidR="00EC4FB8" w:rsidRDefault="00EC4FB8" w:rsidP="008C1763">
            <w:pPr>
              <w:spacing w:after="160" w:line="259" w:lineRule="auto"/>
              <w:rPr>
                <w:rFonts w:asciiTheme="majorHAnsi" w:hAnsiTheme="majorHAnsi" w:cstheme="majorHAnsi"/>
                <w:sz w:val="20"/>
              </w:rPr>
            </w:pPr>
            <w:r>
              <w:rPr>
                <w:rFonts w:asciiTheme="majorHAnsi" w:hAnsiTheme="majorHAnsi" w:cstheme="majorHAnsi"/>
                <w:sz w:val="20"/>
              </w:rPr>
              <w:t>Resolución Ministerial 1224/5 (</w:t>
            </w:r>
            <w:proofErr w:type="spellStart"/>
            <w:r>
              <w:rPr>
                <w:rFonts w:asciiTheme="majorHAnsi" w:hAnsiTheme="majorHAnsi" w:cstheme="majorHAnsi"/>
                <w:sz w:val="20"/>
              </w:rPr>
              <w:t>MEd</w:t>
            </w:r>
            <w:proofErr w:type="spellEnd"/>
            <w:r>
              <w:rPr>
                <w:rFonts w:asciiTheme="majorHAnsi" w:hAnsiTheme="majorHAnsi" w:cstheme="majorHAnsi"/>
                <w:sz w:val="20"/>
              </w:rPr>
              <w:t>)-11</w:t>
            </w:r>
          </w:p>
        </w:tc>
        <w:tc>
          <w:tcPr>
            <w:tcW w:w="7513" w:type="dxa"/>
          </w:tcPr>
          <w:p w14:paraId="4BD9A7C1" w14:textId="77777777" w:rsidR="00EC4FB8" w:rsidRDefault="00EC4FB8" w:rsidP="008C1763">
            <w:pPr>
              <w:numPr>
                <w:ilvl w:val="0"/>
                <w:numId w:val="1"/>
              </w:numPr>
              <w:spacing w:after="160" w:line="259" w:lineRule="auto"/>
              <w:rPr>
                <w:rFonts w:asciiTheme="majorHAnsi" w:hAnsiTheme="majorHAnsi" w:cstheme="majorHAnsi"/>
                <w:sz w:val="20"/>
              </w:rPr>
            </w:pPr>
            <w:r>
              <w:rPr>
                <w:rFonts w:asciiTheme="majorHAnsi" w:hAnsiTheme="majorHAnsi" w:cstheme="majorHAnsi"/>
                <w:sz w:val="20"/>
              </w:rPr>
              <w:t>Aprueba el Marco Normativo para el ingreso, permanencia, movilidad, egreso y los procesos de evaluación, calificación, acreditación y promoción de los estudiantes de Educación Secundaria.</w:t>
            </w:r>
          </w:p>
        </w:tc>
      </w:tr>
      <w:tr w:rsidR="00EC4FB8" w:rsidRPr="007C234E" w14:paraId="5CBDAAD1" w14:textId="77777777" w:rsidTr="006E00BF">
        <w:tc>
          <w:tcPr>
            <w:tcW w:w="2410" w:type="dxa"/>
          </w:tcPr>
          <w:p w14:paraId="0568FFB2" w14:textId="77777777" w:rsidR="00EC4FB8" w:rsidRDefault="00EC4FB8" w:rsidP="008C1763">
            <w:pPr>
              <w:spacing w:after="160" w:line="259" w:lineRule="auto"/>
              <w:rPr>
                <w:rFonts w:asciiTheme="majorHAnsi" w:hAnsiTheme="majorHAnsi" w:cstheme="majorHAnsi"/>
                <w:sz w:val="20"/>
              </w:rPr>
            </w:pPr>
            <w:r>
              <w:rPr>
                <w:rFonts w:asciiTheme="majorHAnsi" w:hAnsiTheme="majorHAnsi" w:cstheme="majorHAnsi"/>
                <w:sz w:val="20"/>
              </w:rPr>
              <w:t>Resolución Ministerial 0081/5 (</w:t>
            </w:r>
            <w:proofErr w:type="spellStart"/>
            <w:r>
              <w:rPr>
                <w:rFonts w:asciiTheme="majorHAnsi" w:hAnsiTheme="majorHAnsi" w:cstheme="majorHAnsi"/>
                <w:sz w:val="20"/>
              </w:rPr>
              <w:t>MEd</w:t>
            </w:r>
            <w:proofErr w:type="spellEnd"/>
            <w:r>
              <w:rPr>
                <w:rFonts w:asciiTheme="majorHAnsi" w:hAnsiTheme="majorHAnsi" w:cstheme="majorHAnsi"/>
                <w:sz w:val="20"/>
              </w:rPr>
              <w:t>)-18</w:t>
            </w:r>
          </w:p>
        </w:tc>
        <w:tc>
          <w:tcPr>
            <w:tcW w:w="7513" w:type="dxa"/>
          </w:tcPr>
          <w:p w14:paraId="2825F0DC" w14:textId="77777777" w:rsidR="00EC4FB8" w:rsidRDefault="00EC4FB8" w:rsidP="008C1763">
            <w:pPr>
              <w:numPr>
                <w:ilvl w:val="0"/>
                <w:numId w:val="1"/>
              </w:numPr>
              <w:spacing w:after="160" w:line="259" w:lineRule="auto"/>
              <w:rPr>
                <w:rFonts w:asciiTheme="majorHAnsi" w:hAnsiTheme="majorHAnsi" w:cstheme="majorHAnsi"/>
                <w:sz w:val="20"/>
              </w:rPr>
            </w:pPr>
            <w:r>
              <w:rPr>
                <w:rFonts w:asciiTheme="majorHAnsi" w:hAnsiTheme="majorHAnsi" w:cstheme="majorHAnsi"/>
                <w:sz w:val="20"/>
              </w:rPr>
              <w:t>Aprueba proyecto “PLaNEA-Nueva Escuela para Adolescentes” y autoriza su implementación a partir del periodo lectivo 2018.</w:t>
            </w:r>
          </w:p>
          <w:p w14:paraId="5295ED4E" w14:textId="77777777" w:rsidR="00EC4FB8" w:rsidRDefault="00EC4FB8" w:rsidP="008C1763">
            <w:pPr>
              <w:numPr>
                <w:ilvl w:val="0"/>
                <w:numId w:val="1"/>
              </w:numPr>
              <w:spacing w:after="160" w:line="259" w:lineRule="auto"/>
              <w:rPr>
                <w:rFonts w:asciiTheme="majorHAnsi" w:hAnsiTheme="majorHAnsi" w:cstheme="majorHAnsi"/>
                <w:sz w:val="20"/>
              </w:rPr>
            </w:pPr>
            <w:r>
              <w:rPr>
                <w:rFonts w:asciiTheme="majorHAnsi" w:hAnsiTheme="majorHAnsi" w:cstheme="majorHAnsi"/>
                <w:sz w:val="20"/>
              </w:rPr>
              <w:t>Presenta cronograma de implementación, escuelas involucradas en el programa y nuevos espacios creados en el marco de este.</w:t>
            </w:r>
          </w:p>
        </w:tc>
      </w:tr>
      <w:tr w:rsidR="00EC4FB8" w:rsidRPr="007C234E" w14:paraId="37DB883D" w14:textId="77777777" w:rsidTr="006E00BF">
        <w:tc>
          <w:tcPr>
            <w:tcW w:w="2410" w:type="dxa"/>
          </w:tcPr>
          <w:p w14:paraId="734EF9D3" w14:textId="77777777" w:rsidR="00EC4FB8" w:rsidRDefault="00EC4FB8" w:rsidP="008C1763">
            <w:pPr>
              <w:spacing w:after="160" w:line="259" w:lineRule="auto"/>
              <w:rPr>
                <w:rFonts w:asciiTheme="majorHAnsi" w:hAnsiTheme="majorHAnsi" w:cstheme="majorHAnsi"/>
                <w:sz w:val="20"/>
              </w:rPr>
            </w:pPr>
            <w:r>
              <w:rPr>
                <w:rFonts w:asciiTheme="majorHAnsi" w:hAnsiTheme="majorHAnsi" w:cstheme="majorHAnsi"/>
                <w:sz w:val="20"/>
              </w:rPr>
              <w:t>Resolución Ministerial 1465/5 (</w:t>
            </w:r>
            <w:proofErr w:type="spellStart"/>
            <w:r>
              <w:rPr>
                <w:rFonts w:asciiTheme="majorHAnsi" w:hAnsiTheme="majorHAnsi" w:cstheme="majorHAnsi"/>
                <w:sz w:val="20"/>
              </w:rPr>
              <w:t>MEd</w:t>
            </w:r>
            <w:proofErr w:type="spellEnd"/>
            <w:r>
              <w:rPr>
                <w:rFonts w:asciiTheme="majorHAnsi" w:hAnsiTheme="majorHAnsi" w:cstheme="majorHAnsi"/>
                <w:sz w:val="20"/>
              </w:rPr>
              <w:t>)-18</w:t>
            </w:r>
          </w:p>
        </w:tc>
        <w:tc>
          <w:tcPr>
            <w:tcW w:w="7513" w:type="dxa"/>
          </w:tcPr>
          <w:p w14:paraId="37D3150E" w14:textId="77777777" w:rsidR="00EC4FB8" w:rsidRDefault="00EC4FB8" w:rsidP="008C1763">
            <w:pPr>
              <w:numPr>
                <w:ilvl w:val="0"/>
                <w:numId w:val="1"/>
              </w:numPr>
              <w:spacing w:after="160" w:line="259" w:lineRule="auto"/>
              <w:rPr>
                <w:rFonts w:asciiTheme="majorHAnsi" w:hAnsiTheme="majorHAnsi" w:cstheme="majorHAnsi"/>
                <w:sz w:val="20"/>
              </w:rPr>
            </w:pPr>
            <w:r>
              <w:rPr>
                <w:rFonts w:asciiTheme="majorHAnsi" w:hAnsiTheme="majorHAnsi" w:cstheme="majorHAnsi"/>
                <w:sz w:val="20"/>
              </w:rPr>
              <w:t>Aprueba proyecto de actualización “PLaNEA-Nueva Escuela para Adolescentes”</w:t>
            </w:r>
          </w:p>
        </w:tc>
      </w:tr>
    </w:tbl>
    <w:p w14:paraId="7C0650F1" w14:textId="0BBEE00D" w:rsidR="00EC4FB8" w:rsidRPr="006E00BF" w:rsidRDefault="006E00BF">
      <w:pPr>
        <w:rPr>
          <w:rFonts w:asciiTheme="majorHAnsi" w:hAnsiTheme="majorHAnsi" w:cstheme="majorHAnsi"/>
          <w:sz w:val="18"/>
          <w:szCs w:val="18"/>
          <w:lang w:val="es-MX"/>
        </w:rPr>
      </w:pPr>
      <w:r w:rsidRPr="006E00BF">
        <w:rPr>
          <w:rFonts w:asciiTheme="majorHAnsi" w:hAnsiTheme="majorHAnsi" w:cstheme="majorHAnsi"/>
          <w:sz w:val="18"/>
          <w:szCs w:val="18"/>
          <w:lang w:val="es-MX"/>
        </w:rPr>
        <w:t>Fuente: Elaboración propia</w:t>
      </w:r>
    </w:p>
    <w:p w14:paraId="63CA1E04" w14:textId="77777777" w:rsidR="006E00BF" w:rsidRDefault="006E00BF" w:rsidP="006E00BF">
      <w:pPr>
        <w:rPr>
          <w:b/>
          <w:lang w:val="es-MX"/>
        </w:rPr>
      </w:pPr>
      <w:bookmarkStart w:id="0" w:name="_Toc132643810"/>
      <w:bookmarkStart w:id="1" w:name="_Hlk141263503"/>
    </w:p>
    <w:p w14:paraId="64DDACCE" w14:textId="46E1E990" w:rsidR="006E00BF" w:rsidRPr="006E00BF" w:rsidRDefault="006E00BF" w:rsidP="006E00BF">
      <w:pPr>
        <w:ind w:left="-426"/>
        <w:rPr>
          <w:b/>
          <w:lang w:val="es-MX"/>
        </w:rPr>
      </w:pPr>
      <w:r w:rsidRPr="006E00BF">
        <w:rPr>
          <w:b/>
          <w:lang w:val="es-MX"/>
        </w:rPr>
        <w:t>Documentación revisada para criterios de Pertinencia, Eficacia, Eficiencia, Sostenibilidad y Coherencia.</w:t>
      </w:r>
      <w:bookmarkEnd w:id="0"/>
      <w:bookmarkEnd w:id="1"/>
    </w:p>
    <w:tbl>
      <w:tblPr>
        <w:tblStyle w:val="Tablaconcuadrcula"/>
        <w:tblW w:w="9922" w:type="dxa"/>
        <w:tblInd w:w="-572" w:type="dxa"/>
        <w:tblLook w:val="04A0" w:firstRow="1" w:lastRow="0" w:firstColumn="1" w:lastColumn="0" w:noHBand="0" w:noVBand="1"/>
      </w:tblPr>
      <w:tblGrid>
        <w:gridCol w:w="3828"/>
        <w:gridCol w:w="6094"/>
      </w:tblGrid>
      <w:tr w:rsidR="006E00BF" w:rsidRPr="006E00BF" w14:paraId="6446CDCE" w14:textId="77777777" w:rsidTr="006E00BF">
        <w:trPr>
          <w:trHeight w:val="3609"/>
        </w:trPr>
        <w:tc>
          <w:tcPr>
            <w:tcW w:w="3828" w:type="dxa"/>
            <w:shd w:val="clear" w:color="auto" w:fill="9CC2E5"/>
          </w:tcPr>
          <w:p w14:paraId="2A6588B6" w14:textId="77777777" w:rsidR="006E00BF" w:rsidRPr="006E00BF" w:rsidRDefault="006E00BF" w:rsidP="006E00BF">
            <w:pPr>
              <w:rPr>
                <w:rFonts w:asciiTheme="majorHAnsi" w:eastAsia="Times New Roman" w:hAnsiTheme="majorHAnsi" w:cstheme="majorHAnsi"/>
                <w:b/>
                <w:sz w:val="22"/>
                <w:szCs w:val="22"/>
                <w:lang w:eastAsia="es-MX"/>
              </w:rPr>
            </w:pPr>
            <w:r w:rsidRPr="006E00BF">
              <w:rPr>
                <w:rFonts w:asciiTheme="majorHAnsi" w:eastAsia="Times New Roman" w:hAnsiTheme="majorHAnsi" w:cstheme="majorHAnsi"/>
                <w:b/>
                <w:sz w:val="22"/>
                <w:szCs w:val="22"/>
                <w:lang w:eastAsia="es-MX"/>
              </w:rPr>
              <w:t>Normativas y documentos ministeriales/</w:t>
            </w:r>
          </w:p>
          <w:p w14:paraId="143A86D6" w14:textId="77777777" w:rsidR="006E00BF" w:rsidRPr="006E00BF" w:rsidRDefault="006E00BF" w:rsidP="006E00BF">
            <w:pPr>
              <w:ind w:left="33"/>
              <w:rPr>
                <w:rFonts w:asciiTheme="majorHAnsi" w:eastAsia="Times New Roman" w:hAnsiTheme="majorHAnsi" w:cstheme="majorHAnsi"/>
                <w:sz w:val="22"/>
                <w:szCs w:val="22"/>
                <w:lang w:eastAsia="es-MX"/>
              </w:rPr>
            </w:pPr>
            <w:r w:rsidRPr="006E00BF">
              <w:rPr>
                <w:rFonts w:asciiTheme="majorHAnsi" w:eastAsia="Times New Roman" w:hAnsiTheme="majorHAnsi" w:cstheme="majorHAnsi"/>
                <w:b/>
                <w:sz w:val="22"/>
                <w:szCs w:val="22"/>
                <w:lang w:eastAsia="es-MX"/>
              </w:rPr>
              <w:t>institucionales</w:t>
            </w:r>
          </w:p>
        </w:tc>
        <w:tc>
          <w:tcPr>
            <w:tcW w:w="6094" w:type="dxa"/>
          </w:tcPr>
          <w:p w14:paraId="2453759E" w14:textId="77777777" w:rsidR="006E00BF" w:rsidRPr="006E00BF" w:rsidRDefault="006E00BF" w:rsidP="006E00BF">
            <w:pPr>
              <w:numPr>
                <w:ilvl w:val="0"/>
                <w:numId w:val="2"/>
              </w:numPr>
              <w:spacing w:after="0"/>
              <w:contextualSpacing/>
              <w:rPr>
                <w:rFonts w:asciiTheme="majorHAnsi" w:eastAsia="Times New Roman" w:hAnsiTheme="majorHAnsi" w:cstheme="majorHAnsi"/>
                <w:sz w:val="22"/>
                <w:szCs w:val="22"/>
                <w:lang w:eastAsia="es-MX"/>
              </w:rPr>
            </w:pPr>
            <w:r w:rsidRPr="006E00BF">
              <w:rPr>
                <w:rFonts w:asciiTheme="majorHAnsi" w:eastAsia="Times New Roman" w:hAnsiTheme="majorHAnsi" w:cstheme="majorHAnsi"/>
                <w:sz w:val="22"/>
                <w:szCs w:val="22"/>
                <w:lang w:eastAsia="es-MX"/>
              </w:rPr>
              <w:t>Resolución Ministerial 0081/5 2018.</w:t>
            </w:r>
          </w:p>
          <w:p w14:paraId="30D3F8E1" w14:textId="77777777" w:rsidR="006E00BF" w:rsidRPr="006E00BF" w:rsidRDefault="006E00BF" w:rsidP="006E00BF">
            <w:pPr>
              <w:numPr>
                <w:ilvl w:val="0"/>
                <w:numId w:val="2"/>
              </w:numPr>
              <w:spacing w:after="0"/>
              <w:contextualSpacing/>
              <w:rPr>
                <w:rFonts w:asciiTheme="majorHAnsi" w:eastAsia="Times New Roman" w:hAnsiTheme="majorHAnsi" w:cstheme="majorHAnsi"/>
                <w:sz w:val="22"/>
                <w:szCs w:val="22"/>
                <w:lang w:eastAsia="es-MX"/>
              </w:rPr>
            </w:pPr>
            <w:r w:rsidRPr="006E00BF">
              <w:rPr>
                <w:rFonts w:asciiTheme="majorHAnsi" w:eastAsia="Times New Roman" w:hAnsiTheme="majorHAnsi" w:cstheme="majorHAnsi"/>
                <w:sz w:val="22"/>
                <w:szCs w:val="22"/>
                <w:lang w:eastAsia="es-MX"/>
              </w:rPr>
              <w:t>Resolución Ministerial 1465/5 2018.</w:t>
            </w:r>
          </w:p>
          <w:p w14:paraId="4EFF9858" w14:textId="77777777" w:rsidR="006E00BF" w:rsidRPr="006E00BF" w:rsidRDefault="006E00BF" w:rsidP="006E00BF">
            <w:pPr>
              <w:numPr>
                <w:ilvl w:val="0"/>
                <w:numId w:val="2"/>
              </w:numPr>
              <w:spacing w:after="0"/>
              <w:contextualSpacing/>
              <w:rPr>
                <w:rFonts w:asciiTheme="majorHAnsi" w:eastAsia="Times New Roman" w:hAnsiTheme="majorHAnsi" w:cstheme="majorHAnsi"/>
                <w:sz w:val="22"/>
                <w:szCs w:val="22"/>
                <w:lang w:eastAsia="es-MX"/>
              </w:rPr>
            </w:pPr>
            <w:r w:rsidRPr="006E00BF">
              <w:rPr>
                <w:rFonts w:asciiTheme="majorHAnsi" w:eastAsia="Times New Roman" w:hAnsiTheme="majorHAnsi" w:cstheme="majorHAnsi"/>
                <w:sz w:val="22"/>
                <w:szCs w:val="22"/>
                <w:lang w:eastAsia="es-MX"/>
              </w:rPr>
              <w:t>“Carta de Entendimiento entre el Fondo de las Naciones Unidas para la Infancia (UNICEF) y el Ministerio de Educación de Tucumán”</w:t>
            </w:r>
          </w:p>
          <w:p w14:paraId="3E84422F" w14:textId="77777777" w:rsidR="006E00BF" w:rsidRPr="006E00BF" w:rsidRDefault="006E00BF" w:rsidP="006E00BF">
            <w:pPr>
              <w:numPr>
                <w:ilvl w:val="0"/>
                <w:numId w:val="2"/>
              </w:numPr>
              <w:spacing w:after="0"/>
              <w:contextualSpacing/>
              <w:rPr>
                <w:rFonts w:asciiTheme="majorHAnsi" w:eastAsia="Times New Roman" w:hAnsiTheme="majorHAnsi" w:cstheme="majorHAnsi"/>
                <w:sz w:val="22"/>
                <w:szCs w:val="22"/>
                <w:lang w:eastAsia="es-MX"/>
              </w:rPr>
            </w:pPr>
            <w:r w:rsidRPr="006E00BF">
              <w:rPr>
                <w:rFonts w:asciiTheme="majorHAnsi" w:eastAsia="Times New Roman" w:hAnsiTheme="majorHAnsi" w:cstheme="majorHAnsi"/>
                <w:sz w:val="22"/>
                <w:szCs w:val="22"/>
                <w:lang w:eastAsia="es-MX"/>
              </w:rPr>
              <w:t>“Anexo 1. Tipo de cooperación propuesta UNICEF-Ministerio de Educación de Tucumán.” Periodo 2019</w:t>
            </w:r>
          </w:p>
          <w:p w14:paraId="72EBD339" w14:textId="77777777" w:rsidR="006E00BF" w:rsidRPr="006E00BF" w:rsidRDefault="006E00BF" w:rsidP="006E00BF">
            <w:pPr>
              <w:numPr>
                <w:ilvl w:val="0"/>
                <w:numId w:val="2"/>
              </w:numPr>
              <w:spacing w:after="0"/>
              <w:contextualSpacing/>
              <w:rPr>
                <w:rFonts w:asciiTheme="majorHAnsi" w:eastAsia="Times New Roman" w:hAnsiTheme="majorHAnsi" w:cstheme="majorHAnsi"/>
                <w:sz w:val="22"/>
                <w:szCs w:val="22"/>
                <w:lang w:eastAsia="es-MX"/>
              </w:rPr>
            </w:pPr>
            <w:r w:rsidRPr="006E00BF">
              <w:rPr>
                <w:rFonts w:asciiTheme="majorHAnsi" w:eastAsia="Times New Roman" w:hAnsiTheme="majorHAnsi" w:cstheme="majorHAnsi"/>
                <w:sz w:val="22"/>
                <w:szCs w:val="22"/>
                <w:lang w:eastAsia="es-MX"/>
              </w:rPr>
              <w:t>“Anexo C. Documento de Programa PLaNEA.” Periodo 2019</w:t>
            </w:r>
          </w:p>
          <w:p w14:paraId="5C131CDA" w14:textId="77777777" w:rsidR="006E00BF" w:rsidRPr="006E00BF" w:rsidRDefault="006E00BF" w:rsidP="006E00BF">
            <w:pPr>
              <w:numPr>
                <w:ilvl w:val="0"/>
                <w:numId w:val="2"/>
              </w:numPr>
              <w:spacing w:after="0"/>
              <w:contextualSpacing/>
              <w:rPr>
                <w:rFonts w:asciiTheme="majorHAnsi" w:eastAsia="Times New Roman" w:hAnsiTheme="majorHAnsi" w:cstheme="majorHAnsi"/>
                <w:sz w:val="22"/>
                <w:szCs w:val="22"/>
                <w:lang w:eastAsia="es-MX"/>
              </w:rPr>
            </w:pPr>
            <w:r w:rsidRPr="006E00BF">
              <w:rPr>
                <w:rFonts w:asciiTheme="majorHAnsi" w:eastAsia="Times New Roman" w:hAnsiTheme="majorHAnsi" w:cstheme="majorHAnsi"/>
                <w:sz w:val="22"/>
                <w:szCs w:val="22"/>
                <w:lang w:eastAsia="es-MX"/>
              </w:rPr>
              <w:t>“Anexo I: Compromisos de la cooperación 2022/2023 PLaNEA, Nueva Escuela para Adolescentes.”</w:t>
            </w:r>
          </w:p>
        </w:tc>
      </w:tr>
      <w:tr w:rsidR="006E00BF" w:rsidRPr="006E00BF" w14:paraId="2B5EDD70" w14:textId="77777777" w:rsidTr="006E00BF">
        <w:trPr>
          <w:trHeight w:val="1118"/>
        </w:trPr>
        <w:tc>
          <w:tcPr>
            <w:tcW w:w="3828" w:type="dxa"/>
            <w:shd w:val="clear" w:color="auto" w:fill="9CC2E5"/>
          </w:tcPr>
          <w:p w14:paraId="0B524649" w14:textId="77777777" w:rsidR="006E00BF" w:rsidRPr="006E00BF" w:rsidRDefault="006E00BF" w:rsidP="006E00BF">
            <w:pPr>
              <w:rPr>
                <w:rFonts w:asciiTheme="majorHAnsi" w:eastAsia="Times New Roman" w:hAnsiTheme="majorHAnsi" w:cstheme="majorHAnsi"/>
                <w:sz w:val="22"/>
                <w:szCs w:val="22"/>
                <w:lang w:eastAsia="es-MX"/>
              </w:rPr>
            </w:pPr>
            <w:r w:rsidRPr="006E00BF">
              <w:rPr>
                <w:rFonts w:asciiTheme="majorHAnsi" w:eastAsia="Times New Roman" w:hAnsiTheme="majorHAnsi" w:cstheme="majorHAnsi"/>
                <w:b/>
                <w:sz w:val="22"/>
                <w:szCs w:val="22"/>
                <w:lang w:eastAsia="es-MX"/>
              </w:rPr>
              <w:t>Documentos referidos al contexto de la provincia y su sistema educativo</w:t>
            </w:r>
          </w:p>
        </w:tc>
        <w:tc>
          <w:tcPr>
            <w:tcW w:w="6094" w:type="dxa"/>
          </w:tcPr>
          <w:p w14:paraId="6E5F07F4" w14:textId="77777777" w:rsidR="006E00BF" w:rsidRPr="006E00BF" w:rsidRDefault="006E00BF" w:rsidP="006E00BF">
            <w:pPr>
              <w:numPr>
                <w:ilvl w:val="0"/>
                <w:numId w:val="6"/>
              </w:numPr>
              <w:spacing w:after="0"/>
              <w:contextualSpacing/>
              <w:rPr>
                <w:rFonts w:asciiTheme="majorHAnsi" w:eastAsia="Times New Roman" w:hAnsiTheme="majorHAnsi" w:cstheme="majorHAnsi"/>
                <w:sz w:val="22"/>
                <w:szCs w:val="22"/>
                <w:lang w:eastAsia="es-MX"/>
              </w:rPr>
            </w:pPr>
            <w:r w:rsidRPr="006E00BF">
              <w:rPr>
                <w:rFonts w:asciiTheme="majorHAnsi" w:eastAsia="Times New Roman" w:hAnsiTheme="majorHAnsi" w:cstheme="majorHAnsi"/>
                <w:sz w:val="22"/>
                <w:szCs w:val="22"/>
                <w:lang w:eastAsia="es-MX"/>
              </w:rPr>
              <w:t>“Abandono escolar y políticas de inclusión en Educación Secundaria” (UNESCO-PNUD, 2009)</w:t>
            </w:r>
          </w:p>
          <w:p w14:paraId="4EC106A3" w14:textId="77777777" w:rsidR="006E00BF" w:rsidRPr="006E00BF" w:rsidRDefault="006E00BF" w:rsidP="006E00BF">
            <w:pPr>
              <w:numPr>
                <w:ilvl w:val="0"/>
                <w:numId w:val="6"/>
              </w:numPr>
              <w:spacing w:after="0"/>
              <w:contextualSpacing/>
              <w:rPr>
                <w:rFonts w:asciiTheme="majorHAnsi" w:eastAsia="Times New Roman" w:hAnsiTheme="majorHAnsi" w:cstheme="majorHAnsi"/>
                <w:sz w:val="22"/>
                <w:szCs w:val="22"/>
                <w:lang w:eastAsia="es-MX"/>
              </w:rPr>
            </w:pPr>
            <w:r w:rsidRPr="006E00BF">
              <w:rPr>
                <w:rFonts w:asciiTheme="majorHAnsi" w:eastAsia="Times New Roman" w:hAnsiTheme="majorHAnsi" w:cstheme="majorHAnsi"/>
                <w:sz w:val="22"/>
                <w:szCs w:val="22"/>
                <w:lang w:eastAsia="es-MX"/>
              </w:rPr>
              <w:t>“Políticas provinciales para transformar la escuela Secundaria en la Argentina. Avances de una agenda clave para los adolescentes en el siglo XXI” (FLACSO-UNICEF, 2019)</w:t>
            </w:r>
          </w:p>
          <w:p w14:paraId="5E2883BD" w14:textId="77777777" w:rsidR="006E00BF" w:rsidRPr="006E00BF" w:rsidRDefault="006E00BF" w:rsidP="006E00BF">
            <w:pPr>
              <w:numPr>
                <w:ilvl w:val="0"/>
                <w:numId w:val="6"/>
              </w:numPr>
              <w:spacing w:after="0"/>
              <w:contextualSpacing/>
              <w:rPr>
                <w:rFonts w:asciiTheme="majorHAnsi" w:eastAsia="Times New Roman" w:hAnsiTheme="majorHAnsi" w:cstheme="majorHAnsi"/>
                <w:sz w:val="22"/>
                <w:szCs w:val="22"/>
                <w:lang w:eastAsia="es-MX"/>
              </w:rPr>
            </w:pPr>
            <w:r w:rsidRPr="006E00BF">
              <w:rPr>
                <w:rFonts w:asciiTheme="majorHAnsi" w:eastAsia="Times New Roman" w:hAnsiTheme="majorHAnsi" w:cstheme="majorHAnsi"/>
                <w:sz w:val="22"/>
                <w:szCs w:val="22"/>
                <w:lang w:eastAsia="es-MX"/>
              </w:rPr>
              <w:t>“APRENDER 2017: Informe de Resultados Tucumán. 6° año Secundaria”.</w:t>
            </w:r>
          </w:p>
          <w:p w14:paraId="5352D269" w14:textId="77777777" w:rsidR="006E00BF" w:rsidRPr="006E00BF" w:rsidRDefault="006E00BF" w:rsidP="006E00BF">
            <w:pPr>
              <w:numPr>
                <w:ilvl w:val="0"/>
                <w:numId w:val="6"/>
              </w:numPr>
              <w:spacing w:after="0"/>
              <w:contextualSpacing/>
              <w:rPr>
                <w:rFonts w:asciiTheme="majorHAnsi" w:eastAsia="Times New Roman" w:hAnsiTheme="majorHAnsi" w:cstheme="majorHAnsi"/>
                <w:sz w:val="22"/>
                <w:szCs w:val="22"/>
                <w:lang w:eastAsia="es-MX"/>
              </w:rPr>
            </w:pPr>
            <w:r w:rsidRPr="006E00BF">
              <w:rPr>
                <w:rFonts w:asciiTheme="majorHAnsi" w:eastAsia="Times New Roman" w:hAnsiTheme="majorHAnsi" w:cstheme="majorHAnsi"/>
                <w:sz w:val="22"/>
                <w:szCs w:val="22"/>
                <w:lang w:eastAsia="es-MX"/>
              </w:rPr>
              <w:t>“Maternidad y paternidad adolescente. El derecho a la Educación Secundaria”</w:t>
            </w:r>
          </w:p>
        </w:tc>
      </w:tr>
      <w:tr w:rsidR="006E00BF" w:rsidRPr="006E00BF" w14:paraId="710DD4C1" w14:textId="77777777" w:rsidTr="006E00BF">
        <w:trPr>
          <w:trHeight w:val="146"/>
        </w:trPr>
        <w:tc>
          <w:tcPr>
            <w:tcW w:w="3828" w:type="dxa"/>
            <w:shd w:val="clear" w:color="auto" w:fill="9CC2E5"/>
          </w:tcPr>
          <w:p w14:paraId="7161DC9D" w14:textId="77777777" w:rsidR="006E00BF" w:rsidRPr="006E00BF" w:rsidRDefault="006E00BF" w:rsidP="006E00BF">
            <w:pPr>
              <w:rPr>
                <w:rFonts w:asciiTheme="majorHAnsi" w:eastAsia="Times New Roman" w:hAnsiTheme="majorHAnsi" w:cstheme="majorHAnsi"/>
                <w:b/>
                <w:sz w:val="22"/>
                <w:szCs w:val="22"/>
                <w:lang w:eastAsia="es-MX"/>
              </w:rPr>
            </w:pPr>
            <w:r w:rsidRPr="006E00BF">
              <w:rPr>
                <w:rFonts w:asciiTheme="majorHAnsi" w:eastAsia="Times New Roman" w:hAnsiTheme="majorHAnsi" w:cstheme="majorHAnsi"/>
                <w:b/>
                <w:sz w:val="22"/>
                <w:szCs w:val="22"/>
                <w:lang w:eastAsia="es-MX"/>
              </w:rPr>
              <w:t>Documentos referidos a otros programas y políticas en la provincia de Tucumán</w:t>
            </w:r>
          </w:p>
        </w:tc>
        <w:tc>
          <w:tcPr>
            <w:tcW w:w="6094" w:type="dxa"/>
          </w:tcPr>
          <w:p w14:paraId="52596573" w14:textId="77777777" w:rsidR="006E00BF" w:rsidRPr="006E00BF" w:rsidRDefault="006E00BF" w:rsidP="006E00BF">
            <w:pPr>
              <w:numPr>
                <w:ilvl w:val="0"/>
                <w:numId w:val="6"/>
              </w:numPr>
              <w:spacing w:after="0"/>
              <w:contextualSpacing/>
              <w:rPr>
                <w:rFonts w:asciiTheme="majorHAnsi" w:eastAsia="Times New Roman" w:hAnsiTheme="majorHAnsi" w:cstheme="majorHAnsi"/>
                <w:sz w:val="22"/>
                <w:szCs w:val="22"/>
                <w:lang w:eastAsia="es-MX"/>
              </w:rPr>
            </w:pPr>
            <w:r w:rsidRPr="006E00BF">
              <w:rPr>
                <w:rFonts w:asciiTheme="majorHAnsi" w:eastAsia="Times New Roman" w:hAnsiTheme="majorHAnsi" w:cstheme="majorHAnsi"/>
                <w:sz w:val="22"/>
                <w:szCs w:val="22"/>
                <w:lang w:eastAsia="es-MX"/>
              </w:rPr>
              <w:t>“Secundarias rurales mediadas por tecnologías en Argentina. Innovación y derecho a la educación secundaria” (UNICEF, 2020)</w:t>
            </w:r>
          </w:p>
          <w:p w14:paraId="4A95D4B4" w14:textId="77777777" w:rsidR="006E00BF" w:rsidRPr="006E00BF" w:rsidRDefault="006E00BF" w:rsidP="006E00BF">
            <w:pPr>
              <w:numPr>
                <w:ilvl w:val="0"/>
                <w:numId w:val="6"/>
              </w:numPr>
              <w:spacing w:after="0"/>
              <w:contextualSpacing/>
              <w:rPr>
                <w:rFonts w:asciiTheme="majorHAnsi" w:eastAsia="Times New Roman" w:hAnsiTheme="majorHAnsi" w:cstheme="majorHAnsi"/>
                <w:sz w:val="22"/>
                <w:szCs w:val="22"/>
                <w:lang w:eastAsia="es-MX"/>
              </w:rPr>
            </w:pPr>
            <w:r w:rsidRPr="006E00BF">
              <w:rPr>
                <w:rFonts w:asciiTheme="majorHAnsi" w:eastAsia="Times New Roman" w:hAnsiTheme="majorHAnsi" w:cstheme="majorHAnsi"/>
                <w:sz w:val="22"/>
                <w:szCs w:val="22"/>
                <w:lang w:eastAsia="es-MX"/>
              </w:rPr>
              <w:t>“Guía de implementación. Todos a la escuela. Secundarias en articulación con salas maternales” (UNICEF, 2019)</w:t>
            </w:r>
          </w:p>
        </w:tc>
      </w:tr>
      <w:tr w:rsidR="006E00BF" w:rsidRPr="006E00BF" w14:paraId="24733AEB" w14:textId="77777777" w:rsidTr="006E00BF">
        <w:trPr>
          <w:trHeight w:val="146"/>
        </w:trPr>
        <w:tc>
          <w:tcPr>
            <w:tcW w:w="3828" w:type="dxa"/>
            <w:shd w:val="clear" w:color="auto" w:fill="9CC2E5"/>
          </w:tcPr>
          <w:p w14:paraId="3AA7E860" w14:textId="77777777" w:rsidR="006E00BF" w:rsidRPr="006E00BF" w:rsidRDefault="006E00BF" w:rsidP="006E00BF">
            <w:pPr>
              <w:rPr>
                <w:rFonts w:asciiTheme="majorHAnsi" w:eastAsia="Times New Roman" w:hAnsiTheme="majorHAnsi" w:cstheme="majorHAnsi"/>
                <w:sz w:val="22"/>
                <w:szCs w:val="22"/>
                <w:lang w:eastAsia="es-MX"/>
              </w:rPr>
            </w:pPr>
            <w:r w:rsidRPr="006E00BF">
              <w:rPr>
                <w:rFonts w:asciiTheme="majorHAnsi" w:eastAsia="Times New Roman" w:hAnsiTheme="majorHAnsi" w:cstheme="majorHAnsi"/>
                <w:b/>
                <w:sz w:val="22"/>
                <w:szCs w:val="22"/>
                <w:lang w:eastAsia="es-MX"/>
              </w:rPr>
              <w:lastRenderedPageBreak/>
              <w:t>Documentos sobre diseño del programa</w:t>
            </w:r>
          </w:p>
        </w:tc>
        <w:tc>
          <w:tcPr>
            <w:tcW w:w="6094" w:type="dxa"/>
          </w:tcPr>
          <w:p w14:paraId="568A72E1" w14:textId="77777777" w:rsidR="006E00BF" w:rsidRPr="006E00BF" w:rsidRDefault="006E00BF" w:rsidP="006E00BF">
            <w:pPr>
              <w:numPr>
                <w:ilvl w:val="0"/>
                <w:numId w:val="3"/>
              </w:numPr>
              <w:spacing w:after="0"/>
              <w:contextualSpacing/>
              <w:rPr>
                <w:rFonts w:asciiTheme="majorHAnsi" w:eastAsia="Times New Roman" w:hAnsiTheme="majorHAnsi" w:cstheme="majorHAnsi"/>
                <w:sz w:val="22"/>
                <w:szCs w:val="22"/>
                <w:lang w:eastAsia="es-MX"/>
              </w:rPr>
            </w:pPr>
            <w:r w:rsidRPr="006E00BF">
              <w:rPr>
                <w:rFonts w:asciiTheme="majorHAnsi" w:eastAsia="Times New Roman" w:hAnsiTheme="majorHAnsi" w:cstheme="majorHAnsi"/>
                <w:sz w:val="22"/>
                <w:szCs w:val="22"/>
                <w:lang w:eastAsia="es-MX"/>
              </w:rPr>
              <w:t>“PLaNEA: Diseño y fundamentos de una Nueva Escuela para Adolescentes.”</w:t>
            </w:r>
          </w:p>
          <w:p w14:paraId="186610EF" w14:textId="77777777" w:rsidR="006E00BF" w:rsidRPr="006E00BF" w:rsidRDefault="006E00BF" w:rsidP="006E00BF">
            <w:pPr>
              <w:numPr>
                <w:ilvl w:val="0"/>
                <w:numId w:val="3"/>
              </w:numPr>
              <w:spacing w:after="0"/>
              <w:contextualSpacing/>
              <w:rPr>
                <w:rFonts w:asciiTheme="majorHAnsi" w:eastAsia="Times New Roman" w:hAnsiTheme="majorHAnsi" w:cstheme="majorHAnsi"/>
                <w:sz w:val="22"/>
                <w:szCs w:val="22"/>
                <w:lang w:eastAsia="es-MX"/>
              </w:rPr>
            </w:pPr>
            <w:r w:rsidRPr="006E00BF">
              <w:rPr>
                <w:rFonts w:asciiTheme="majorHAnsi" w:eastAsia="Times New Roman" w:hAnsiTheme="majorHAnsi" w:cstheme="majorHAnsi"/>
                <w:sz w:val="22"/>
                <w:szCs w:val="22"/>
                <w:lang w:eastAsia="es-MX"/>
              </w:rPr>
              <w:t>“Teoría para el Cambio PLaNEA.”</w:t>
            </w:r>
          </w:p>
          <w:p w14:paraId="1EA46995" w14:textId="77777777" w:rsidR="006E00BF" w:rsidRPr="006E00BF" w:rsidRDefault="006E00BF" w:rsidP="006E00BF">
            <w:pPr>
              <w:numPr>
                <w:ilvl w:val="0"/>
                <w:numId w:val="3"/>
              </w:numPr>
              <w:spacing w:after="0"/>
              <w:contextualSpacing/>
              <w:rPr>
                <w:rFonts w:asciiTheme="majorHAnsi" w:eastAsia="Times New Roman" w:hAnsiTheme="majorHAnsi" w:cstheme="majorHAnsi"/>
                <w:sz w:val="22"/>
                <w:szCs w:val="22"/>
                <w:lang w:eastAsia="es-MX"/>
              </w:rPr>
            </w:pPr>
            <w:r w:rsidRPr="006E00BF">
              <w:rPr>
                <w:rFonts w:asciiTheme="majorHAnsi" w:eastAsia="Times New Roman" w:hAnsiTheme="majorHAnsi" w:cstheme="majorHAnsi"/>
                <w:sz w:val="22"/>
                <w:szCs w:val="22"/>
                <w:lang w:eastAsia="es-MX"/>
              </w:rPr>
              <w:t>“Hoja de Ruta PLaNEA. Orientaciones para 2021.”</w:t>
            </w:r>
          </w:p>
        </w:tc>
      </w:tr>
      <w:tr w:rsidR="006E00BF" w:rsidRPr="006E00BF" w14:paraId="7FBDB329" w14:textId="77777777" w:rsidTr="006E00BF">
        <w:trPr>
          <w:trHeight w:val="146"/>
        </w:trPr>
        <w:tc>
          <w:tcPr>
            <w:tcW w:w="3828" w:type="dxa"/>
            <w:shd w:val="clear" w:color="auto" w:fill="9CC2E5"/>
          </w:tcPr>
          <w:p w14:paraId="73A80F47" w14:textId="77777777" w:rsidR="006E00BF" w:rsidRPr="006E00BF" w:rsidRDefault="006E00BF" w:rsidP="006E00BF">
            <w:pPr>
              <w:rPr>
                <w:rFonts w:asciiTheme="majorHAnsi" w:eastAsia="Times New Roman" w:hAnsiTheme="majorHAnsi" w:cstheme="majorHAnsi"/>
                <w:sz w:val="22"/>
                <w:szCs w:val="22"/>
                <w:lang w:eastAsia="es-MX"/>
              </w:rPr>
            </w:pPr>
            <w:r w:rsidRPr="006E00BF">
              <w:rPr>
                <w:rFonts w:asciiTheme="majorHAnsi" w:eastAsia="Times New Roman" w:hAnsiTheme="majorHAnsi" w:cstheme="majorHAnsi"/>
                <w:b/>
                <w:sz w:val="22"/>
                <w:szCs w:val="22"/>
                <w:lang w:eastAsia="es-MX"/>
              </w:rPr>
              <w:t>Materiales generados por PLaNEA</w:t>
            </w:r>
          </w:p>
        </w:tc>
        <w:tc>
          <w:tcPr>
            <w:tcW w:w="6094" w:type="dxa"/>
          </w:tcPr>
          <w:p w14:paraId="115F02B1" w14:textId="77777777" w:rsidR="006E00BF" w:rsidRPr="006E00BF" w:rsidRDefault="006E00BF" w:rsidP="006E00BF">
            <w:pPr>
              <w:numPr>
                <w:ilvl w:val="0"/>
                <w:numId w:val="5"/>
              </w:numPr>
              <w:spacing w:after="0"/>
              <w:contextualSpacing/>
              <w:rPr>
                <w:rFonts w:asciiTheme="majorHAnsi" w:eastAsia="Times New Roman" w:hAnsiTheme="majorHAnsi" w:cstheme="majorHAnsi"/>
                <w:sz w:val="22"/>
                <w:szCs w:val="22"/>
                <w:lang w:eastAsia="es-MX"/>
              </w:rPr>
            </w:pPr>
            <w:r w:rsidRPr="006E00BF">
              <w:rPr>
                <w:rFonts w:asciiTheme="majorHAnsi" w:eastAsia="Times New Roman" w:hAnsiTheme="majorHAnsi" w:cstheme="majorHAnsi"/>
                <w:sz w:val="22"/>
                <w:szCs w:val="22"/>
                <w:lang w:eastAsia="es-MX"/>
              </w:rPr>
              <w:t>“Red de Conducción PLaNEA: Materiales y orientaciones para los equipos de gestión institucional.”</w:t>
            </w:r>
          </w:p>
          <w:p w14:paraId="04F7095C" w14:textId="77777777" w:rsidR="006E00BF" w:rsidRPr="006E00BF" w:rsidRDefault="006E00BF" w:rsidP="006E00BF">
            <w:pPr>
              <w:numPr>
                <w:ilvl w:val="0"/>
                <w:numId w:val="5"/>
              </w:numPr>
              <w:spacing w:after="0"/>
              <w:contextualSpacing/>
              <w:rPr>
                <w:rFonts w:asciiTheme="majorHAnsi" w:eastAsia="Times New Roman" w:hAnsiTheme="majorHAnsi" w:cstheme="majorHAnsi"/>
                <w:sz w:val="22"/>
                <w:szCs w:val="22"/>
                <w:lang w:eastAsia="es-MX"/>
              </w:rPr>
            </w:pPr>
            <w:r w:rsidRPr="006E00BF">
              <w:rPr>
                <w:rFonts w:asciiTheme="majorHAnsi" w:eastAsia="Times New Roman" w:hAnsiTheme="majorHAnsi" w:cstheme="majorHAnsi"/>
                <w:sz w:val="22"/>
                <w:szCs w:val="22"/>
                <w:lang w:eastAsia="es-MX"/>
              </w:rPr>
              <w:t>“El Aprendizaje Basado en Proyectos en PLaNEA. Enfoque general de la propuesta y orientaciones generales para el diseño colaborativo del proyecto.”</w:t>
            </w:r>
          </w:p>
          <w:p w14:paraId="142EC5B9" w14:textId="77777777" w:rsidR="006E00BF" w:rsidRPr="006E00BF" w:rsidRDefault="006E00BF" w:rsidP="006E00BF">
            <w:pPr>
              <w:numPr>
                <w:ilvl w:val="0"/>
                <w:numId w:val="5"/>
              </w:numPr>
              <w:spacing w:after="0"/>
              <w:contextualSpacing/>
              <w:rPr>
                <w:rFonts w:asciiTheme="majorHAnsi" w:eastAsia="Times New Roman" w:hAnsiTheme="majorHAnsi" w:cstheme="majorHAnsi"/>
                <w:sz w:val="22"/>
                <w:szCs w:val="22"/>
                <w:lang w:eastAsia="es-MX"/>
              </w:rPr>
            </w:pPr>
            <w:r w:rsidRPr="006E00BF">
              <w:rPr>
                <w:rFonts w:asciiTheme="majorHAnsi" w:eastAsia="Times New Roman" w:hAnsiTheme="majorHAnsi" w:cstheme="majorHAnsi"/>
                <w:sz w:val="22"/>
                <w:szCs w:val="22"/>
                <w:lang w:eastAsia="es-MX"/>
              </w:rPr>
              <w:t>Cuadernillos de Taller de Aprendizaje “Aprender a Aprender” para Primer Año.</w:t>
            </w:r>
          </w:p>
          <w:p w14:paraId="6163FFA1" w14:textId="77777777" w:rsidR="006E00BF" w:rsidRPr="006E00BF" w:rsidRDefault="006E00BF" w:rsidP="006E00BF">
            <w:pPr>
              <w:numPr>
                <w:ilvl w:val="0"/>
                <w:numId w:val="5"/>
              </w:numPr>
              <w:spacing w:after="0"/>
              <w:contextualSpacing/>
              <w:rPr>
                <w:rFonts w:asciiTheme="majorHAnsi" w:eastAsia="Times New Roman" w:hAnsiTheme="majorHAnsi" w:cstheme="majorHAnsi"/>
                <w:sz w:val="22"/>
                <w:szCs w:val="22"/>
                <w:lang w:eastAsia="es-MX"/>
              </w:rPr>
            </w:pPr>
            <w:r w:rsidRPr="006E00BF">
              <w:rPr>
                <w:rFonts w:asciiTheme="majorHAnsi" w:eastAsia="Times New Roman" w:hAnsiTheme="majorHAnsi" w:cstheme="majorHAnsi"/>
                <w:sz w:val="22"/>
                <w:szCs w:val="22"/>
                <w:lang w:eastAsia="es-MX"/>
              </w:rPr>
              <w:t>Cuadernillos de Taller de Aprendizaje “Aprender a Aprender” para Segundo Año.</w:t>
            </w:r>
          </w:p>
          <w:p w14:paraId="5452B0E2" w14:textId="77777777" w:rsidR="006E00BF" w:rsidRPr="006E00BF" w:rsidRDefault="006E00BF" w:rsidP="006E00BF">
            <w:pPr>
              <w:numPr>
                <w:ilvl w:val="0"/>
                <w:numId w:val="5"/>
              </w:numPr>
              <w:spacing w:after="0"/>
              <w:contextualSpacing/>
              <w:rPr>
                <w:rFonts w:asciiTheme="majorHAnsi" w:eastAsia="Times New Roman" w:hAnsiTheme="majorHAnsi" w:cstheme="majorHAnsi"/>
                <w:sz w:val="22"/>
                <w:szCs w:val="22"/>
                <w:lang w:eastAsia="es-MX"/>
              </w:rPr>
            </w:pPr>
            <w:r w:rsidRPr="006E00BF">
              <w:rPr>
                <w:rFonts w:asciiTheme="majorHAnsi" w:eastAsia="Times New Roman" w:hAnsiTheme="majorHAnsi" w:cstheme="majorHAnsi"/>
                <w:sz w:val="22"/>
                <w:szCs w:val="22"/>
                <w:lang w:eastAsia="es-MX"/>
              </w:rPr>
              <w:t>Cuadernillos de Taller de Aprendizaje “Aprender a Aprender” para Tercer año.</w:t>
            </w:r>
          </w:p>
          <w:p w14:paraId="0358AF70" w14:textId="77777777" w:rsidR="006E00BF" w:rsidRPr="006E00BF" w:rsidRDefault="006E00BF" w:rsidP="006E00BF">
            <w:pPr>
              <w:numPr>
                <w:ilvl w:val="0"/>
                <w:numId w:val="5"/>
              </w:numPr>
              <w:spacing w:after="0"/>
              <w:contextualSpacing/>
              <w:rPr>
                <w:rFonts w:asciiTheme="majorHAnsi" w:eastAsia="Times New Roman" w:hAnsiTheme="majorHAnsi" w:cstheme="majorHAnsi"/>
                <w:sz w:val="22"/>
                <w:szCs w:val="22"/>
                <w:lang w:eastAsia="es-MX"/>
              </w:rPr>
            </w:pPr>
            <w:r w:rsidRPr="006E00BF">
              <w:rPr>
                <w:rFonts w:asciiTheme="majorHAnsi" w:eastAsia="Times New Roman" w:hAnsiTheme="majorHAnsi" w:cstheme="majorHAnsi"/>
                <w:sz w:val="22"/>
                <w:szCs w:val="22"/>
                <w:lang w:eastAsia="es-MX"/>
              </w:rPr>
              <w:t>Cuadernillos de asignatura de Lengua para Ciclo Básico y Ciclo Orientado</w:t>
            </w:r>
          </w:p>
          <w:p w14:paraId="7C4F0D49" w14:textId="77777777" w:rsidR="006E00BF" w:rsidRPr="006E00BF" w:rsidRDefault="006E00BF" w:rsidP="006E00BF">
            <w:pPr>
              <w:numPr>
                <w:ilvl w:val="0"/>
                <w:numId w:val="5"/>
              </w:numPr>
              <w:spacing w:after="0"/>
              <w:contextualSpacing/>
              <w:rPr>
                <w:rFonts w:asciiTheme="majorHAnsi" w:eastAsia="Times New Roman" w:hAnsiTheme="majorHAnsi" w:cstheme="majorHAnsi"/>
                <w:sz w:val="22"/>
                <w:szCs w:val="22"/>
                <w:lang w:eastAsia="es-MX"/>
              </w:rPr>
            </w:pPr>
            <w:r w:rsidRPr="006E00BF">
              <w:rPr>
                <w:rFonts w:asciiTheme="majorHAnsi" w:eastAsia="Times New Roman" w:hAnsiTheme="majorHAnsi" w:cstheme="majorHAnsi"/>
                <w:sz w:val="22"/>
                <w:szCs w:val="22"/>
                <w:lang w:eastAsia="es-MX"/>
              </w:rPr>
              <w:t>Cuadernillos de asignatura de Matemáticas para Ciclo Básico y Ciclo Orientado.</w:t>
            </w:r>
          </w:p>
        </w:tc>
      </w:tr>
      <w:tr w:rsidR="006E00BF" w:rsidRPr="006E00BF" w14:paraId="3B99990D" w14:textId="77777777" w:rsidTr="006E00BF">
        <w:trPr>
          <w:trHeight w:val="1140"/>
        </w:trPr>
        <w:tc>
          <w:tcPr>
            <w:tcW w:w="3828" w:type="dxa"/>
            <w:shd w:val="clear" w:color="auto" w:fill="9CC2E5"/>
          </w:tcPr>
          <w:p w14:paraId="2B8F1FA9" w14:textId="77777777" w:rsidR="006E00BF" w:rsidRPr="006E00BF" w:rsidRDefault="006E00BF" w:rsidP="006E00BF">
            <w:pPr>
              <w:rPr>
                <w:rFonts w:asciiTheme="majorHAnsi" w:eastAsia="Times New Roman" w:hAnsiTheme="majorHAnsi" w:cstheme="majorHAnsi"/>
                <w:sz w:val="22"/>
                <w:szCs w:val="22"/>
                <w:lang w:eastAsia="es-MX"/>
              </w:rPr>
            </w:pPr>
            <w:r w:rsidRPr="006E00BF">
              <w:rPr>
                <w:rFonts w:asciiTheme="majorHAnsi" w:eastAsia="Times New Roman" w:hAnsiTheme="majorHAnsi" w:cstheme="majorHAnsi"/>
                <w:b/>
                <w:sz w:val="22"/>
                <w:szCs w:val="22"/>
                <w:lang w:eastAsia="es-MX"/>
              </w:rPr>
              <w:t>Documentos de monitoreo y seguimiento de PLaNEA</w:t>
            </w:r>
          </w:p>
        </w:tc>
        <w:tc>
          <w:tcPr>
            <w:tcW w:w="6094" w:type="dxa"/>
          </w:tcPr>
          <w:p w14:paraId="2CBE624C" w14:textId="77777777" w:rsidR="006E00BF" w:rsidRPr="006E00BF" w:rsidRDefault="006E00BF" w:rsidP="006E00BF">
            <w:pPr>
              <w:numPr>
                <w:ilvl w:val="0"/>
                <w:numId w:val="4"/>
              </w:numPr>
              <w:spacing w:after="0"/>
              <w:contextualSpacing/>
              <w:rPr>
                <w:rFonts w:asciiTheme="majorHAnsi" w:eastAsia="Times New Roman" w:hAnsiTheme="majorHAnsi" w:cstheme="majorHAnsi"/>
                <w:sz w:val="22"/>
                <w:szCs w:val="22"/>
                <w:lang w:eastAsia="es-MX"/>
              </w:rPr>
            </w:pPr>
            <w:r w:rsidRPr="006E00BF">
              <w:rPr>
                <w:rFonts w:asciiTheme="majorHAnsi" w:eastAsia="Times New Roman" w:hAnsiTheme="majorHAnsi" w:cstheme="majorHAnsi"/>
                <w:sz w:val="22"/>
                <w:szCs w:val="22"/>
                <w:lang w:eastAsia="es-MX"/>
              </w:rPr>
              <w:t>Informe de ejecución periodo 2018</w:t>
            </w:r>
          </w:p>
          <w:p w14:paraId="1ECDD787" w14:textId="77777777" w:rsidR="006E00BF" w:rsidRPr="006E00BF" w:rsidRDefault="006E00BF" w:rsidP="006E00BF">
            <w:pPr>
              <w:numPr>
                <w:ilvl w:val="0"/>
                <w:numId w:val="4"/>
              </w:numPr>
              <w:spacing w:after="0"/>
              <w:contextualSpacing/>
              <w:rPr>
                <w:rFonts w:asciiTheme="majorHAnsi" w:eastAsia="Times New Roman" w:hAnsiTheme="majorHAnsi" w:cstheme="majorHAnsi"/>
                <w:sz w:val="22"/>
                <w:szCs w:val="22"/>
                <w:lang w:eastAsia="es-MX"/>
              </w:rPr>
            </w:pPr>
            <w:r w:rsidRPr="006E00BF">
              <w:rPr>
                <w:rFonts w:asciiTheme="majorHAnsi" w:eastAsia="Times New Roman" w:hAnsiTheme="majorHAnsi" w:cstheme="majorHAnsi"/>
                <w:sz w:val="22"/>
                <w:szCs w:val="22"/>
                <w:lang w:eastAsia="es-MX"/>
              </w:rPr>
              <w:t>Informe de ejecución periodo 2019</w:t>
            </w:r>
          </w:p>
          <w:p w14:paraId="59D20852" w14:textId="77777777" w:rsidR="006E00BF" w:rsidRPr="006E00BF" w:rsidRDefault="006E00BF" w:rsidP="006E00BF">
            <w:pPr>
              <w:numPr>
                <w:ilvl w:val="0"/>
                <w:numId w:val="4"/>
              </w:numPr>
              <w:spacing w:after="0"/>
              <w:contextualSpacing/>
              <w:rPr>
                <w:rFonts w:asciiTheme="majorHAnsi" w:eastAsia="Times New Roman" w:hAnsiTheme="majorHAnsi" w:cstheme="majorHAnsi"/>
                <w:sz w:val="22"/>
                <w:szCs w:val="22"/>
                <w:lang w:eastAsia="es-MX"/>
              </w:rPr>
            </w:pPr>
            <w:r w:rsidRPr="006E00BF">
              <w:rPr>
                <w:rFonts w:asciiTheme="majorHAnsi" w:eastAsia="Times New Roman" w:hAnsiTheme="majorHAnsi" w:cstheme="majorHAnsi"/>
                <w:sz w:val="22"/>
                <w:szCs w:val="22"/>
                <w:lang w:eastAsia="es-MX"/>
              </w:rPr>
              <w:t>Informe de ejecución periodo 2020</w:t>
            </w:r>
          </w:p>
          <w:p w14:paraId="6996070E" w14:textId="77777777" w:rsidR="006E00BF" w:rsidRPr="006E00BF" w:rsidRDefault="006E00BF" w:rsidP="006E00BF">
            <w:pPr>
              <w:numPr>
                <w:ilvl w:val="0"/>
                <w:numId w:val="4"/>
              </w:numPr>
              <w:spacing w:after="0"/>
              <w:contextualSpacing/>
              <w:rPr>
                <w:rFonts w:asciiTheme="majorHAnsi" w:eastAsia="Times New Roman" w:hAnsiTheme="majorHAnsi" w:cstheme="majorHAnsi"/>
                <w:sz w:val="22"/>
                <w:szCs w:val="22"/>
                <w:lang w:eastAsia="es-MX"/>
              </w:rPr>
            </w:pPr>
            <w:r w:rsidRPr="006E00BF">
              <w:rPr>
                <w:rFonts w:asciiTheme="majorHAnsi" w:eastAsia="Times New Roman" w:hAnsiTheme="majorHAnsi" w:cstheme="majorHAnsi"/>
                <w:sz w:val="22"/>
                <w:szCs w:val="22"/>
                <w:lang w:eastAsia="es-MX"/>
              </w:rPr>
              <w:t>Informe de ejecución periodo 2021</w:t>
            </w:r>
          </w:p>
        </w:tc>
      </w:tr>
    </w:tbl>
    <w:p w14:paraId="5DEE3810" w14:textId="77777777" w:rsidR="006E00BF" w:rsidRPr="006E00BF" w:rsidRDefault="006E00BF" w:rsidP="006E00BF">
      <w:pPr>
        <w:rPr>
          <w:rFonts w:asciiTheme="majorHAnsi" w:hAnsiTheme="majorHAnsi" w:cstheme="majorHAnsi"/>
          <w:sz w:val="18"/>
          <w:szCs w:val="18"/>
          <w:lang w:val="es-MX"/>
        </w:rPr>
      </w:pPr>
      <w:r w:rsidRPr="006E00BF">
        <w:rPr>
          <w:rFonts w:asciiTheme="majorHAnsi" w:hAnsiTheme="majorHAnsi" w:cstheme="majorHAnsi"/>
          <w:sz w:val="18"/>
          <w:szCs w:val="18"/>
          <w:lang w:val="es-MX"/>
        </w:rPr>
        <w:t>Fuente: Elaboración propia</w:t>
      </w:r>
    </w:p>
    <w:p w14:paraId="0E914FF5" w14:textId="77777777" w:rsidR="006E00BF" w:rsidRPr="006E00BF" w:rsidRDefault="006E00BF" w:rsidP="006E00BF">
      <w:pPr>
        <w:rPr>
          <w:lang w:eastAsia="en-US"/>
        </w:rPr>
      </w:pPr>
    </w:p>
    <w:p w14:paraId="77B5215F" w14:textId="77777777" w:rsidR="006E00BF" w:rsidRPr="006E00BF" w:rsidRDefault="006E00BF" w:rsidP="006E00BF"/>
    <w:p w14:paraId="0F1F5F86" w14:textId="77777777" w:rsidR="006E00BF" w:rsidRPr="00EC4FB8" w:rsidRDefault="006E00BF">
      <w:pPr>
        <w:rPr>
          <w:lang w:val="es-MX"/>
        </w:rPr>
      </w:pPr>
    </w:p>
    <w:sectPr w:rsidR="006E00BF" w:rsidRPr="00EC4FB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0621A7"/>
    <w:multiLevelType w:val="hybridMultilevel"/>
    <w:tmpl w:val="69DC73E0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4F4527"/>
    <w:multiLevelType w:val="hybridMultilevel"/>
    <w:tmpl w:val="3EF6D04C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8D5274"/>
    <w:multiLevelType w:val="hybridMultilevel"/>
    <w:tmpl w:val="EC0C177A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B6AF1"/>
    <w:multiLevelType w:val="multilevel"/>
    <w:tmpl w:val="018A55B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56A132BC"/>
    <w:multiLevelType w:val="hybridMultilevel"/>
    <w:tmpl w:val="305A769A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5C11E8"/>
    <w:multiLevelType w:val="hybridMultilevel"/>
    <w:tmpl w:val="61AED4DA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441674">
    <w:abstractNumId w:val="3"/>
  </w:num>
  <w:num w:numId="2" w16cid:durableId="1215316263">
    <w:abstractNumId w:val="1"/>
  </w:num>
  <w:num w:numId="3" w16cid:durableId="714887796">
    <w:abstractNumId w:val="0"/>
  </w:num>
  <w:num w:numId="4" w16cid:durableId="2066832631">
    <w:abstractNumId w:val="2"/>
  </w:num>
  <w:num w:numId="5" w16cid:durableId="665862360">
    <w:abstractNumId w:val="4"/>
  </w:num>
  <w:num w:numId="6" w16cid:durableId="16337511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2AFD"/>
    <w:rsid w:val="001E48E3"/>
    <w:rsid w:val="0033388D"/>
    <w:rsid w:val="005F76BB"/>
    <w:rsid w:val="006A2AFD"/>
    <w:rsid w:val="006E00BF"/>
    <w:rsid w:val="00BA2440"/>
    <w:rsid w:val="00C96580"/>
    <w:rsid w:val="00CE7ECC"/>
    <w:rsid w:val="00D04662"/>
    <w:rsid w:val="00D45889"/>
    <w:rsid w:val="00E327A4"/>
    <w:rsid w:val="00EC4FB8"/>
    <w:rsid w:val="00F20512"/>
    <w:rsid w:val="00F54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DE67AB"/>
  <w15:chartTrackingRefBased/>
  <w15:docId w15:val="{5D009104-DDB6-49A1-A54C-89D6D56D2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AFD"/>
    <w:pPr>
      <w:spacing w:after="200" w:line="240" w:lineRule="auto"/>
      <w:jc w:val="both"/>
    </w:pPr>
    <w:rPr>
      <w:rFonts w:ascii="Calibri" w:eastAsia="MS Mincho" w:hAnsi="Calibri" w:cs="Tahoma"/>
      <w:iCs/>
      <w:lang w:val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unhideWhenUsed/>
    <w:rsid w:val="006A2AF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A2AFD"/>
    <w:pPr>
      <w:jc w:val="left"/>
    </w:pPr>
    <w:rPr>
      <w:rFonts w:asciiTheme="minorHAnsi" w:eastAsiaTheme="minorHAnsi" w:hAnsiTheme="minorHAnsi" w:cstheme="minorBidi"/>
      <w:iCs w:val="0"/>
      <w:sz w:val="20"/>
      <w:szCs w:val="20"/>
      <w:lang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A2AFD"/>
    <w:rPr>
      <w:sz w:val="20"/>
      <w:szCs w:val="20"/>
      <w:lang w:val="es-CL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A2AF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A2AFD"/>
    <w:rPr>
      <w:rFonts w:ascii="Segoe UI" w:eastAsia="MS Mincho" w:hAnsi="Segoe UI" w:cs="Segoe UI"/>
      <w:iCs/>
      <w:sz w:val="18"/>
      <w:szCs w:val="18"/>
      <w:lang w:val="es-CL"/>
    </w:rPr>
  </w:style>
  <w:style w:type="table" w:styleId="Tablaconcuadrcula">
    <w:name w:val="Table Grid"/>
    <w:basedOn w:val="Tablanormal"/>
    <w:uiPriority w:val="59"/>
    <w:rsid w:val="006E00BF"/>
    <w:pPr>
      <w:spacing w:after="0" w:line="240" w:lineRule="auto"/>
      <w:jc w:val="both"/>
    </w:pPr>
    <w:rPr>
      <w:rFonts w:ascii="Tahoma" w:eastAsia="Times New Roman" w:hAnsi="Tahoma" w:cs="Times New Roman"/>
      <w:sz w:val="20"/>
      <w:szCs w:val="20"/>
      <w:lang w:val="es-CL" w:eastAsia="es-C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871</Words>
  <Characters>4793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Javiera Ramos</dc:creator>
  <cp:keywords/>
  <dc:description/>
  <cp:lastModifiedBy>Milena Vanessa Vera Riveros</cp:lastModifiedBy>
  <cp:revision>3</cp:revision>
  <dcterms:created xsi:type="dcterms:W3CDTF">2023-06-16T15:50:00Z</dcterms:created>
  <dcterms:modified xsi:type="dcterms:W3CDTF">2023-07-26T15:34:00Z</dcterms:modified>
</cp:coreProperties>
</file>