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812" w:type="pct"/>
        <w:tblInd w:w="-426" w:type="dxa"/>
        <w:tblLook w:val="04A0" w:firstRow="1" w:lastRow="0" w:firstColumn="1" w:lastColumn="0" w:noHBand="0" w:noVBand="1"/>
      </w:tblPr>
      <w:tblGrid>
        <w:gridCol w:w="12192"/>
      </w:tblGrid>
      <w:tr w:rsidR="00B6275D" w:rsidRPr="00C03B64" w14:paraId="32833B1F" w14:textId="77777777" w:rsidTr="60AC0711">
        <w:trPr>
          <w:trHeight w:val="3235"/>
        </w:trPr>
        <w:tc>
          <w:tcPr>
            <w:tcW w:w="5000" w:type="pct"/>
            <w:shd w:val="clear" w:color="auto" w:fill="auto"/>
          </w:tcPr>
          <w:p w14:paraId="4CE201A7" w14:textId="06B8E750" w:rsidR="00B6275D" w:rsidRPr="00C03B64" w:rsidRDefault="00B6275D" w:rsidP="00162491">
            <w:pPr>
              <w:spacing w:before="0" w:line="240" w:lineRule="auto"/>
              <w:ind w:left="708" w:hanging="708"/>
              <w:jc w:val="center"/>
              <w:rPr>
                <w:rFonts w:ascii="Century Gothic" w:hAnsi="Century Gothic"/>
                <w:sz w:val="20"/>
                <w:szCs w:val="20"/>
                <w:lang w:eastAsia="es-CO"/>
              </w:rPr>
            </w:pPr>
            <w:r w:rsidRPr="00C03B64">
              <w:rPr>
                <w:noProof/>
                <w:lang w:eastAsia="es-ES"/>
              </w:rPr>
              <w:drawing>
                <wp:inline distT="0" distB="0" distL="0" distR="0" wp14:anchorId="246F6C32" wp14:editId="61967B46">
                  <wp:extent cx="1685925" cy="1685925"/>
                  <wp:effectExtent l="0" t="0" r="9525" b="9525"/>
                  <wp:docPr id="5" name="Imagen 5" descr="Resultado de imagen para LOGO UNI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8">
                            <a:extLst>
                              <a:ext uri="{28A0092B-C50C-407E-A947-70E740481C1C}">
                                <a14:useLocalDpi xmlns:a14="http://schemas.microsoft.com/office/drawing/2010/main" val="0"/>
                              </a:ext>
                            </a:extLst>
                          </a:blip>
                          <a:stretch>
                            <a:fillRect/>
                          </a:stretch>
                        </pic:blipFill>
                        <pic:spPr>
                          <a:xfrm>
                            <a:off x="0" y="0"/>
                            <a:ext cx="1685925" cy="1685925"/>
                          </a:xfrm>
                          <a:prstGeom prst="rect">
                            <a:avLst/>
                          </a:prstGeom>
                        </pic:spPr>
                      </pic:pic>
                    </a:graphicData>
                  </a:graphic>
                </wp:inline>
              </w:drawing>
            </w:r>
          </w:p>
          <w:p w14:paraId="156647DA" w14:textId="77777777" w:rsidR="00B6275D" w:rsidRPr="00C03B64" w:rsidRDefault="00B6275D" w:rsidP="00B6275D">
            <w:pPr>
              <w:spacing w:before="0" w:line="240" w:lineRule="auto"/>
              <w:jc w:val="center"/>
              <w:rPr>
                <w:rFonts w:ascii="Century Gothic" w:eastAsia="Times New Roman" w:hAnsi="Century Gothic"/>
                <w:b/>
                <w:sz w:val="20"/>
                <w:szCs w:val="20"/>
                <w:lang w:eastAsia="es-CO"/>
              </w:rPr>
            </w:pPr>
          </w:p>
          <w:p w14:paraId="0FDF240E" w14:textId="77777777" w:rsidR="00B6275D" w:rsidRPr="00C03B64" w:rsidRDefault="00B6275D" w:rsidP="00B6275D">
            <w:pPr>
              <w:spacing w:before="0" w:line="240" w:lineRule="auto"/>
              <w:jc w:val="center"/>
              <w:rPr>
                <w:rFonts w:ascii="Century Gothic" w:eastAsia="Times New Roman" w:hAnsi="Century Gothic"/>
                <w:b/>
                <w:sz w:val="20"/>
                <w:szCs w:val="20"/>
                <w:lang w:eastAsia="es-CO"/>
              </w:rPr>
            </w:pPr>
          </w:p>
          <w:p w14:paraId="7E76E6DA" w14:textId="77777777" w:rsidR="00B6275D" w:rsidRPr="00C03B64" w:rsidRDefault="00B6275D" w:rsidP="00B6275D">
            <w:pPr>
              <w:spacing w:before="0" w:line="240" w:lineRule="auto"/>
              <w:jc w:val="center"/>
            </w:pPr>
            <w:r w:rsidRPr="00C03B64">
              <w:rPr>
                <w:noProof/>
                <w:lang w:eastAsia="es-ES"/>
              </w:rPr>
              <w:drawing>
                <wp:inline distT="0" distB="0" distL="0" distR="0" wp14:anchorId="650426B6" wp14:editId="6B4DFEBD">
                  <wp:extent cx="5798000" cy="2019300"/>
                  <wp:effectExtent l="0" t="0" r="0" b="0"/>
                  <wp:docPr id="1545927269" name="Imagen 34889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8897829"/>
                          <pic:cNvPicPr/>
                        </pic:nvPicPr>
                        <pic:blipFill rotWithShape="1">
                          <a:blip r:embed="rId9">
                            <a:extLst>
                              <a:ext uri="{28A0092B-C50C-407E-A947-70E740481C1C}">
                                <a14:useLocalDpi xmlns:a14="http://schemas.microsoft.com/office/drawing/2010/main" val="0"/>
                              </a:ext>
                            </a:extLst>
                          </a:blip>
                          <a:srcRect t="11191" b="12254"/>
                          <a:stretch/>
                        </pic:blipFill>
                        <pic:spPr bwMode="auto">
                          <a:xfrm>
                            <a:off x="0" y="0"/>
                            <a:ext cx="5799559" cy="201984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B6275D" w:rsidRPr="00C03B64" w14:paraId="170F1331" w14:textId="77777777" w:rsidTr="60AC0711">
        <w:trPr>
          <w:trHeight w:val="463"/>
        </w:trPr>
        <w:tc>
          <w:tcPr>
            <w:tcW w:w="5000" w:type="pct"/>
            <w:shd w:val="clear" w:color="auto" w:fill="auto"/>
          </w:tcPr>
          <w:p w14:paraId="6F7FECE6" w14:textId="77777777" w:rsidR="00B6275D" w:rsidRPr="00C03B64" w:rsidRDefault="00B6275D" w:rsidP="00B6275D">
            <w:pPr>
              <w:spacing w:before="0" w:line="240" w:lineRule="auto"/>
              <w:jc w:val="center"/>
              <w:rPr>
                <w:rFonts w:ascii="Century Gothic" w:eastAsia="Times New Roman" w:hAnsi="Century Gothic"/>
                <w:b/>
                <w:bCs/>
                <w:color w:val="0070C0"/>
                <w:sz w:val="16"/>
                <w:szCs w:val="16"/>
                <w:lang w:eastAsia="es-CO"/>
              </w:rPr>
            </w:pPr>
            <w:r w:rsidRPr="00C03B64">
              <w:rPr>
                <w:rFonts w:ascii="Century Gothic" w:eastAsia="Times New Roman" w:hAnsi="Century Gothic"/>
                <w:b/>
                <w:bCs/>
                <w:color w:val="0070C0"/>
                <w:sz w:val="16"/>
                <w:szCs w:val="16"/>
                <w:lang w:eastAsia="es-CO"/>
              </w:rPr>
              <w:t xml:space="preserve"> </w:t>
            </w:r>
          </w:p>
          <w:p w14:paraId="19B02F30" w14:textId="77777777" w:rsidR="00B6275D" w:rsidRPr="00C03B64" w:rsidRDefault="00B6275D" w:rsidP="00B6275D">
            <w:pPr>
              <w:spacing w:before="0" w:line="240" w:lineRule="auto"/>
              <w:jc w:val="center"/>
              <w:rPr>
                <w:rFonts w:ascii="Arial" w:eastAsia="Times New Roman" w:hAnsi="Arial" w:cs="Arial"/>
                <w:sz w:val="14"/>
                <w:szCs w:val="14"/>
                <w:lang w:eastAsia="es-CO"/>
              </w:rPr>
            </w:pPr>
          </w:p>
        </w:tc>
      </w:tr>
      <w:tr w:rsidR="00B6275D" w:rsidRPr="00C03B64" w14:paraId="0755E65B" w14:textId="77777777" w:rsidTr="60AC0711">
        <w:trPr>
          <w:trHeight w:val="80"/>
        </w:trPr>
        <w:tc>
          <w:tcPr>
            <w:tcW w:w="5000" w:type="pct"/>
            <w:shd w:val="clear" w:color="auto" w:fill="002060"/>
          </w:tcPr>
          <w:p w14:paraId="385FEE9B" w14:textId="77777777" w:rsidR="00B6275D" w:rsidRPr="00C03B64" w:rsidRDefault="00B6275D" w:rsidP="00B6275D">
            <w:pPr>
              <w:spacing w:before="0" w:line="240" w:lineRule="auto"/>
              <w:jc w:val="center"/>
              <w:rPr>
                <w:rFonts w:ascii="Century Gothic" w:eastAsia="Times New Roman" w:hAnsi="Century Gothic"/>
                <w:b/>
                <w:color w:val="FFFFFF"/>
                <w:w w:val="150"/>
                <w:sz w:val="28"/>
                <w:szCs w:val="28"/>
                <w:lang w:eastAsia="es-CO"/>
              </w:rPr>
            </w:pPr>
          </w:p>
          <w:p w14:paraId="535185CD" w14:textId="364D2BCB" w:rsidR="00B6275D" w:rsidRPr="00C03B64" w:rsidRDefault="00B6275D" w:rsidP="00B6275D">
            <w:pPr>
              <w:spacing w:before="120" w:after="120" w:line="240" w:lineRule="auto"/>
              <w:ind w:left="322" w:right="316"/>
              <w:jc w:val="center"/>
              <w:rPr>
                <w:rFonts w:ascii="Century Gothic" w:hAnsi="Century Gothic"/>
                <w:smallCaps/>
                <w:color w:val="FFFFFF" w:themeColor="background1"/>
                <w:sz w:val="36"/>
                <w:szCs w:val="36"/>
              </w:rPr>
            </w:pPr>
            <w:r w:rsidRPr="00C03B64">
              <w:rPr>
                <w:rFonts w:ascii="Century Gothic" w:hAnsi="Century Gothic"/>
                <w:smallCaps/>
                <w:color w:val="FFFFFF" w:themeColor="background1"/>
                <w:sz w:val="36"/>
                <w:szCs w:val="36"/>
              </w:rPr>
              <w:t>Evaluación de la implementación del Sistema de Atención Integral a la Primera Infancia “criando con amor” (2015-20</w:t>
            </w:r>
            <w:r w:rsidR="00380795" w:rsidRPr="00C03B64">
              <w:rPr>
                <w:rFonts w:ascii="Century Gothic" w:hAnsi="Century Gothic"/>
                <w:smallCaps/>
                <w:color w:val="FFFFFF" w:themeColor="background1"/>
                <w:sz w:val="36"/>
                <w:szCs w:val="36"/>
              </w:rPr>
              <w:t>20</w:t>
            </w:r>
            <w:r w:rsidRPr="00C03B64">
              <w:rPr>
                <w:rFonts w:ascii="Century Gothic" w:hAnsi="Century Gothic"/>
                <w:smallCaps/>
                <w:color w:val="FFFFFF" w:themeColor="background1"/>
                <w:sz w:val="36"/>
                <w:szCs w:val="36"/>
              </w:rPr>
              <w:t>)</w:t>
            </w:r>
          </w:p>
          <w:p w14:paraId="7986ECF9" w14:textId="77777777" w:rsidR="00B6275D" w:rsidRPr="00C03B64" w:rsidRDefault="00B6275D" w:rsidP="00B6275D">
            <w:pPr>
              <w:spacing w:before="120" w:after="120" w:line="240" w:lineRule="auto"/>
              <w:ind w:left="322" w:right="316"/>
              <w:jc w:val="center"/>
              <w:rPr>
                <w:rFonts w:ascii="Century Gothic" w:hAnsi="Century Gothic"/>
                <w:smallCaps/>
                <w:color w:val="FFFFFF" w:themeColor="background1"/>
                <w:sz w:val="18"/>
                <w:szCs w:val="18"/>
              </w:rPr>
            </w:pPr>
          </w:p>
          <w:p w14:paraId="483E150D" w14:textId="77777777" w:rsidR="00B6275D" w:rsidRPr="00C03B64" w:rsidRDefault="00B6275D" w:rsidP="00B6275D">
            <w:pPr>
              <w:spacing w:before="120" w:after="120" w:line="240" w:lineRule="auto"/>
              <w:ind w:left="322" w:right="316"/>
              <w:jc w:val="center"/>
              <w:rPr>
                <w:rFonts w:ascii="Century Gothic" w:hAnsi="Century Gothic"/>
                <w:smallCaps/>
                <w:color w:val="FFFFFF" w:themeColor="background1"/>
                <w:sz w:val="36"/>
                <w:szCs w:val="36"/>
              </w:rPr>
            </w:pPr>
            <w:r w:rsidRPr="00C03B64">
              <w:rPr>
                <w:rFonts w:ascii="Century Gothic" w:hAnsi="Century Gothic"/>
                <w:smallCaps/>
                <w:color w:val="FFFFFF" w:themeColor="background1"/>
                <w:sz w:val="36"/>
                <w:szCs w:val="36"/>
              </w:rPr>
              <w:t>Honduras</w:t>
            </w:r>
          </w:p>
          <w:p w14:paraId="10BA72A9" w14:textId="77777777" w:rsidR="00B6275D" w:rsidRPr="00C03B64" w:rsidRDefault="00B6275D" w:rsidP="00B6275D">
            <w:pPr>
              <w:spacing w:before="120" w:after="120" w:line="240" w:lineRule="auto"/>
              <w:jc w:val="center"/>
              <w:rPr>
                <w:rFonts w:ascii="Century Gothic" w:eastAsia="Times New Roman" w:hAnsi="Century Gothic"/>
                <w:color w:val="FFFFFF"/>
                <w:w w:val="150"/>
                <w:sz w:val="18"/>
                <w:szCs w:val="18"/>
                <w:lang w:eastAsia="es-CO"/>
              </w:rPr>
            </w:pPr>
          </w:p>
          <w:p w14:paraId="5BCD7630" w14:textId="2961C397" w:rsidR="00B6275D" w:rsidRPr="00C03B64" w:rsidRDefault="005072D5" w:rsidP="00B6275D">
            <w:pPr>
              <w:spacing w:before="120" w:after="120" w:line="240" w:lineRule="auto"/>
              <w:jc w:val="center"/>
              <w:rPr>
                <w:rFonts w:ascii="Century Gothic" w:hAnsi="Century Gothic"/>
                <w:smallCaps/>
                <w:color w:val="FFFFFF" w:themeColor="background1"/>
                <w:sz w:val="36"/>
                <w:szCs w:val="36"/>
              </w:rPr>
            </w:pPr>
            <w:r w:rsidRPr="00C03B64">
              <w:rPr>
                <w:rFonts w:ascii="Century Gothic" w:hAnsi="Century Gothic"/>
                <w:smallCaps/>
                <w:color w:val="FFFFFF" w:themeColor="background1"/>
                <w:sz w:val="36"/>
                <w:szCs w:val="36"/>
              </w:rPr>
              <w:t>Anexo 10: Manual Operativo – Fichas técnicas de indicadores</w:t>
            </w:r>
          </w:p>
          <w:p w14:paraId="743C0380" w14:textId="77777777" w:rsidR="00B6275D" w:rsidRPr="00C03B64" w:rsidRDefault="00B6275D" w:rsidP="00B6275D">
            <w:pPr>
              <w:spacing w:before="120" w:after="120" w:line="240" w:lineRule="auto"/>
              <w:jc w:val="center"/>
              <w:rPr>
                <w:rFonts w:ascii="Century Gothic" w:eastAsia="Times New Roman" w:hAnsi="Century Gothic"/>
                <w:color w:val="FFFFFF"/>
                <w:w w:val="150"/>
                <w:sz w:val="22"/>
                <w:szCs w:val="22"/>
                <w:lang w:eastAsia="es-CO"/>
              </w:rPr>
            </w:pPr>
          </w:p>
          <w:p w14:paraId="3D5F2D34" w14:textId="2F186BCB" w:rsidR="00B6275D" w:rsidRPr="00C03B64" w:rsidRDefault="00DF63D9" w:rsidP="00B6275D">
            <w:pPr>
              <w:spacing w:before="120" w:after="120" w:line="240" w:lineRule="auto"/>
              <w:jc w:val="center"/>
              <w:rPr>
                <w:sz w:val="24"/>
                <w:szCs w:val="24"/>
              </w:rPr>
            </w:pPr>
            <w:r w:rsidRPr="00C03B64">
              <w:rPr>
                <w:rFonts w:ascii="Century Gothic" w:eastAsia="Times New Roman" w:hAnsi="Century Gothic"/>
                <w:color w:val="FFFFFF"/>
                <w:w w:val="150"/>
                <w:sz w:val="22"/>
                <w:szCs w:val="22"/>
                <w:lang w:eastAsia="es-CO"/>
              </w:rPr>
              <w:t>noviembre</w:t>
            </w:r>
            <w:r w:rsidR="00B6275D" w:rsidRPr="00C03B64">
              <w:rPr>
                <w:rFonts w:ascii="Century Gothic" w:eastAsia="Times New Roman" w:hAnsi="Century Gothic"/>
                <w:color w:val="FFFFFF"/>
                <w:w w:val="150"/>
                <w:sz w:val="22"/>
                <w:szCs w:val="22"/>
                <w:lang w:eastAsia="es-CO"/>
              </w:rPr>
              <w:t xml:space="preserve"> de 2020</w:t>
            </w:r>
          </w:p>
        </w:tc>
      </w:tr>
      <w:tr w:rsidR="00B6275D" w:rsidRPr="00C03B64" w14:paraId="01C5A452" w14:textId="77777777" w:rsidTr="60AC0711">
        <w:trPr>
          <w:trHeight w:val="80"/>
        </w:trPr>
        <w:tc>
          <w:tcPr>
            <w:tcW w:w="5000" w:type="pct"/>
            <w:shd w:val="clear" w:color="auto" w:fill="auto"/>
          </w:tcPr>
          <w:p w14:paraId="0572E8F6" w14:textId="77777777" w:rsidR="00B6275D" w:rsidRPr="00C03B64" w:rsidRDefault="00B6275D" w:rsidP="00B6275D">
            <w:pPr>
              <w:spacing w:before="0" w:line="240" w:lineRule="auto"/>
              <w:jc w:val="center"/>
              <w:rPr>
                <w:rFonts w:ascii="Century Gothic" w:eastAsia="Times New Roman" w:hAnsi="Century Gothic"/>
                <w:b/>
                <w:color w:val="FFFFFF"/>
                <w:w w:val="150"/>
                <w:sz w:val="28"/>
                <w:szCs w:val="28"/>
                <w:lang w:eastAsia="es-CO"/>
              </w:rPr>
            </w:pPr>
          </w:p>
          <w:p w14:paraId="245FC5D0" w14:textId="12EB68A5" w:rsidR="00B6275D" w:rsidRPr="00C03B64" w:rsidRDefault="00B6275D" w:rsidP="00B6275D">
            <w:pPr>
              <w:rPr>
                <w:rFonts w:ascii="Century Gothic" w:eastAsia="Times New Roman" w:hAnsi="Century Gothic"/>
                <w:b/>
                <w:color w:val="FFFFFF"/>
                <w:w w:val="150"/>
                <w:sz w:val="28"/>
                <w:szCs w:val="28"/>
                <w:lang w:eastAsia="es-CO"/>
              </w:rPr>
            </w:pPr>
            <w:r w:rsidRPr="00C03B64">
              <w:rPr>
                <w:noProof/>
                <w:sz w:val="24"/>
                <w:szCs w:val="24"/>
                <w:lang w:eastAsia="es-ES"/>
              </w:rPr>
              <w:drawing>
                <wp:anchor distT="0" distB="0" distL="114300" distR="114300" simplePos="0" relativeHeight="251658240" behindDoc="1" locked="0" layoutInCell="1" allowOverlap="1" wp14:anchorId="5055368C" wp14:editId="701A6D4D">
                  <wp:simplePos x="0" y="0"/>
                  <wp:positionH relativeFrom="column">
                    <wp:posOffset>4117975</wp:posOffset>
                  </wp:positionH>
                  <wp:positionV relativeFrom="paragraph">
                    <wp:posOffset>274955</wp:posOffset>
                  </wp:positionV>
                  <wp:extent cx="3348355" cy="775335"/>
                  <wp:effectExtent l="0" t="0" r="4445"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8355" cy="775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3488FE" w14:textId="77777777" w:rsidR="00B6275D" w:rsidRPr="00C03B64" w:rsidRDefault="00B6275D" w:rsidP="00B6275D">
            <w:pPr>
              <w:spacing w:before="0" w:line="240" w:lineRule="auto"/>
              <w:jc w:val="center"/>
              <w:rPr>
                <w:rFonts w:ascii="Century Gothic" w:eastAsia="Times New Roman" w:hAnsi="Century Gothic"/>
                <w:b/>
                <w:color w:val="FFFFFF"/>
                <w:w w:val="150"/>
                <w:sz w:val="28"/>
                <w:szCs w:val="28"/>
                <w:lang w:eastAsia="es-CO"/>
              </w:rPr>
            </w:pPr>
          </w:p>
          <w:p w14:paraId="3F78363D" w14:textId="77777777" w:rsidR="00B6275D" w:rsidRPr="00C03B64" w:rsidRDefault="00B6275D" w:rsidP="00B6275D">
            <w:pPr>
              <w:spacing w:before="0" w:line="240" w:lineRule="auto"/>
              <w:jc w:val="center"/>
              <w:rPr>
                <w:rFonts w:ascii="Century Gothic" w:eastAsia="Times New Roman" w:hAnsi="Century Gothic"/>
                <w:b/>
                <w:color w:val="FFFFFF"/>
                <w:w w:val="150"/>
                <w:sz w:val="28"/>
                <w:szCs w:val="28"/>
                <w:lang w:eastAsia="es-CO"/>
              </w:rPr>
            </w:pPr>
          </w:p>
        </w:tc>
      </w:tr>
    </w:tbl>
    <w:p w14:paraId="163D8F52" w14:textId="77777777" w:rsidR="00B6275D" w:rsidRPr="00C03B64" w:rsidRDefault="00B6275D" w:rsidP="00B6275D"/>
    <w:p w14:paraId="52AFF2BD" w14:textId="77777777" w:rsidR="00B6275D" w:rsidRPr="00C03B64" w:rsidRDefault="00B6275D" w:rsidP="00B6275D">
      <w:pPr>
        <w:sectPr w:rsidR="00B6275D" w:rsidRPr="00C03B64" w:rsidSect="00B6275D">
          <w:footerReference w:type="default" r:id="rId11"/>
          <w:pgSz w:w="12240" w:h="15840"/>
          <w:pgMar w:top="709" w:right="1325" w:bottom="993" w:left="426" w:header="708" w:footer="309" w:gutter="0"/>
          <w:pgNumType w:start="12"/>
          <w:cols w:space="708"/>
          <w:docGrid w:linePitch="360"/>
        </w:sectPr>
      </w:pPr>
    </w:p>
    <w:p w14:paraId="73DDF686" w14:textId="77777777" w:rsidR="009022D6" w:rsidRPr="00C03B64" w:rsidRDefault="009022D6" w:rsidP="008B2152">
      <w:pPr>
        <w:pStyle w:val="Titulocaptulo-Econometra"/>
      </w:pPr>
      <w:bookmarkStart w:id="0" w:name="_Toc56880600"/>
      <w:r w:rsidRPr="00C03B64">
        <w:lastRenderedPageBreak/>
        <w:t>Introducción</w:t>
      </w:r>
      <w:bookmarkEnd w:id="0"/>
    </w:p>
    <w:p w14:paraId="40B11DC8" w14:textId="133D7EA5" w:rsidR="00A90095" w:rsidRPr="00EF7F2C" w:rsidRDefault="008C3E6F" w:rsidP="00EF7F2C">
      <w:r w:rsidRPr="00EF7F2C">
        <w:t xml:space="preserve">Este manual operativo tiene como propósito que la información cuantitativa generada a lo largo de la consultoría sea de fácil acceso y entendimiento por parte de las personas o instituciones que quieran hacer uso de esta. Es por esto </w:t>
      </w:r>
      <w:proofErr w:type="gramStart"/>
      <w:r w:rsidRPr="00EF7F2C">
        <w:t>que</w:t>
      </w:r>
      <w:proofErr w:type="gramEnd"/>
      <w:r w:rsidRPr="00EF7F2C">
        <w:t xml:space="preserve"> el presente manual se divide en tres capítulos: en el primero se presenta la descripción de cada uno de los indicadores que contiene la herramienta de Excel incluida como anexo 10.1 en el presente informe y ligado al presente anexo. El segundo capítulo especifica los criterios estadísticos por medio de los cuales se identifica la validez interpretativa de los indicadores calculados. El último capítulo explica como usar e interpretar los resultados que se muestran en la ficha técnica del indicador.</w:t>
      </w:r>
    </w:p>
    <w:p w14:paraId="4A7B47B4" w14:textId="20228C19" w:rsidR="008C3E6F" w:rsidRPr="00EF7F2C" w:rsidRDefault="008C3E6F" w:rsidP="00EF7F2C">
      <w:r w:rsidRPr="00EF7F2C">
        <w:t>Antes de comenzar con el contenido del manual operativo es importante menciona que los indicadores calculados y contemplados en esta consultoría</w:t>
      </w:r>
      <w:r w:rsidRPr="00EF7F2C">
        <w:t xml:space="preserve"> usan tres fuentes de información: la Encuesta Nacional de Demografía y Salud (ENDESA), realizada entre 2011 y 2012; las encuestas de monitoreo y seguimiento</w:t>
      </w:r>
      <w:r w:rsidRPr="00EF7F2C">
        <w:t xml:space="preserve"> (LQAS)</w:t>
      </w:r>
      <w:r w:rsidRPr="00EF7F2C">
        <w:t xml:space="preserve"> desarrolladas por el equipo implementador del Sistema Criando con amor para 2016 y 2018; y la encuesta de hogares de línea base de Unicef</w:t>
      </w:r>
      <w:r w:rsidRPr="00EF7F2C">
        <w:t xml:space="preserve"> (EHU)</w:t>
      </w:r>
      <w:r w:rsidRPr="00EF7F2C">
        <w:t xml:space="preserve">, desarrollada entre el 2018 y el 2019. Si bien estas fuentes de información permitieron dar un bosquejo de la situación y mostrar algunos cambios que se han presentado en los municipios que han sido intervenidos por el </w:t>
      </w:r>
      <w:proofErr w:type="spellStart"/>
      <w:r w:rsidRPr="00EF7F2C">
        <w:t>SCcA</w:t>
      </w:r>
      <w:proofErr w:type="spellEnd"/>
      <w:r w:rsidRPr="00EF7F2C">
        <w:t>, la ausencia de un sistema de información centralizado que permita dar seguimiento en el tiempo a los indicadores enmarcados en este sistema fue un factor que limitó el alcance de la evaluación.</w:t>
      </w:r>
    </w:p>
    <w:p w14:paraId="767AAC63" w14:textId="77777777" w:rsidR="008C3E6F" w:rsidRPr="00EF7F2C" w:rsidRDefault="008C3E6F" w:rsidP="00EF7F2C">
      <w:r w:rsidRPr="00EF7F2C">
        <w:t>De los indicadores propuestos en el informe de inicio de esta consultoría, definidos bajo la visión de la teoría del cambio, se logró tener información para 34 de los 35 indicadores que utilizan como fuente principal registros administrativos. Teniendo en cuenta que los alcances de las fuentes de información utilizadas son distintos, ya que las temáticas de las encuestas y la población a la que representan difieren, el cálculo de los indicadores se concentra en una fuente de información secundaria según el resultado que quiere medir. En la siguiente tabla se presenta la fuente de información, su objetivo, la población a la que representa y el número de indicadores que se calcularon según el resultado</w:t>
      </w:r>
      <w:r w:rsidRPr="00EF7F2C">
        <w:rPr>
          <w:rStyle w:val="Refdenotaalpie"/>
        </w:rPr>
        <w:footnoteReference w:id="2"/>
      </w:r>
      <w:r w:rsidRPr="00EF7F2C">
        <w:t xml:space="preserve"> al que dan respuesta.</w:t>
      </w:r>
    </w:p>
    <w:p w14:paraId="5B3456A9" w14:textId="059248C0" w:rsidR="008C3E6F" w:rsidRPr="00EF7F2C" w:rsidRDefault="008C3E6F" w:rsidP="00EF7F2C">
      <w:pPr>
        <w:pStyle w:val="Descripcin"/>
      </w:pPr>
      <w:bookmarkStart w:id="1" w:name="_Toc52868083"/>
      <w:r w:rsidRPr="00EF7F2C">
        <w:lastRenderedPageBreak/>
        <w:t xml:space="preserve">Cuadro </w:t>
      </w:r>
      <w:fldSimple w:instr=" STYLEREF 1 \s ">
        <w:r w:rsidR="002A26C4">
          <w:rPr>
            <w:noProof/>
          </w:rPr>
          <w:t>1</w:t>
        </w:r>
      </w:fldSimple>
      <w:r w:rsidRPr="00EF7F2C">
        <w:t>.</w:t>
      </w:r>
      <w:fldSimple w:instr=" SEQ Cuadro \* ARABIC \s 1 ">
        <w:r w:rsidR="002A26C4">
          <w:rPr>
            <w:noProof/>
          </w:rPr>
          <w:t>1</w:t>
        </w:r>
      </w:fldSimple>
      <w:r w:rsidRPr="00EF7F2C">
        <w:t xml:space="preserve"> – Alcance de las fuentes de información utilizadas</w:t>
      </w:r>
      <w:bookmarkEnd w:id="1"/>
    </w:p>
    <w:tbl>
      <w:tblPr>
        <w:tblStyle w:val="Tablaconcuadrcula1"/>
        <w:tblW w:w="5000" w:type="pct"/>
        <w:tblLayout w:type="fixed"/>
        <w:tblLook w:val="04A0" w:firstRow="1" w:lastRow="0" w:firstColumn="1" w:lastColumn="0" w:noHBand="0" w:noVBand="1"/>
      </w:tblPr>
      <w:tblGrid>
        <w:gridCol w:w="1982"/>
        <w:gridCol w:w="1964"/>
        <w:gridCol w:w="1645"/>
        <w:gridCol w:w="924"/>
        <w:gridCol w:w="1077"/>
        <w:gridCol w:w="1188"/>
        <w:gridCol w:w="849"/>
      </w:tblGrid>
      <w:tr w:rsidR="008C3E6F" w:rsidRPr="00EF7F2C" w14:paraId="7F6898F0" w14:textId="77777777" w:rsidTr="00A618CA">
        <w:trPr>
          <w:cnfStyle w:val="100000000000" w:firstRow="1" w:lastRow="0" w:firstColumn="0" w:lastColumn="0" w:oddVBand="0" w:evenVBand="0" w:oddHBand="0" w:evenHBand="0" w:firstRowFirstColumn="0" w:firstRowLastColumn="0" w:lastRowFirstColumn="0" w:lastRowLastColumn="0"/>
          <w:trHeight w:val="255"/>
          <w:tblHeader/>
        </w:trPr>
        <w:tc>
          <w:tcPr>
            <w:cnfStyle w:val="001000000000" w:firstRow="0" w:lastRow="0" w:firstColumn="1" w:lastColumn="0" w:oddVBand="0" w:evenVBand="0" w:oddHBand="0" w:evenHBand="0" w:firstRowFirstColumn="0" w:firstRowLastColumn="0" w:lastRowFirstColumn="0" w:lastRowLastColumn="0"/>
            <w:tcW w:w="1029" w:type="pct"/>
            <w:vMerge w:val="restart"/>
            <w:tcBorders>
              <w:top w:val="none" w:sz="0" w:space="0" w:color="auto"/>
            </w:tcBorders>
            <w:hideMark/>
          </w:tcPr>
          <w:p w14:paraId="01ED859D" w14:textId="77777777" w:rsidR="008C3E6F" w:rsidRPr="00EF7F2C" w:rsidRDefault="008C3E6F" w:rsidP="00EF7F2C">
            <w:pPr>
              <w:pStyle w:val="TITcuadro"/>
              <w:rPr>
                <w:b/>
                <w:bCs w:val="0"/>
                <w:sz w:val="18"/>
              </w:rPr>
            </w:pPr>
            <w:r w:rsidRPr="00EF7F2C">
              <w:rPr>
                <w:b/>
                <w:bCs w:val="0"/>
                <w:sz w:val="18"/>
              </w:rPr>
              <w:t>FUENTE DE INFORMACIÓN</w:t>
            </w:r>
          </w:p>
        </w:tc>
        <w:tc>
          <w:tcPr>
            <w:tcW w:w="1020" w:type="pct"/>
            <w:vMerge w:val="restart"/>
            <w:tcBorders>
              <w:top w:val="none" w:sz="0" w:space="0" w:color="auto"/>
            </w:tcBorders>
            <w:hideMark/>
          </w:tcPr>
          <w:p w14:paraId="102B80F3"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8"/>
              </w:rPr>
            </w:pPr>
            <w:r w:rsidRPr="00EF7F2C">
              <w:rPr>
                <w:b/>
                <w:bCs w:val="0"/>
                <w:sz w:val="18"/>
              </w:rPr>
              <w:t>OBJETIVO</w:t>
            </w:r>
          </w:p>
        </w:tc>
        <w:tc>
          <w:tcPr>
            <w:tcW w:w="854" w:type="pct"/>
            <w:vMerge w:val="restart"/>
            <w:tcBorders>
              <w:top w:val="none" w:sz="0" w:space="0" w:color="auto"/>
            </w:tcBorders>
            <w:hideMark/>
          </w:tcPr>
          <w:p w14:paraId="6FFEA47F"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8"/>
              </w:rPr>
            </w:pPr>
            <w:r w:rsidRPr="00EF7F2C">
              <w:rPr>
                <w:b/>
                <w:bCs w:val="0"/>
                <w:sz w:val="18"/>
              </w:rPr>
              <w:t>REPRESENTATIVIDAD</w:t>
            </w:r>
          </w:p>
        </w:tc>
        <w:tc>
          <w:tcPr>
            <w:tcW w:w="2097" w:type="pct"/>
            <w:gridSpan w:val="4"/>
            <w:tcBorders>
              <w:top w:val="none" w:sz="0" w:space="0" w:color="auto"/>
            </w:tcBorders>
            <w:noWrap/>
            <w:hideMark/>
          </w:tcPr>
          <w:p w14:paraId="16F99227" w14:textId="558A6B13"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8"/>
              </w:rPr>
            </w:pPr>
            <w:r w:rsidRPr="00EF7F2C">
              <w:rPr>
                <w:b/>
                <w:bCs w:val="0"/>
                <w:sz w:val="18"/>
              </w:rPr>
              <w:t xml:space="preserve">INDICADORES SEGÚN </w:t>
            </w:r>
            <w:r w:rsidRPr="00EF7F2C">
              <w:rPr>
                <w:b/>
                <w:bCs w:val="0"/>
                <w:sz w:val="18"/>
              </w:rPr>
              <w:t>TIPO DE RESULTADO</w:t>
            </w:r>
          </w:p>
        </w:tc>
      </w:tr>
      <w:tr w:rsidR="00EF7F2C" w:rsidRPr="00EF7F2C" w14:paraId="7492189B" w14:textId="77777777" w:rsidTr="00EF7F2C">
        <w:trPr>
          <w:cnfStyle w:val="100000000000" w:firstRow="1" w:lastRow="0" w:firstColumn="0" w:lastColumn="0" w:oddVBand="0" w:evenVBand="0" w:oddHBand="0" w:evenHBand="0" w:firstRowFirstColumn="0" w:firstRowLastColumn="0" w:lastRowFirstColumn="0" w:lastRowLastColumn="0"/>
          <w:trHeight w:val="255"/>
          <w:tblHeader/>
        </w:trPr>
        <w:tc>
          <w:tcPr>
            <w:cnfStyle w:val="001000000000" w:firstRow="0" w:lastRow="0" w:firstColumn="1" w:lastColumn="0" w:oddVBand="0" w:evenVBand="0" w:oddHBand="0" w:evenHBand="0" w:firstRowFirstColumn="0" w:firstRowLastColumn="0" w:lastRowFirstColumn="0" w:lastRowLastColumn="0"/>
            <w:tcW w:w="1029" w:type="pct"/>
            <w:vMerge/>
            <w:hideMark/>
          </w:tcPr>
          <w:p w14:paraId="6AC026EC" w14:textId="77777777" w:rsidR="008C3E6F" w:rsidRPr="00EF7F2C" w:rsidRDefault="008C3E6F" w:rsidP="00EF7F2C">
            <w:pPr>
              <w:pStyle w:val="TITcuadro"/>
              <w:rPr>
                <w:b/>
                <w:bCs w:val="0"/>
                <w:sz w:val="18"/>
              </w:rPr>
            </w:pPr>
          </w:p>
        </w:tc>
        <w:tc>
          <w:tcPr>
            <w:tcW w:w="1020" w:type="pct"/>
            <w:vMerge/>
            <w:hideMark/>
          </w:tcPr>
          <w:p w14:paraId="68A20FC3"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8"/>
              </w:rPr>
            </w:pPr>
          </w:p>
        </w:tc>
        <w:tc>
          <w:tcPr>
            <w:tcW w:w="854" w:type="pct"/>
            <w:vMerge/>
            <w:hideMark/>
          </w:tcPr>
          <w:p w14:paraId="2C43987D"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8"/>
              </w:rPr>
            </w:pPr>
          </w:p>
        </w:tc>
        <w:tc>
          <w:tcPr>
            <w:tcW w:w="480" w:type="pct"/>
            <w:noWrap/>
            <w:hideMark/>
          </w:tcPr>
          <w:p w14:paraId="383DB56C"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6"/>
                <w:szCs w:val="16"/>
              </w:rPr>
            </w:pPr>
            <w:r w:rsidRPr="00EF7F2C">
              <w:rPr>
                <w:b/>
                <w:bCs w:val="0"/>
                <w:sz w:val="16"/>
                <w:szCs w:val="16"/>
              </w:rPr>
              <w:t>IMPACTO</w:t>
            </w:r>
          </w:p>
        </w:tc>
        <w:tc>
          <w:tcPr>
            <w:tcW w:w="559" w:type="pct"/>
            <w:noWrap/>
            <w:hideMark/>
          </w:tcPr>
          <w:p w14:paraId="3265CB0C"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6"/>
                <w:szCs w:val="16"/>
              </w:rPr>
            </w:pPr>
            <w:r w:rsidRPr="00EF7F2C">
              <w:rPr>
                <w:b/>
                <w:bCs w:val="0"/>
                <w:sz w:val="16"/>
                <w:szCs w:val="16"/>
              </w:rPr>
              <w:t>ATENCIÓN INTEGRAL</w:t>
            </w:r>
          </w:p>
        </w:tc>
        <w:tc>
          <w:tcPr>
            <w:tcW w:w="617" w:type="pct"/>
            <w:noWrap/>
            <w:hideMark/>
          </w:tcPr>
          <w:p w14:paraId="062B6AE6"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6"/>
                <w:szCs w:val="16"/>
              </w:rPr>
            </w:pPr>
            <w:r w:rsidRPr="00EF7F2C">
              <w:rPr>
                <w:b/>
                <w:bCs w:val="0"/>
                <w:sz w:val="16"/>
                <w:szCs w:val="16"/>
              </w:rPr>
              <w:t>ENTORNO PROTECTOR</w:t>
            </w:r>
          </w:p>
        </w:tc>
        <w:tc>
          <w:tcPr>
            <w:tcW w:w="441" w:type="pct"/>
            <w:noWrap/>
            <w:hideMark/>
          </w:tcPr>
          <w:p w14:paraId="4AB09D5F" w14:textId="77777777" w:rsidR="008C3E6F" w:rsidRPr="00EF7F2C" w:rsidRDefault="008C3E6F" w:rsidP="00EF7F2C">
            <w:pPr>
              <w:pStyle w:val="TITcuadro"/>
              <w:cnfStyle w:val="100000000000" w:firstRow="1" w:lastRow="0" w:firstColumn="0" w:lastColumn="0" w:oddVBand="0" w:evenVBand="0" w:oddHBand="0" w:evenHBand="0" w:firstRowFirstColumn="0" w:firstRowLastColumn="0" w:lastRowFirstColumn="0" w:lastRowLastColumn="0"/>
              <w:rPr>
                <w:b/>
                <w:bCs w:val="0"/>
                <w:sz w:val="16"/>
                <w:szCs w:val="16"/>
              </w:rPr>
            </w:pPr>
            <w:r w:rsidRPr="00EF7F2C">
              <w:rPr>
                <w:b/>
                <w:bCs w:val="0"/>
                <w:sz w:val="16"/>
                <w:szCs w:val="16"/>
              </w:rPr>
              <w:t>TOTAL</w:t>
            </w:r>
          </w:p>
        </w:tc>
      </w:tr>
      <w:tr w:rsidR="008C3E6F" w:rsidRPr="00EF7F2C" w14:paraId="4405A239" w14:textId="77777777" w:rsidTr="00EF7F2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029" w:type="pct"/>
            <w:tcBorders>
              <w:top w:val="none" w:sz="0" w:space="0" w:color="auto"/>
              <w:bottom w:val="none" w:sz="0" w:space="0" w:color="auto"/>
            </w:tcBorders>
            <w:hideMark/>
          </w:tcPr>
          <w:p w14:paraId="23C6DD02" w14:textId="77777777" w:rsidR="008C3E6F" w:rsidRPr="00EF7F2C" w:rsidRDefault="008C3E6F" w:rsidP="00EF7F2C">
            <w:pPr>
              <w:pStyle w:val="Textocuadros"/>
            </w:pPr>
            <w:r w:rsidRPr="00EF7F2C">
              <w:t>Encuesta Nacional de Demografía y Salud (ENDESA)</w:t>
            </w:r>
          </w:p>
        </w:tc>
        <w:tc>
          <w:tcPr>
            <w:tcW w:w="1020" w:type="pct"/>
            <w:tcBorders>
              <w:top w:val="none" w:sz="0" w:space="0" w:color="auto"/>
              <w:bottom w:val="none" w:sz="0" w:space="0" w:color="auto"/>
            </w:tcBorders>
            <w:hideMark/>
          </w:tcPr>
          <w:p w14:paraId="1F196261"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Encuesta que proporciona información del país en temas demográficos y de salud en general</w:t>
            </w:r>
          </w:p>
        </w:tc>
        <w:tc>
          <w:tcPr>
            <w:tcW w:w="854" w:type="pct"/>
            <w:tcBorders>
              <w:top w:val="none" w:sz="0" w:space="0" w:color="auto"/>
              <w:bottom w:val="none" w:sz="0" w:space="0" w:color="auto"/>
            </w:tcBorders>
            <w:hideMark/>
          </w:tcPr>
          <w:p w14:paraId="2BDFF61C"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Nacional</w:t>
            </w:r>
          </w:p>
        </w:tc>
        <w:tc>
          <w:tcPr>
            <w:tcW w:w="480" w:type="pct"/>
            <w:tcBorders>
              <w:top w:val="none" w:sz="0" w:space="0" w:color="auto"/>
              <w:bottom w:val="none" w:sz="0" w:space="0" w:color="auto"/>
            </w:tcBorders>
            <w:noWrap/>
            <w:hideMark/>
          </w:tcPr>
          <w:p w14:paraId="49F165F7"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3</w:t>
            </w:r>
          </w:p>
        </w:tc>
        <w:tc>
          <w:tcPr>
            <w:tcW w:w="559" w:type="pct"/>
            <w:tcBorders>
              <w:top w:val="none" w:sz="0" w:space="0" w:color="auto"/>
              <w:bottom w:val="none" w:sz="0" w:space="0" w:color="auto"/>
            </w:tcBorders>
            <w:noWrap/>
            <w:hideMark/>
          </w:tcPr>
          <w:p w14:paraId="4CE18DBF"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17</w:t>
            </w:r>
          </w:p>
        </w:tc>
        <w:tc>
          <w:tcPr>
            <w:tcW w:w="617" w:type="pct"/>
            <w:tcBorders>
              <w:top w:val="none" w:sz="0" w:space="0" w:color="auto"/>
              <w:bottom w:val="none" w:sz="0" w:space="0" w:color="auto"/>
            </w:tcBorders>
            <w:noWrap/>
            <w:hideMark/>
          </w:tcPr>
          <w:p w14:paraId="0407AA23"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1</w:t>
            </w:r>
          </w:p>
        </w:tc>
        <w:tc>
          <w:tcPr>
            <w:tcW w:w="441" w:type="pct"/>
            <w:tcBorders>
              <w:top w:val="none" w:sz="0" w:space="0" w:color="auto"/>
              <w:bottom w:val="none" w:sz="0" w:space="0" w:color="auto"/>
            </w:tcBorders>
            <w:noWrap/>
            <w:hideMark/>
          </w:tcPr>
          <w:p w14:paraId="3516BAB6"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21</w:t>
            </w:r>
          </w:p>
        </w:tc>
      </w:tr>
      <w:tr w:rsidR="008C3E6F" w:rsidRPr="00EF7F2C" w14:paraId="10BEE5F7" w14:textId="77777777" w:rsidTr="00EF7F2C">
        <w:trPr>
          <w:trHeight w:val="765"/>
        </w:trPr>
        <w:tc>
          <w:tcPr>
            <w:cnfStyle w:val="001000000000" w:firstRow="0" w:lastRow="0" w:firstColumn="1" w:lastColumn="0" w:oddVBand="0" w:evenVBand="0" w:oddHBand="0" w:evenHBand="0" w:firstRowFirstColumn="0" w:firstRowLastColumn="0" w:lastRowFirstColumn="0" w:lastRowLastColumn="0"/>
            <w:tcW w:w="1029" w:type="pct"/>
            <w:hideMark/>
          </w:tcPr>
          <w:p w14:paraId="272D30D6" w14:textId="77777777" w:rsidR="008C3E6F" w:rsidRPr="00EF7F2C" w:rsidRDefault="008C3E6F" w:rsidP="00EF7F2C">
            <w:pPr>
              <w:pStyle w:val="Textocuadros"/>
            </w:pPr>
            <w:r w:rsidRPr="00EF7F2C">
              <w:t xml:space="preserve">Encuestas de seguimiento y monitoreo de </w:t>
            </w:r>
            <w:proofErr w:type="spellStart"/>
            <w:r w:rsidRPr="00EF7F2C">
              <w:t>CcA</w:t>
            </w:r>
            <w:proofErr w:type="spellEnd"/>
            <w:r w:rsidRPr="00EF7F2C">
              <w:t xml:space="preserve"> (LQAS)</w:t>
            </w:r>
          </w:p>
        </w:tc>
        <w:tc>
          <w:tcPr>
            <w:tcW w:w="1020" w:type="pct"/>
            <w:hideMark/>
          </w:tcPr>
          <w:p w14:paraId="0BB74A34"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 xml:space="preserve">Recolección de información de línea de base y de monitoreo del </w:t>
            </w:r>
            <w:proofErr w:type="spellStart"/>
            <w:r w:rsidRPr="00EF7F2C">
              <w:t>SCcA</w:t>
            </w:r>
            <w:proofErr w:type="spellEnd"/>
          </w:p>
        </w:tc>
        <w:tc>
          <w:tcPr>
            <w:tcW w:w="854" w:type="pct"/>
            <w:hideMark/>
          </w:tcPr>
          <w:p w14:paraId="11A652CF"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 xml:space="preserve">Mancomunidades intervenidas por el </w:t>
            </w:r>
            <w:proofErr w:type="spellStart"/>
            <w:r w:rsidRPr="00EF7F2C">
              <w:t>SCcA</w:t>
            </w:r>
            <w:proofErr w:type="spellEnd"/>
          </w:p>
        </w:tc>
        <w:tc>
          <w:tcPr>
            <w:tcW w:w="480" w:type="pct"/>
            <w:noWrap/>
            <w:hideMark/>
          </w:tcPr>
          <w:p w14:paraId="34C37F3B"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0</w:t>
            </w:r>
          </w:p>
        </w:tc>
        <w:tc>
          <w:tcPr>
            <w:tcW w:w="559" w:type="pct"/>
            <w:noWrap/>
            <w:hideMark/>
          </w:tcPr>
          <w:p w14:paraId="4AF4BE78"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18</w:t>
            </w:r>
          </w:p>
        </w:tc>
        <w:tc>
          <w:tcPr>
            <w:tcW w:w="617" w:type="pct"/>
            <w:noWrap/>
            <w:hideMark/>
          </w:tcPr>
          <w:p w14:paraId="2A3BD8BD"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2</w:t>
            </w:r>
          </w:p>
        </w:tc>
        <w:tc>
          <w:tcPr>
            <w:tcW w:w="441" w:type="pct"/>
            <w:noWrap/>
            <w:hideMark/>
          </w:tcPr>
          <w:p w14:paraId="54F687A7"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20</w:t>
            </w:r>
          </w:p>
        </w:tc>
      </w:tr>
      <w:tr w:rsidR="008C3E6F" w:rsidRPr="00EF7F2C" w14:paraId="202A2425" w14:textId="77777777" w:rsidTr="00EF7F2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1029" w:type="pct"/>
            <w:tcBorders>
              <w:top w:val="none" w:sz="0" w:space="0" w:color="auto"/>
              <w:bottom w:val="none" w:sz="0" w:space="0" w:color="auto"/>
            </w:tcBorders>
            <w:hideMark/>
          </w:tcPr>
          <w:p w14:paraId="0688F579" w14:textId="77777777" w:rsidR="008C3E6F" w:rsidRPr="00EF7F2C" w:rsidRDefault="008C3E6F" w:rsidP="00EF7F2C">
            <w:pPr>
              <w:pStyle w:val="Textocuadros"/>
            </w:pPr>
            <w:r w:rsidRPr="00EF7F2C">
              <w:t>Encuesta de hogares de línea base de Unicef (EHU)</w:t>
            </w:r>
          </w:p>
        </w:tc>
        <w:tc>
          <w:tcPr>
            <w:tcW w:w="1020" w:type="pct"/>
            <w:tcBorders>
              <w:top w:val="none" w:sz="0" w:space="0" w:color="auto"/>
              <w:bottom w:val="none" w:sz="0" w:space="0" w:color="auto"/>
            </w:tcBorders>
            <w:hideMark/>
          </w:tcPr>
          <w:p w14:paraId="4F3DD409"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Encuesta de línea de base de Unicef en el marco de su Programa País</w:t>
            </w:r>
          </w:p>
        </w:tc>
        <w:tc>
          <w:tcPr>
            <w:tcW w:w="854" w:type="pct"/>
            <w:tcBorders>
              <w:top w:val="none" w:sz="0" w:space="0" w:color="auto"/>
              <w:bottom w:val="none" w:sz="0" w:space="0" w:color="auto"/>
            </w:tcBorders>
            <w:hideMark/>
          </w:tcPr>
          <w:p w14:paraId="11FC3623" w14:textId="3C02446D"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37 municipios</w:t>
            </w:r>
          </w:p>
        </w:tc>
        <w:tc>
          <w:tcPr>
            <w:tcW w:w="480" w:type="pct"/>
            <w:tcBorders>
              <w:top w:val="none" w:sz="0" w:space="0" w:color="auto"/>
              <w:bottom w:val="none" w:sz="0" w:space="0" w:color="auto"/>
            </w:tcBorders>
            <w:noWrap/>
            <w:hideMark/>
          </w:tcPr>
          <w:p w14:paraId="13B5A087"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3</w:t>
            </w:r>
          </w:p>
        </w:tc>
        <w:tc>
          <w:tcPr>
            <w:tcW w:w="559" w:type="pct"/>
            <w:tcBorders>
              <w:top w:val="none" w:sz="0" w:space="0" w:color="auto"/>
              <w:bottom w:val="none" w:sz="0" w:space="0" w:color="auto"/>
            </w:tcBorders>
            <w:noWrap/>
            <w:hideMark/>
          </w:tcPr>
          <w:p w14:paraId="39DC1D48"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6</w:t>
            </w:r>
          </w:p>
        </w:tc>
        <w:tc>
          <w:tcPr>
            <w:tcW w:w="617" w:type="pct"/>
            <w:tcBorders>
              <w:top w:val="none" w:sz="0" w:space="0" w:color="auto"/>
              <w:bottom w:val="none" w:sz="0" w:space="0" w:color="auto"/>
            </w:tcBorders>
            <w:noWrap/>
            <w:hideMark/>
          </w:tcPr>
          <w:p w14:paraId="4C5C1C83"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4</w:t>
            </w:r>
          </w:p>
        </w:tc>
        <w:tc>
          <w:tcPr>
            <w:tcW w:w="441" w:type="pct"/>
            <w:tcBorders>
              <w:top w:val="none" w:sz="0" w:space="0" w:color="auto"/>
              <w:bottom w:val="none" w:sz="0" w:space="0" w:color="auto"/>
            </w:tcBorders>
            <w:noWrap/>
            <w:hideMark/>
          </w:tcPr>
          <w:p w14:paraId="04BEA0C4" w14:textId="77777777" w:rsidR="008C3E6F" w:rsidRPr="00EF7F2C" w:rsidRDefault="008C3E6F" w:rsidP="00EF7F2C">
            <w:pPr>
              <w:pStyle w:val="Textocuadros"/>
              <w:cnfStyle w:val="000000100000" w:firstRow="0" w:lastRow="0" w:firstColumn="0" w:lastColumn="0" w:oddVBand="0" w:evenVBand="0" w:oddHBand="1" w:evenHBand="0" w:firstRowFirstColumn="0" w:firstRowLastColumn="0" w:lastRowFirstColumn="0" w:lastRowLastColumn="0"/>
            </w:pPr>
            <w:r w:rsidRPr="00EF7F2C">
              <w:t>13</w:t>
            </w:r>
          </w:p>
        </w:tc>
      </w:tr>
      <w:tr w:rsidR="008C3E6F" w:rsidRPr="00EF7F2C" w14:paraId="4FCBBD46" w14:textId="77777777" w:rsidTr="00EF7F2C">
        <w:trPr>
          <w:trHeight w:val="255"/>
        </w:trPr>
        <w:tc>
          <w:tcPr>
            <w:cnfStyle w:val="001000000000" w:firstRow="0" w:lastRow="0" w:firstColumn="1" w:lastColumn="0" w:oddVBand="0" w:evenVBand="0" w:oddHBand="0" w:evenHBand="0" w:firstRowFirstColumn="0" w:firstRowLastColumn="0" w:lastRowFirstColumn="0" w:lastRowLastColumn="0"/>
            <w:tcW w:w="2903" w:type="pct"/>
            <w:gridSpan w:val="3"/>
            <w:hideMark/>
          </w:tcPr>
          <w:p w14:paraId="0BB967FA" w14:textId="77777777" w:rsidR="008C3E6F" w:rsidRPr="00EF7F2C" w:rsidRDefault="008C3E6F" w:rsidP="00EF7F2C">
            <w:pPr>
              <w:pStyle w:val="Textocuadros"/>
              <w:rPr>
                <w:bCs/>
              </w:rPr>
            </w:pPr>
            <w:proofErr w:type="gramStart"/>
            <w:r w:rsidRPr="00EF7F2C">
              <w:t>Total</w:t>
            </w:r>
            <w:proofErr w:type="gramEnd"/>
            <w:r w:rsidRPr="00EF7F2C">
              <w:t xml:space="preserve"> de indicadores con información</w:t>
            </w:r>
          </w:p>
        </w:tc>
        <w:tc>
          <w:tcPr>
            <w:tcW w:w="480" w:type="pct"/>
            <w:noWrap/>
            <w:hideMark/>
          </w:tcPr>
          <w:p w14:paraId="62D68EB3"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3</w:t>
            </w:r>
          </w:p>
        </w:tc>
        <w:tc>
          <w:tcPr>
            <w:tcW w:w="559" w:type="pct"/>
            <w:noWrap/>
            <w:hideMark/>
          </w:tcPr>
          <w:p w14:paraId="5C2D61A9"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26</w:t>
            </w:r>
          </w:p>
        </w:tc>
        <w:tc>
          <w:tcPr>
            <w:tcW w:w="617" w:type="pct"/>
            <w:noWrap/>
            <w:hideMark/>
          </w:tcPr>
          <w:p w14:paraId="54087B2B"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5</w:t>
            </w:r>
          </w:p>
        </w:tc>
        <w:tc>
          <w:tcPr>
            <w:tcW w:w="441" w:type="pct"/>
            <w:noWrap/>
            <w:hideMark/>
          </w:tcPr>
          <w:p w14:paraId="6469F43D" w14:textId="77777777" w:rsidR="008C3E6F" w:rsidRPr="00EF7F2C" w:rsidRDefault="008C3E6F" w:rsidP="00EF7F2C">
            <w:pPr>
              <w:pStyle w:val="Textocuadros"/>
              <w:cnfStyle w:val="000000000000" w:firstRow="0" w:lastRow="0" w:firstColumn="0" w:lastColumn="0" w:oddVBand="0" w:evenVBand="0" w:oddHBand="0" w:evenHBand="0" w:firstRowFirstColumn="0" w:firstRowLastColumn="0" w:lastRowFirstColumn="0" w:lastRowLastColumn="0"/>
            </w:pPr>
            <w:r w:rsidRPr="00EF7F2C">
              <w:t>34</w:t>
            </w:r>
          </w:p>
        </w:tc>
      </w:tr>
    </w:tbl>
    <w:p w14:paraId="5628FC99" w14:textId="77777777" w:rsidR="008C3E6F" w:rsidRPr="00EF7F2C" w:rsidRDefault="008C3E6F" w:rsidP="00EF7F2C">
      <w:pPr>
        <w:pStyle w:val="PiedeCuadro"/>
      </w:pPr>
      <w:r w:rsidRPr="00EF7F2C">
        <w:t>Fuente: Elaboración propia</w:t>
      </w:r>
    </w:p>
    <w:p w14:paraId="7D6F4F12" w14:textId="03167FAF" w:rsidR="008C3E6F" w:rsidRPr="00EF7F2C" w:rsidRDefault="008C3E6F" w:rsidP="00EF7F2C">
      <w:r w:rsidRPr="00EF7F2C">
        <w:t xml:space="preserve">Con el fin de identificar si la implementación del </w:t>
      </w:r>
      <w:proofErr w:type="spellStart"/>
      <w:r w:rsidRPr="00EF7F2C">
        <w:t>SCcA</w:t>
      </w:r>
      <w:proofErr w:type="spellEnd"/>
      <w:r w:rsidRPr="00EF7F2C">
        <w:t xml:space="preserve"> ha influenciado el comportamiento de los indicadores definidos, se buscó aprovechar la diferencia temporal que existe entre la ENDESA y la EHU, y de esta manera comparar indicadores que se construyeran de la misma manera y tuvieran la misma representatividad, la cual se estableció en el alcance de la EHU. Estos resultados se presentan en la subsección de eficacia. Si bien, este es un ejercicio que permite comenzar a evidenciar efectos del </w:t>
      </w:r>
      <w:proofErr w:type="spellStart"/>
      <w:r w:rsidRPr="00EF7F2C">
        <w:t>SCcA</w:t>
      </w:r>
      <w:proofErr w:type="spellEnd"/>
      <w:r w:rsidRPr="00EF7F2C">
        <w:t>, solo se pudo realizar el ejercicio para 4 indicadores, ya que las temáticas contempladas en las encuestas trabajadas no tenían muchos puntos en común.</w:t>
      </w:r>
    </w:p>
    <w:p w14:paraId="112CFB99" w14:textId="2E42BB74" w:rsidR="008C3E6F" w:rsidRPr="00EF7F2C" w:rsidRDefault="008C3E6F" w:rsidP="00EF7F2C">
      <w:r w:rsidRPr="00EF7F2C">
        <w:t xml:space="preserve">Por último, es importante resaltar las encuestas de monitoreo y seguimiento realizadas por el equipo de </w:t>
      </w:r>
      <w:proofErr w:type="spellStart"/>
      <w:r w:rsidRPr="00EF7F2C">
        <w:t>CcA</w:t>
      </w:r>
      <w:proofErr w:type="spellEnd"/>
      <w:r w:rsidRPr="00EF7F2C">
        <w:t>. Si bien estas son una buena herramienta para dar un seguimiento a la implementación de la intervención, presenta limitaciones en precisión estadística cuando se quieren evaluar resultados</w:t>
      </w:r>
      <w:r w:rsidR="00EF7F2C" w:rsidRPr="00EF7F2C">
        <w:t xml:space="preserve"> en áreas más pequeñas o desagregadas</w:t>
      </w:r>
      <w:r w:rsidRPr="00EF7F2C">
        <w:t>, ya que los tamaños de muestra utilizados son pequeños y no permiten llegar a conclusiones con la precisión estadística deseada</w:t>
      </w:r>
      <w:r w:rsidR="00EF7F2C" w:rsidRPr="00EF7F2C">
        <w:t xml:space="preserve"> </w:t>
      </w:r>
      <w:sdt>
        <w:sdtPr>
          <w:id w:val="-1125007274"/>
          <w:citation/>
        </w:sdtPr>
        <w:sdtContent>
          <w:r w:rsidR="00EF7F2C" w:rsidRPr="00EF7F2C">
            <w:fldChar w:fldCharType="begin"/>
          </w:r>
          <w:r w:rsidR="00EF7F2C" w:rsidRPr="00EF7F2C">
            <w:rPr>
              <w:lang w:val="es-ES"/>
            </w:rPr>
            <w:instrText xml:space="preserve"> CITATION Cor08 \l 3082 </w:instrText>
          </w:r>
          <w:r w:rsidR="00EF7F2C" w:rsidRPr="00EF7F2C">
            <w:fldChar w:fldCharType="separate"/>
          </w:r>
          <w:r w:rsidR="00EF7F2C" w:rsidRPr="00EF7F2C">
            <w:rPr>
              <w:noProof/>
              <w:lang w:val="es-ES"/>
            </w:rPr>
            <w:t>(Core Group, 2008)</w:t>
          </w:r>
          <w:r w:rsidR="00EF7F2C" w:rsidRPr="00EF7F2C">
            <w:fldChar w:fldCharType="end"/>
          </w:r>
        </w:sdtContent>
      </w:sdt>
      <w:r w:rsidR="00EF7F2C" w:rsidRPr="00EF7F2C">
        <w:t>, el alcance de las LQAS permite dar resultados del área total levantada y no de cada lote.</w:t>
      </w:r>
    </w:p>
    <w:p w14:paraId="0416B70A" w14:textId="77777777" w:rsidR="001E0809" w:rsidRPr="00C03B64" w:rsidRDefault="001E0809" w:rsidP="00D610C4"/>
    <w:p w14:paraId="7678A69D" w14:textId="77777777" w:rsidR="001E0809" w:rsidRPr="00C03B64" w:rsidRDefault="001E0809" w:rsidP="00AF705E">
      <w:pPr>
        <w:rPr>
          <w:rStyle w:val="Textoennegrita"/>
          <w:b w:val="0"/>
          <w:bCs w:val="0"/>
        </w:rPr>
        <w:sectPr w:rsidR="001E0809" w:rsidRPr="00C03B64" w:rsidSect="001E0809">
          <w:headerReference w:type="default" r:id="rId12"/>
          <w:footerReference w:type="default" r:id="rId13"/>
          <w:pgSz w:w="12240" w:h="15840"/>
          <w:pgMar w:top="1276" w:right="1183" w:bottom="992" w:left="1418" w:header="851" w:footer="667" w:gutter="0"/>
          <w:pgNumType w:fmt="lowerRoman" w:start="1"/>
          <w:cols w:space="708"/>
          <w:docGrid w:linePitch="360"/>
        </w:sectPr>
      </w:pPr>
    </w:p>
    <w:p w14:paraId="13D11C2C" w14:textId="77777777" w:rsidR="008B2152" w:rsidRPr="00C03B64" w:rsidRDefault="008B2152" w:rsidP="008B2152">
      <w:pPr>
        <w:pStyle w:val="Ttulo1"/>
      </w:pPr>
      <w:bookmarkStart w:id="2" w:name="_Toc56880602"/>
      <w:bookmarkEnd w:id="2"/>
    </w:p>
    <w:p w14:paraId="58328BD7" w14:textId="51B55666" w:rsidR="0016090B" w:rsidRPr="00C03B64" w:rsidRDefault="00D5114C" w:rsidP="008B2152">
      <w:pPr>
        <w:pStyle w:val="Titulocaptulo-Econometra"/>
      </w:pPr>
      <w:r w:rsidRPr="00C03B64">
        <w:t>Indicadores calculados</w:t>
      </w:r>
    </w:p>
    <w:p w14:paraId="34C06F35" w14:textId="3BA9968F" w:rsidR="00D5114C" w:rsidRPr="00C03B64" w:rsidRDefault="00B03DE3" w:rsidP="00D5114C">
      <w:r w:rsidRPr="00C03B64">
        <w:t>En el marco de la presente consultoría</w:t>
      </w:r>
      <w:r w:rsidR="00756A45" w:rsidRPr="00C03B64">
        <w:t xml:space="preserve"> se elaboró la teoría de cambio del Sistema Criando con Amor. En esta se identifican efectos directos sobre tres campos</w:t>
      </w:r>
      <w:r w:rsidR="003B0CBA" w:rsidRPr="00C03B64">
        <w:t>: atención integral, capacidad de gestión institucional articulada y entorno protector; por medio de los cuales se llega al impacto esperado que consiste en que las niñas y los niños de Honduras se desarrollen integralmente, tal y como se muestra en la siguiente figura.</w:t>
      </w:r>
    </w:p>
    <w:p w14:paraId="6A3B17DB" w14:textId="1CD7F346" w:rsidR="00D5114C" w:rsidRPr="00C03B64" w:rsidRDefault="00D5114C" w:rsidP="00D5114C">
      <w:pPr>
        <w:pStyle w:val="T-Figura"/>
      </w:pPr>
      <w:bookmarkStart w:id="3" w:name="_Toc38393828"/>
      <w:bookmarkStart w:id="4" w:name="_Toc56879341"/>
      <w:r w:rsidRPr="00C03B64">
        <w:t xml:space="preserve">Figura </w:t>
      </w:r>
      <w:fldSimple w:instr=" STYLEREF 1 \s ">
        <w:r w:rsidR="002A26C4">
          <w:rPr>
            <w:noProof/>
          </w:rPr>
          <w:t>1</w:t>
        </w:r>
      </w:fldSimple>
      <w:r w:rsidR="000A0077">
        <w:t>.</w:t>
      </w:r>
      <w:fldSimple w:instr=" SEQ Figura \* ARABIC \s 1 ">
        <w:r w:rsidR="002A26C4">
          <w:rPr>
            <w:noProof/>
          </w:rPr>
          <w:t>1</w:t>
        </w:r>
      </w:fldSimple>
      <w:r w:rsidRPr="00C03B64">
        <w:t xml:space="preserve"> - Teoría del cambio del Sistema Criando con Amor</w:t>
      </w:r>
      <w:bookmarkEnd w:id="3"/>
      <w:bookmarkEnd w:id="4"/>
    </w:p>
    <w:p w14:paraId="780F2E42" w14:textId="77777777" w:rsidR="00D5114C" w:rsidRPr="00C03B64" w:rsidRDefault="00D5114C" w:rsidP="00D5114C">
      <w:pPr>
        <w:pStyle w:val="PiedeCuadro"/>
        <w:spacing w:before="0" w:line="240" w:lineRule="atLeast"/>
        <w:ind w:left="0"/>
        <w:jc w:val="both"/>
      </w:pPr>
      <w:r w:rsidRPr="00C03B64">
        <w:rPr>
          <w:noProof/>
          <w:lang w:eastAsia="es-ES"/>
        </w:rPr>
        <w:drawing>
          <wp:inline distT="0" distB="0" distL="0" distR="0" wp14:anchorId="1FC7EEF2" wp14:editId="3BCDAE59">
            <wp:extent cx="6015464" cy="1619250"/>
            <wp:effectExtent l="0" t="0" r="444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pic:nvPicPr>
                  <pic:blipFill rotWithShape="1">
                    <a:blip r:embed="rId14">
                      <a:extLst>
                        <a:ext uri="{28A0092B-C50C-407E-A947-70E740481C1C}">
                          <a14:useLocalDpi xmlns:a14="http://schemas.microsoft.com/office/drawing/2010/main" val="0"/>
                        </a:ext>
                      </a:extLst>
                    </a:blip>
                    <a:srcRect l="10901" b="76470"/>
                    <a:stretch/>
                  </pic:blipFill>
                  <pic:spPr bwMode="auto">
                    <a:xfrm>
                      <a:off x="0" y="0"/>
                      <a:ext cx="6029576" cy="1623049"/>
                    </a:xfrm>
                    <a:prstGeom prst="rect">
                      <a:avLst/>
                    </a:prstGeom>
                    <a:ln>
                      <a:noFill/>
                    </a:ln>
                    <a:extLst>
                      <a:ext uri="{53640926-AAD7-44D8-BBD7-CCE9431645EC}">
                        <a14:shadowObscured xmlns:a14="http://schemas.microsoft.com/office/drawing/2010/main"/>
                      </a:ext>
                    </a:extLst>
                  </pic:spPr>
                </pic:pic>
              </a:graphicData>
            </a:graphic>
          </wp:inline>
        </w:drawing>
      </w:r>
    </w:p>
    <w:p w14:paraId="21F8A0CE" w14:textId="796E83EC" w:rsidR="00D5114C" w:rsidRPr="00C03B64" w:rsidRDefault="00D5114C" w:rsidP="00D5114C">
      <w:pPr>
        <w:pStyle w:val="PiedeCuadro"/>
      </w:pPr>
      <w:r w:rsidRPr="00C03B64">
        <w:t>Fuente: elaboración propia a partir de análisis documentales y entrevistas exploratorias</w:t>
      </w:r>
    </w:p>
    <w:p w14:paraId="0C531436" w14:textId="01B93BE5" w:rsidR="00D5114C" w:rsidRPr="00C03B64" w:rsidRDefault="003B0CBA" w:rsidP="00D5114C">
      <w:r w:rsidRPr="00C03B64">
        <w:t>Como resultado de esta construcción, y a partir de la revisión documental relacionada con el sistema</w:t>
      </w:r>
      <w:r w:rsidR="00245856" w:rsidRPr="00C03B64">
        <w:t>,</w:t>
      </w:r>
      <w:r w:rsidRPr="00C03B64">
        <w:t xml:space="preserve"> se propuso una serie de indicadores para evaluar y dar seguimiento a los efectos esperados en cada uno de los campos definidos en la teoría de cambio</w:t>
      </w:r>
      <w:r w:rsidR="00245856" w:rsidRPr="00C03B64">
        <w:t>, los cuales fueron presentados en el informe de inicio de la consultoría</w:t>
      </w:r>
      <w:r w:rsidRPr="00C03B64">
        <w:t xml:space="preserve">. </w:t>
      </w:r>
      <w:r w:rsidR="00245856" w:rsidRPr="00C03B64">
        <w:t xml:space="preserve">De los 35 indicadores propuestos se </w:t>
      </w:r>
      <w:r w:rsidR="00D70DED" w:rsidRPr="00C03B64">
        <w:t>logró</w:t>
      </w:r>
      <w:r w:rsidR="00245856" w:rsidRPr="00C03B64">
        <w:t xml:space="preserve"> tener información para el cálculo de 34, de los cuales se incluyeron unas desagregaciones adicionales. En el presente capitulo se presentan los indicadores calculados e incluidos en la herramienta de Excel, mencionando la fuente de información utilizada para su cálculo.</w:t>
      </w:r>
    </w:p>
    <w:p w14:paraId="17801C64" w14:textId="2F41B570" w:rsidR="00E600BE" w:rsidRPr="00C03B64" w:rsidRDefault="00E600BE" w:rsidP="00E600BE">
      <w:pPr>
        <w:pStyle w:val="Ttulo2"/>
      </w:pPr>
      <w:r w:rsidRPr="00C03B64">
        <w:t>Impactos esperados</w:t>
      </w:r>
    </w:p>
    <w:p w14:paraId="3B7297A9" w14:textId="2DC79EAA" w:rsidR="00C03B64" w:rsidRPr="00C03B64" w:rsidRDefault="00245856" w:rsidP="00245856">
      <w:r w:rsidRPr="00C03B64">
        <w:t xml:space="preserve">Teniendo como objetivo principal tener un impacto esperado en el desarrollo integral de las niñas y los niños de Honduras se propuso el cálculo de cuatro indicadores: el índice de desarrollo infantil, la tasa de mortalidad infantil, la desnutrición crónica y la diversidad en la dieta. De los indicadores propuestos, se </w:t>
      </w:r>
      <w:r w:rsidR="00D70DED" w:rsidRPr="00C03B64">
        <w:t>contó</w:t>
      </w:r>
      <w:r w:rsidRPr="00C03B64">
        <w:t xml:space="preserve"> con información para calcular el índice de desarrollo infantil, la desnutrición crónica y la diversidad en la dieta. A continuación, se presenta cada uno de los </w:t>
      </w:r>
      <w:r w:rsidRPr="00C03B64">
        <w:lastRenderedPageBreak/>
        <w:t xml:space="preserve">indicadores calculados, su fuente de información: Encuesta Nacional de Demografía y Salud (ENDESA), Encuesta de Hogares de Unicef de Línea de Base (EHU) y/o Encestas de monitoreo y seguimiento de </w:t>
      </w:r>
      <w:proofErr w:type="spellStart"/>
      <w:r w:rsidRPr="00C03B64">
        <w:t>CcA</w:t>
      </w:r>
      <w:proofErr w:type="spellEnd"/>
      <w:r w:rsidRPr="00C03B64">
        <w:t xml:space="preserve"> (LQAS); y su descripción corta para consulta en la herramienta de Excel.</w:t>
      </w:r>
    </w:p>
    <w:tbl>
      <w:tblPr>
        <w:tblStyle w:val="Tablaconcuadrcula"/>
        <w:tblW w:w="0" w:type="auto"/>
        <w:tblLook w:val="04A0" w:firstRow="1" w:lastRow="0" w:firstColumn="1" w:lastColumn="0" w:noHBand="0" w:noVBand="1"/>
      </w:tblPr>
      <w:tblGrid>
        <w:gridCol w:w="3162"/>
        <w:gridCol w:w="3162"/>
        <w:gridCol w:w="3163"/>
      </w:tblGrid>
      <w:tr w:rsidR="00DE500C" w:rsidRPr="00C03B64" w14:paraId="00026806" w14:textId="77777777" w:rsidTr="00DE500C">
        <w:tc>
          <w:tcPr>
            <w:tcW w:w="3162" w:type="dxa"/>
            <w:tcBorders>
              <w:top w:val="nil"/>
              <w:left w:val="nil"/>
              <w:bottom w:val="single" w:sz="4" w:space="0" w:color="auto"/>
              <w:right w:val="nil"/>
            </w:tcBorders>
            <w:vAlign w:val="center"/>
          </w:tcPr>
          <w:p w14:paraId="105B41B1" w14:textId="191DB262" w:rsidR="00DE500C" w:rsidRPr="00DE500C" w:rsidRDefault="00DE500C" w:rsidP="009F2B4F">
            <w:pPr>
              <w:jc w:val="center"/>
              <w:rPr>
                <w:b/>
                <w:bCs/>
              </w:rPr>
            </w:pPr>
            <w:r w:rsidRPr="00DE500C">
              <w:rPr>
                <w:b/>
                <w:bCs/>
              </w:rPr>
              <w:t>Indicador</w:t>
            </w:r>
          </w:p>
        </w:tc>
        <w:tc>
          <w:tcPr>
            <w:tcW w:w="3162" w:type="dxa"/>
            <w:tcBorders>
              <w:top w:val="nil"/>
              <w:left w:val="nil"/>
              <w:bottom w:val="single" w:sz="4" w:space="0" w:color="auto"/>
              <w:right w:val="nil"/>
            </w:tcBorders>
            <w:vAlign w:val="center"/>
          </w:tcPr>
          <w:p w14:paraId="17F3EA09" w14:textId="5DC237A0" w:rsidR="00DE500C" w:rsidRPr="00DE500C" w:rsidRDefault="00DE500C" w:rsidP="009F2B4F">
            <w:pPr>
              <w:jc w:val="center"/>
              <w:rPr>
                <w:b/>
                <w:bCs/>
              </w:rPr>
            </w:pPr>
            <w:r w:rsidRPr="00DE500C">
              <w:rPr>
                <w:b/>
                <w:bCs/>
              </w:rPr>
              <w:t>Fuente</w:t>
            </w:r>
          </w:p>
        </w:tc>
        <w:tc>
          <w:tcPr>
            <w:tcW w:w="3163" w:type="dxa"/>
            <w:tcBorders>
              <w:top w:val="nil"/>
              <w:left w:val="nil"/>
              <w:bottom w:val="single" w:sz="4" w:space="0" w:color="auto"/>
              <w:right w:val="nil"/>
            </w:tcBorders>
            <w:vAlign w:val="center"/>
          </w:tcPr>
          <w:p w14:paraId="036620BB" w14:textId="616280A6" w:rsidR="00DE500C" w:rsidRPr="00DE500C" w:rsidRDefault="00DE500C" w:rsidP="009F2B4F">
            <w:pPr>
              <w:jc w:val="center"/>
              <w:rPr>
                <w:b/>
                <w:bCs/>
              </w:rPr>
            </w:pPr>
            <w:r w:rsidRPr="00DE500C">
              <w:rPr>
                <w:b/>
                <w:bCs/>
              </w:rPr>
              <w:t>Descripción corta</w:t>
            </w:r>
          </w:p>
        </w:tc>
      </w:tr>
      <w:tr w:rsidR="00245856" w:rsidRPr="00A53ECF" w14:paraId="38E8DA0D" w14:textId="77777777" w:rsidTr="00DE500C">
        <w:tc>
          <w:tcPr>
            <w:tcW w:w="3162" w:type="dxa"/>
            <w:tcBorders>
              <w:top w:val="single" w:sz="4" w:space="0" w:color="auto"/>
            </w:tcBorders>
            <w:vAlign w:val="center"/>
          </w:tcPr>
          <w:p w14:paraId="5453CB82" w14:textId="6795E9D6" w:rsidR="00245856" w:rsidRPr="00C03B64" w:rsidRDefault="00245856" w:rsidP="00C03B64">
            <w:pPr>
              <w:spacing w:before="0"/>
              <w:jc w:val="left"/>
            </w:pPr>
            <w:r w:rsidRPr="00C03B64">
              <w:t>Porcentaje de niños/as de 36-59 meses con un desarrollo adecuado</w:t>
            </w:r>
          </w:p>
        </w:tc>
        <w:tc>
          <w:tcPr>
            <w:tcW w:w="3162" w:type="dxa"/>
            <w:tcBorders>
              <w:top w:val="single" w:sz="4" w:space="0" w:color="auto"/>
            </w:tcBorders>
            <w:vAlign w:val="center"/>
          </w:tcPr>
          <w:p w14:paraId="2DB3163D" w14:textId="79A63C22" w:rsidR="00245856" w:rsidRPr="00C03B64" w:rsidRDefault="00C03B64" w:rsidP="00C03B64">
            <w:pPr>
              <w:spacing w:before="0"/>
              <w:jc w:val="center"/>
            </w:pPr>
            <w:r w:rsidRPr="00C03B64">
              <w:t>ENDESA</w:t>
            </w:r>
          </w:p>
        </w:tc>
        <w:tc>
          <w:tcPr>
            <w:tcW w:w="3163" w:type="dxa"/>
            <w:tcBorders>
              <w:top w:val="single" w:sz="4" w:space="0" w:color="auto"/>
            </w:tcBorders>
            <w:vAlign w:val="center"/>
          </w:tcPr>
          <w:p w14:paraId="4A68FE19" w14:textId="3CC6E36E" w:rsidR="00245856" w:rsidRPr="008421A4" w:rsidRDefault="00C03B64" w:rsidP="00C03B64">
            <w:pPr>
              <w:spacing w:before="0"/>
              <w:jc w:val="left"/>
              <w:rPr>
                <w:lang w:val="en-GB"/>
              </w:rPr>
            </w:pPr>
            <w:r w:rsidRPr="008421A4">
              <w:rPr>
                <w:lang w:val="en-GB"/>
              </w:rPr>
              <w:t xml:space="preserve">Early </w:t>
            </w:r>
            <w:proofErr w:type="spellStart"/>
            <w:r w:rsidRPr="008421A4">
              <w:rPr>
                <w:lang w:val="en-GB"/>
              </w:rPr>
              <w:t>Chilhood</w:t>
            </w:r>
            <w:proofErr w:type="spellEnd"/>
            <w:r w:rsidRPr="008421A4">
              <w:rPr>
                <w:lang w:val="en-GB"/>
              </w:rPr>
              <w:t xml:space="preserve"> Development Index (ECDI)</w:t>
            </w:r>
          </w:p>
        </w:tc>
      </w:tr>
    </w:tbl>
    <w:p w14:paraId="15AC3759" w14:textId="5E1E9DA6" w:rsidR="00D90446" w:rsidRPr="00C03B64" w:rsidRDefault="00DE500C" w:rsidP="00D90446">
      <w:r>
        <w:t>Con el fin de capturar el porcentaje de niños y niñas que cuentan con un adecuado desarrollo</w:t>
      </w:r>
      <w:r w:rsidR="009F2B4F">
        <w:t xml:space="preserve"> en una edad temprana, la ENDESA utilizó una batería de 10 preguntas por medio de las cuales se puede identificar si un niño o niña tiene un desarrollo adecuado en cuatro dimensiones: lecto-escritura, físico, </w:t>
      </w:r>
      <w:proofErr w:type="gramStart"/>
      <w:r w:rsidR="009F2B4F">
        <w:t>socio-emocional</w:t>
      </w:r>
      <w:proofErr w:type="gramEnd"/>
      <w:r w:rsidR="009F2B4F">
        <w:t xml:space="preserve"> y aprendizaje. La metodología del índice define a un niño o niña entre 36 y 59 meses de edad con un adecuado desarrollo si cuenta con un desarrollo adecuado en al menos 3 de las 4 dimensiones.</w:t>
      </w:r>
    </w:p>
    <w:tbl>
      <w:tblPr>
        <w:tblStyle w:val="Tablaconcuadrcula"/>
        <w:tblW w:w="0" w:type="auto"/>
        <w:tblLook w:val="04A0" w:firstRow="1" w:lastRow="0" w:firstColumn="1" w:lastColumn="0" w:noHBand="0" w:noVBand="1"/>
      </w:tblPr>
      <w:tblGrid>
        <w:gridCol w:w="3162"/>
        <w:gridCol w:w="3162"/>
        <w:gridCol w:w="3163"/>
      </w:tblGrid>
      <w:tr w:rsidR="00DE500C" w:rsidRPr="00C03B64" w14:paraId="5D28869D" w14:textId="77777777" w:rsidTr="00DE500C">
        <w:tc>
          <w:tcPr>
            <w:tcW w:w="3162" w:type="dxa"/>
            <w:tcBorders>
              <w:top w:val="nil"/>
              <w:left w:val="nil"/>
              <w:bottom w:val="single" w:sz="4" w:space="0" w:color="auto"/>
              <w:right w:val="nil"/>
            </w:tcBorders>
            <w:vAlign w:val="center"/>
          </w:tcPr>
          <w:p w14:paraId="4CC92380" w14:textId="17DFB304" w:rsidR="00DE500C" w:rsidRPr="00C03B64" w:rsidRDefault="00DE500C" w:rsidP="009F2B4F">
            <w:pPr>
              <w:jc w:val="center"/>
            </w:pPr>
            <w:r w:rsidRPr="00DE500C">
              <w:rPr>
                <w:b/>
                <w:bCs/>
              </w:rPr>
              <w:t>Indicador</w:t>
            </w:r>
          </w:p>
        </w:tc>
        <w:tc>
          <w:tcPr>
            <w:tcW w:w="3162" w:type="dxa"/>
            <w:tcBorders>
              <w:top w:val="nil"/>
              <w:left w:val="nil"/>
              <w:bottom w:val="single" w:sz="4" w:space="0" w:color="auto"/>
              <w:right w:val="nil"/>
            </w:tcBorders>
            <w:vAlign w:val="center"/>
          </w:tcPr>
          <w:p w14:paraId="5B63D18C" w14:textId="7BE35486" w:rsidR="00DE500C" w:rsidRPr="00C03B64" w:rsidRDefault="00DE500C" w:rsidP="009F2B4F">
            <w:pPr>
              <w:jc w:val="center"/>
            </w:pPr>
            <w:r w:rsidRPr="00DE500C">
              <w:rPr>
                <w:b/>
                <w:bCs/>
              </w:rPr>
              <w:t>Fuente</w:t>
            </w:r>
          </w:p>
        </w:tc>
        <w:tc>
          <w:tcPr>
            <w:tcW w:w="3163" w:type="dxa"/>
            <w:tcBorders>
              <w:top w:val="nil"/>
              <w:left w:val="nil"/>
              <w:bottom w:val="single" w:sz="4" w:space="0" w:color="auto"/>
              <w:right w:val="nil"/>
            </w:tcBorders>
            <w:vAlign w:val="center"/>
          </w:tcPr>
          <w:p w14:paraId="1F6ABEDA" w14:textId="5B2EA219" w:rsidR="00DE500C" w:rsidRPr="00C03B64" w:rsidRDefault="00DE500C" w:rsidP="009F2B4F">
            <w:pPr>
              <w:jc w:val="center"/>
            </w:pPr>
            <w:r w:rsidRPr="00DE500C">
              <w:rPr>
                <w:b/>
                <w:bCs/>
              </w:rPr>
              <w:t>Descripción corta</w:t>
            </w:r>
          </w:p>
        </w:tc>
      </w:tr>
      <w:tr w:rsidR="00C03B64" w:rsidRPr="00C03B64" w14:paraId="247C54A2" w14:textId="77777777" w:rsidTr="00DE500C">
        <w:tc>
          <w:tcPr>
            <w:tcW w:w="3162" w:type="dxa"/>
            <w:tcBorders>
              <w:top w:val="single" w:sz="4" w:space="0" w:color="auto"/>
            </w:tcBorders>
            <w:vAlign w:val="center"/>
          </w:tcPr>
          <w:p w14:paraId="77F58157" w14:textId="0763A92E" w:rsidR="00C03B64" w:rsidRPr="00C03B64" w:rsidRDefault="00C03B64" w:rsidP="0050583F">
            <w:pPr>
              <w:spacing w:before="0"/>
              <w:jc w:val="left"/>
            </w:pPr>
            <w:r w:rsidRPr="00C03B64">
              <w:t>Porcentaje de niños/as de 36-59 meses con un desarrollo adecuado en el componente de lecto-escritura</w:t>
            </w:r>
          </w:p>
        </w:tc>
        <w:tc>
          <w:tcPr>
            <w:tcW w:w="3162" w:type="dxa"/>
            <w:tcBorders>
              <w:top w:val="single" w:sz="4" w:space="0" w:color="auto"/>
            </w:tcBorders>
            <w:vAlign w:val="center"/>
          </w:tcPr>
          <w:p w14:paraId="206FED54" w14:textId="77777777" w:rsidR="00C03B64" w:rsidRPr="00C03B64" w:rsidRDefault="00C03B64" w:rsidP="0050583F">
            <w:pPr>
              <w:spacing w:before="0"/>
              <w:jc w:val="center"/>
            </w:pPr>
            <w:r w:rsidRPr="00C03B64">
              <w:t>ENDESA</w:t>
            </w:r>
          </w:p>
        </w:tc>
        <w:tc>
          <w:tcPr>
            <w:tcW w:w="3163" w:type="dxa"/>
            <w:tcBorders>
              <w:top w:val="single" w:sz="4" w:space="0" w:color="auto"/>
            </w:tcBorders>
            <w:vAlign w:val="center"/>
          </w:tcPr>
          <w:p w14:paraId="00F079C6" w14:textId="1733C24B" w:rsidR="00C03B64" w:rsidRPr="00C03B64" w:rsidRDefault="00C03B64" w:rsidP="0050583F">
            <w:pPr>
              <w:spacing w:before="0"/>
              <w:jc w:val="left"/>
            </w:pPr>
            <w:r w:rsidRPr="00C03B64">
              <w:t>ECDI - Lecto-escritura</w:t>
            </w:r>
          </w:p>
        </w:tc>
      </w:tr>
    </w:tbl>
    <w:p w14:paraId="3AC0226D" w14:textId="21F811E7" w:rsidR="00C03B64" w:rsidRPr="00C03B64" w:rsidRDefault="009F2B4F" w:rsidP="00D90446">
      <w:r>
        <w:t>La primera dimensión, correspondiente a lecto escritura se valora por medio de 3 criterios: identificar por lo menos 10 letras del alfabeto, leer por lo menos 4 palabras entre las más populares e identificar los números del 1 al 10. Se reconoce que un niño o niña entre 36 y 59 meses tiene un desarrollo adecuado en lecto-escritura si por lo menos cumple 2 de los 3 criterios.</w:t>
      </w:r>
    </w:p>
    <w:tbl>
      <w:tblPr>
        <w:tblStyle w:val="Tablaconcuadrcula"/>
        <w:tblW w:w="0" w:type="auto"/>
        <w:tblLook w:val="04A0" w:firstRow="1" w:lastRow="0" w:firstColumn="1" w:lastColumn="0" w:noHBand="0" w:noVBand="1"/>
      </w:tblPr>
      <w:tblGrid>
        <w:gridCol w:w="3162"/>
        <w:gridCol w:w="3162"/>
        <w:gridCol w:w="3163"/>
      </w:tblGrid>
      <w:tr w:rsidR="00DE500C" w:rsidRPr="00C03B64" w14:paraId="3D59F681" w14:textId="77777777" w:rsidTr="00DE500C">
        <w:tc>
          <w:tcPr>
            <w:tcW w:w="3162" w:type="dxa"/>
            <w:tcBorders>
              <w:top w:val="nil"/>
              <w:left w:val="nil"/>
              <w:bottom w:val="single" w:sz="4" w:space="0" w:color="auto"/>
              <w:right w:val="nil"/>
            </w:tcBorders>
            <w:vAlign w:val="center"/>
          </w:tcPr>
          <w:p w14:paraId="0C7BD818" w14:textId="6A79AE95" w:rsidR="00DE500C" w:rsidRPr="00C03B64" w:rsidRDefault="00DE500C" w:rsidP="009F2B4F">
            <w:pPr>
              <w:jc w:val="center"/>
            </w:pPr>
            <w:r w:rsidRPr="00DE500C">
              <w:rPr>
                <w:b/>
                <w:bCs/>
              </w:rPr>
              <w:t>Indicador</w:t>
            </w:r>
          </w:p>
        </w:tc>
        <w:tc>
          <w:tcPr>
            <w:tcW w:w="3162" w:type="dxa"/>
            <w:tcBorders>
              <w:top w:val="nil"/>
              <w:left w:val="nil"/>
              <w:bottom w:val="single" w:sz="4" w:space="0" w:color="auto"/>
              <w:right w:val="nil"/>
            </w:tcBorders>
            <w:vAlign w:val="center"/>
          </w:tcPr>
          <w:p w14:paraId="061DC134" w14:textId="592B6FF5" w:rsidR="00DE500C" w:rsidRPr="00C03B64" w:rsidRDefault="00DE500C" w:rsidP="009F2B4F">
            <w:pPr>
              <w:jc w:val="center"/>
            </w:pPr>
            <w:r w:rsidRPr="00DE500C">
              <w:rPr>
                <w:b/>
                <w:bCs/>
              </w:rPr>
              <w:t>Fuente</w:t>
            </w:r>
          </w:p>
        </w:tc>
        <w:tc>
          <w:tcPr>
            <w:tcW w:w="3163" w:type="dxa"/>
            <w:tcBorders>
              <w:top w:val="nil"/>
              <w:left w:val="nil"/>
              <w:bottom w:val="single" w:sz="4" w:space="0" w:color="auto"/>
              <w:right w:val="nil"/>
            </w:tcBorders>
            <w:vAlign w:val="center"/>
          </w:tcPr>
          <w:p w14:paraId="3E898902" w14:textId="7272DE12" w:rsidR="00DE500C" w:rsidRPr="00C03B64" w:rsidRDefault="00DE500C" w:rsidP="009F2B4F">
            <w:pPr>
              <w:jc w:val="center"/>
            </w:pPr>
            <w:r w:rsidRPr="00DE500C">
              <w:rPr>
                <w:b/>
                <w:bCs/>
              </w:rPr>
              <w:t>Descripción corta</w:t>
            </w:r>
          </w:p>
        </w:tc>
      </w:tr>
      <w:tr w:rsidR="00C03B64" w:rsidRPr="00C03B64" w14:paraId="2DEF70B6" w14:textId="77777777" w:rsidTr="00DE500C">
        <w:tc>
          <w:tcPr>
            <w:tcW w:w="3162" w:type="dxa"/>
            <w:tcBorders>
              <w:top w:val="single" w:sz="4" w:space="0" w:color="auto"/>
            </w:tcBorders>
            <w:vAlign w:val="center"/>
          </w:tcPr>
          <w:p w14:paraId="0603E8E1" w14:textId="4F963B6D" w:rsidR="00C03B64" w:rsidRPr="00C03B64" w:rsidRDefault="00C03B64" w:rsidP="0050583F">
            <w:pPr>
              <w:spacing w:before="0"/>
              <w:jc w:val="left"/>
            </w:pPr>
            <w:r w:rsidRPr="00C03B64">
              <w:t>Porcentaje de niños/as de 36-59 meses con un desarrollo adecuado en el componente físico</w:t>
            </w:r>
          </w:p>
        </w:tc>
        <w:tc>
          <w:tcPr>
            <w:tcW w:w="3162" w:type="dxa"/>
            <w:tcBorders>
              <w:top w:val="single" w:sz="4" w:space="0" w:color="auto"/>
            </w:tcBorders>
            <w:vAlign w:val="center"/>
          </w:tcPr>
          <w:p w14:paraId="5F09A92C" w14:textId="77777777" w:rsidR="00C03B64" w:rsidRPr="00C03B64" w:rsidRDefault="00C03B64" w:rsidP="0050583F">
            <w:pPr>
              <w:spacing w:before="0"/>
              <w:jc w:val="center"/>
            </w:pPr>
            <w:r w:rsidRPr="00C03B64">
              <w:t>ENDESA</w:t>
            </w:r>
          </w:p>
        </w:tc>
        <w:tc>
          <w:tcPr>
            <w:tcW w:w="3163" w:type="dxa"/>
            <w:tcBorders>
              <w:top w:val="single" w:sz="4" w:space="0" w:color="auto"/>
            </w:tcBorders>
            <w:vAlign w:val="center"/>
          </w:tcPr>
          <w:p w14:paraId="10ABE7FC" w14:textId="4D3D1F83" w:rsidR="00C03B64" w:rsidRPr="00C03B64" w:rsidRDefault="00C03B64" w:rsidP="0050583F">
            <w:pPr>
              <w:spacing w:before="0"/>
              <w:jc w:val="left"/>
            </w:pPr>
            <w:r w:rsidRPr="00C03B64">
              <w:t>ECDI - Físico</w:t>
            </w:r>
          </w:p>
        </w:tc>
      </w:tr>
    </w:tbl>
    <w:p w14:paraId="23E4A3FF" w14:textId="6973D904" w:rsidR="00C03B64" w:rsidRPr="00C03B64" w:rsidRDefault="009F2B4F" w:rsidP="00D90446">
      <w:r>
        <w:t>La segunda dimensión, referente al componente físico, evalúa dos criterios: levantar pequeños objetos con dos dedos y si no se siente enfermo para jugar. Un niño o niña entre 36 y 59 meses tendrá un desarrollo adecuado si cumple por lo menos uno de los dos criterios.</w:t>
      </w:r>
    </w:p>
    <w:tbl>
      <w:tblPr>
        <w:tblStyle w:val="Tablaconcuadrcula"/>
        <w:tblW w:w="0" w:type="auto"/>
        <w:tblLook w:val="04A0" w:firstRow="1" w:lastRow="0" w:firstColumn="1" w:lastColumn="0" w:noHBand="0" w:noVBand="1"/>
      </w:tblPr>
      <w:tblGrid>
        <w:gridCol w:w="3162"/>
        <w:gridCol w:w="3162"/>
        <w:gridCol w:w="3163"/>
      </w:tblGrid>
      <w:tr w:rsidR="00DE500C" w:rsidRPr="00C03B64" w14:paraId="230182FA" w14:textId="77777777" w:rsidTr="00DE500C">
        <w:tc>
          <w:tcPr>
            <w:tcW w:w="3162" w:type="dxa"/>
            <w:tcBorders>
              <w:top w:val="nil"/>
              <w:left w:val="nil"/>
              <w:bottom w:val="single" w:sz="4" w:space="0" w:color="auto"/>
              <w:right w:val="nil"/>
            </w:tcBorders>
            <w:vAlign w:val="center"/>
          </w:tcPr>
          <w:p w14:paraId="5A33E6C1" w14:textId="1BC2332B" w:rsidR="00DE500C" w:rsidRPr="00C03B64" w:rsidRDefault="00DE500C" w:rsidP="009F2B4F">
            <w:pPr>
              <w:jc w:val="center"/>
            </w:pPr>
            <w:r w:rsidRPr="00DE500C">
              <w:rPr>
                <w:b/>
                <w:bCs/>
              </w:rPr>
              <w:t>Indicador</w:t>
            </w:r>
          </w:p>
        </w:tc>
        <w:tc>
          <w:tcPr>
            <w:tcW w:w="3162" w:type="dxa"/>
            <w:tcBorders>
              <w:top w:val="nil"/>
              <w:left w:val="nil"/>
              <w:bottom w:val="single" w:sz="4" w:space="0" w:color="auto"/>
              <w:right w:val="nil"/>
            </w:tcBorders>
            <w:vAlign w:val="center"/>
          </w:tcPr>
          <w:p w14:paraId="1428609E" w14:textId="0431AA87" w:rsidR="00DE500C" w:rsidRPr="00C03B64" w:rsidRDefault="00DE500C" w:rsidP="009F2B4F">
            <w:pPr>
              <w:jc w:val="center"/>
            </w:pPr>
            <w:r w:rsidRPr="00DE500C">
              <w:rPr>
                <w:b/>
                <w:bCs/>
              </w:rPr>
              <w:t>Fuente</w:t>
            </w:r>
          </w:p>
        </w:tc>
        <w:tc>
          <w:tcPr>
            <w:tcW w:w="3163" w:type="dxa"/>
            <w:tcBorders>
              <w:top w:val="nil"/>
              <w:left w:val="nil"/>
              <w:bottom w:val="single" w:sz="4" w:space="0" w:color="auto"/>
              <w:right w:val="nil"/>
            </w:tcBorders>
            <w:vAlign w:val="center"/>
          </w:tcPr>
          <w:p w14:paraId="6C0F5374" w14:textId="0067AF79" w:rsidR="00DE500C" w:rsidRPr="00C03B64" w:rsidRDefault="00DE500C" w:rsidP="009F2B4F">
            <w:pPr>
              <w:jc w:val="center"/>
            </w:pPr>
            <w:r w:rsidRPr="00DE500C">
              <w:rPr>
                <w:b/>
                <w:bCs/>
              </w:rPr>
              <w:t>Descripción corta</w:t>
            </w:r>
          </w:p>
        </w:tc>
      </w:tr>
      <w:tr w:rsidR="00C03B64" w:rsidRPr="00C03B64" w14:paraId="5818A3EB" w14:textId="77777777" w:rsidTr="00DE500C">
        <w:tc>
          <w:tcPr>
            <w:tcW w:w="3162" w:type="dxa"/>
            <w:tcBorders>
              <w:top w:val="single" w:sz="4" w:space="0" w:color="auto"/>
            </w:tcBorders>
            <w:vAlign w:val="center"/>
          </w:tcPr>
          <w:p w14:paraId="55C3B881" w14:textId="15D410E8" w:rsidR="00C03B64" w:rsidRPr="00C03B64" w:rsidRDefault="00C03B64" w:rsidP="0050583F">
            <w:pPr>
              <w:spacing w:before="0"/>
              <w:jc w:val="left"/>
            </w:pPr>
            <w:r w:rsidRPr="00C03B64">
              <w:t xml:space="preserve">Porcentaje de niños/as de 36-59 meses con un </w:t>
            </w:r>
            <w:r w:rsidRPr="00C03B64">
              <w:lastRenderedPageBreak/>
              <w:t xml:space="preserve">desarrollo adecuado en el componente </w:t>
            </w:r>
            <w:proofErr w:type="gramStart"/>
            <w:r w:rsidRPr="00C03B64">
              <w:t>socio-emocional</w:t>
            </w:r>
            <w:proofErr w:type="gramEnd"/>
          </w:p>
        </w:tc>
        <w:tc>
          <w:tcPr>
            <w:tcW w:w="3162" w:type="dxa"/>
            <w:tcBorders>
              <w:top w:val="single" w:sz="4" w:space="0" w:color="auto"/>
            </w:tcBorders>
            <w:vAlign w:val="center"/>
          </w:tcPr>
          <w:p w14:paraId="508A0427" w14:textId="77777777" w:rsidR="00C03B64" w:rsidRPr="00C03B64" w:rsidRDefault="00C03B64" w:rsidP="0050583F">
            <w:pPr>
              <w:spacing w:before="0"/>
              <w:jc w:val="center"/>
            </w:pPr>
            <w:r w:rsidRPr="00C03B64">
              <w:lastRenderedPageBreak/>
              <w:t>ENDESA</w:t>
            </w:r>
          </w:p>
        </w:tc>
        <w:tc>
          <w:tcPr>
            <w:tcW w:w="3163" w:type="dxa"/>
            <w:tcBorders>
              <w:top w:val="single" w:sz="4" w:space="0" w:color="auto"/>
            </w:tcBorders>
            <w:vAlign w:val="center"/>
          </w:tcPr>
          <w:p w14:paraId="59CE3D75" w14:textId="71D60EBA" w:rsidR="00C03B64" w:rsidRPr="00C03B64" w:rsidRDefault="00C03B64" w:rsidP="0050583F">
            <w:pPr>
              <w:spacing w:before="0"/>
              <w:jc w:val="left"/>
            </w:pPr>
            <w:r w:rsidRPr="00C03B64">
              <w:t xml:space="preserve">ECDI - </w:t>
            </w:r>
            <w:proofErr w:type="gramStart"/>
            <w:r w:rsidRPr="00C03B64">
              <w:t>Socio-emocional</w:t>
            </w:r>
            <w:proofErr w:type="gramEnd"/>
          </w:p>
        </w:tc>
      </w:tr>
    </w:tbl>
    <w:p w14:paraId="239D01E8" w14:textId="5AFA6F62" w:rsidR="00C03B64" w:rsidRDefault="009F2B4F" w:rsidP="00D90446">
      <w:r>
        <w:t xml:space="preserve">En la tercera dimensión, se mide el desarrollo adecuado </w:t>
      </w:r>
      <w:proofErr w:type="gramStart"/>
      <w:r>
        <w:t>socio-emocional</w:t>
      </w:r>
      <w:proofErr w:type="gramEnd"/>
      <w:r>
        <w:t xml:space="preserve"> por medio de 3 criterios</w:t>
      </w:r>
      <w:r w:rsidR="00293C11">
        <w:t>: se lleva bien con otros niños, no patea o muerde a otras personas y no se distrae fácilmente. Si el niño o niña entre 36 y 59 meses cumple con al menos 2 de los 3 criterios se reconoce que el niño o niña tiene un desarrollo adecuado en esta dimensión.</w:t>
      </w:r>
    </w:p>
    <w:tbl>
      <w:tblPr>
        <w:tblStyle w:val="Tablaconcuadrcula"/>
        <w:tblW w:w="0" w:type="auto"/>
        <w:tblLook w:val="04A0" w:firstRow="1" w:lastRow="0" w:firstColumn="1" w:lastColumn="0" w:noHBand="0" w:noVBand="1"/>
      </w:tblPr>
      <w:tblGrid>
        <w:gridCol w:w="3162"/>
        <w:gridCol w:w="3162"/>
        <w:gridCol w:w="3163"/>
      </w:tblGrid>
      <w:tr w:rsidR="009F2B4F" w:rsidRPr="00C03B64" w14:paraId="0BCF950A" w14:textId="77777777" w:rsidTr="0050583F">
        <w:tc>
          <w:tcPr>
            <w:tcW w:w="3162" w:type="dxa"/>
            <w:tcBorders>
              <w:top w:val="nil"/>
              <w:left w:val="nil"/>
              <w:bottom w:val="single" w:sz="4" w:space="0" w:color="auto"/>
              <w:right w:val="nil"/>
            </w:tcBorders>
            <w:vAlign w:val="center"/>
          </w:tcPr>
          <w:p w14:paraId="18B18828" w14:textId="77777777" w:rsidR="009F2B4F" w:rsidRPr="00C03B64" w:rsidRDefault="009F2B4F" w:rsidP="00293C11">
            <w:pPr>
              <w:jc w:val="center"/>
            </w:pPr>
            <w:r w:rsidRPr="00DE500C">
              <w:rPr>
                <w:b/>
                <w:bCs/>
              </w:rPr>
              <w:t>Indicador</w:t>
            </w:r>
          </w:p>
        </w:tc>
        <w:tc>
          <w:tcPr>
            <w:tcW w:w="3162" w:type="dxa"/>
            <w:tcBorders>
              <w:top w:val="nil"/>
              <w:left w:val="nil"/>
              <w:bottom w:val="single" w:sz="4" w:space="0" w:color="auto"/>
              <w:right w:val="nil"/>
            </w:tcBorders>
            <w:vAlign w:val="center"/>
          </w:tcPr>
          <w:p w14:paraId="6DC1185B" w14:textId="77777777" w:rsidR="009F2B4F" w:rsidRPr="00C03B64" w:rsidRDefault="009F2B4F" w:rsidP="00293C11">
            <w:pPr>
              <w:jc w:val="center"/>
            </w:pPr>
            <w:r w:rsidRPr="00DE500C">
              <w:rPr>
                <w:b/>
                <w:bCs/>
              </w:rPr>
              <w:t>Fuente</w:t>
            </w:r>
          </w:p>
        </w:tc>
        <w:tc>
          <w:tcPr>
            <w:tcW w:w="3163" w:type="dxa"/>
            <w:tcBorders>
              <w:top w:val="nil"/>
              <w:left w:val="nil"/>
              <w:bottom w:val="single" w:sz="4" w:space="0" w:color="auto"/>
              <w:right w:val="nil"/>
            </w:tcBorders>
            <w:vAlign w:val="center"/>
          </w:tcPr>
          <w:p w14:paraId="23D05EBF" w14:textId="77777777" w:rsidR="009F2B4F" w:rsidRPr="00C03B64" w:rsidRDefault="009F2B4F" w:rsidP="00293C11">
            <w:pPr>
              <w:jc w:val="center"/>
            </w:pPr>
            <w:r w:rsidRPr="00DE500C">
              <w:rPr>
                <w:b/>
                <w:bCs/>
              </w:rPr>
              <w:t>Descripción corta</w:t>
            </w:r>
          </w:p>
        </w:tc>
      </w:tr>
      <w:tr w:rsidR="009F2B4F" w:rsidRPr="00C03B64" w14:paraId="3CB338DE" w14:textId="77777777" w:rsidTr="0050583F">
        <w:tc>
          <w:tcPr>
            <w:tcW w:w="3162" w:type="dxa"/>
            <w:tcBorders>
              <w:top w:val="single" w:sz="4" w:space="0" w:color="auto"/>
            </w:tcBorders>
            <w:vAlign w:val="center"/>
          </w:tcPr>
          <w:p w14:paraId="35955755" w14:textId="0D9057D0" w:rsidR="009F2B4F" w:rsidRPr="00C03B64" w:rsidRDefault="009F2B4F" w:rsidP="0050583F">
            <w:pPr>
              <w:spacing w:before="0"/>
              <w:jc w:val="left"/>
            </w:pPr>
            <w:r w:rsidRPr="00C03B64">
              <w:t xml:space="preserve">Porcentaje de niños/as de 36-59 meses con un desarrollo adecuado en el componente </w:t>
            </w:r>
            <w:r>
              <w:t>aprendizaje</w:t>
            </w:r>
          </w:p>
        </w:tc>
        <w:tc>
          <w:tcPr>
            <w:tcW w:w="3162" w:type="dxa"/>
            <w:tcBorders>
              <w:top w:val="single" w:sz="4" w:space="0" w:color="auto"/>
            </w:tcBorders>
            <w:vAlign w:val="center"/>
          </w:tcPr>
          <w:p w14:paraId="3D442248" w14:textId="77777777" w:rsidR="009F2B4F" w:rsidRPr="00C03B64" w:rsidRDefault="009F2B4F" w:rsidP="0050583F">
            <w:pPr>
              <w:spacing w:before="0"/>
              <w:jc w:val="center"/>
            </w:pPr>
            <w:r w:rsidRPr="00C03B64">
              <w:t>ENDESA</w:t>
            </w:r>
          </w:p>
        </w:tc>
        <w:tc>
          <w:tcPr>
            <w:tcW w:w="3163" w:type="dxa"/>
            <w:tcBorders>
              <w:top w:val="single" w:sz="4" w:space="0" w:color="auto"/>
            </w:tcBorders>
            <w:vAlign w:val="center"/>
          </w:tcPr>
          <w:p w14:paraId="79E40C27" w14:textId="31491D39" w:rsidR="009F2B4F" w:rsidRPr="00C03B64" w:rsidRDefault="009F2B4F" w:rsidP="0050583F">
            <w:pPr>
              <w:spacing w:before="0"/>
              <w:jc w:val="left"/>
            </w:pPr>
            <w:r w:rsidRPr="00C03B64">
              <w:t xml:space="preserve">ECDI - </w:t>
            </w:r>
            <w:r>
              <w:t>Aprendizaje</w:t>
            </w:r>
          </w:p>
        </w:tc>
      </w:tr>
    </w:tbl>
    <w:p w14:paraId="2970617B" w14:textId="7119CE1B" w:rsidR="00C03B64" w:rsidRPr="00C03B64" w:rsidRDefault="00293C11" w:rsidP="00D90446">
      <w:r>
        <w:t>Por último, la cuarta dimensión correspondiente al aprendizaje se mide por medio de 2 criterios: sigue simples instrucciones de como hacer las cosas correctamente y puede hacer cosas por si mismo. El niño o niña tendrá un desarrollo adecuado en esta dimensión si cumple por lo menos uno de los dos criterios.</w:t>
      </w:r>
    </w:p>
    <w:tbl>
      <w:tblPr>
        <w:tblStyle w:val="Tablaconcuadrcula"/>
        <w:tblW w:w="0" w:type="auto"/>
        <w:tblLook w:val="04A0" w:firstRow="1" w:lastRow="0" w:firstColumn="1" w:lastColumn="0" w:noHBand="0" w:noVBand="1"/>
      </w:tblPr>
      <w:tblGrid>
        <w:gridCol w:w="3162"/>
        <w:gridCol w:w="3162"/>
        <w:gridCol w:w="3163"/>
      </w:tblGrid>
      <w:tr w:rsidR="00DE500C" w:rsidRPr="00C03B64" w14:paraId="6436C5F7" w14:textId="77777777" w:rsidTr="00DE500C">
        <w:tc>
          <w:tcPr>
            <w:tcW w:w="3162" w:type="dxa"/>
            <w:tcBorders>
              <w:top w:val="nil"/>
              <w:left w:val="nil"/>
              <w:bottom w:val="single" w:sz="4" w:space="0" w:color="auto"/>
              <w:right w:val="nil"/>
            </w:tcBorders>
            <w:vAlign w:val="center"/>
          </w:tcPr>
          <w:p w14:paraId="5241F44E" w14:textId="4FB01875" w:rsidR="00DE500C" w:rsidRPr="00C03B64" w:rsidRDefault="00DE500C" w:rsidP="00293C11">
            <w:pPr>
              <w:jc w:val="center"/>
            </w:pPr>
            <w:r w:rsidRPr="00DE500C">
              <w:rPr>
                <w:b/>
                <w:bCs/>
              </w:rPr>
              <w:t>Indicador</w:t>
            </w:r>
          </w:p>
        </w:tc>
        <w:tc>
          <w:tcPr>
            <w:tcW w:w="3162" w:type="dxa"/>
            <w:tcBorders>
              <w:top w:val="nil"/>
              <w:left w:val="nil"/>
              <w:bottom w:val="single" w:sz="4" w:space="0" w:color="auto"/>
              <w:right w:val="nil"/>
            </w:tcBorders>
            <w:vAlign w:val="center"/>
          </w:tcPr>
          <w:p w14:paraId="474644F4" w14:textId="31A71B65" w:rsidR="00DE500C" w:rsidRPr="00C03B64" w:rsidRDefault="00DE500C" w:rsidP="00293C11">
            <w:pPr>
              <w:jc w:val="center"/>
            </w:pPr>
            <w:r w:rsidRPr="00DE500C">
              <w:rPr>
                <w:b/>
                <w:bCs/>
              </w:rPr>
              <w:t>Fuente</w:t>
            </w:r>
          </w:p>
        </w:tc>
        <w:tc>
          <w:tcPr>
            <w:tcW w:w="3163" w:type="dxa"/>
            <w:tcBorders>
              <w:top w:val="nil"/>
              <w:left w:val="nil"/>
              <w:bottom w:val="single" w:sz="4" w:space="0" w:color="auto"/>
              <w:right w:val="nil"/>
            </w:tcBorders>
            <w:vAlign w:val="center"/>
          </w:tcPr>
          <w:p w14:paraId="6DD01EB4" w14:textId="72D2B1D4" w:rsidR="00DE500C" w:rsidRPr="00C03B64" w:rsidRDefault="00DE500C" w:rsidP="00293C11">
            <w:pPr>
              <w:jc w:val="center"/>
            </w:pPr>
            <w:r w:rsidRPr="00DE500C">
              <w:rPr>
                <w:b/>
                <w:bCs/>
              </w:rPr>
              <w:t>Descripción corta</w:t>
            </w:r>
          </w:p>
        </w:tc>
      </w:tr>
      <w:tr w:rsidR="00C03B64" w:rsidRPr="00C03B64" w14:paraId="41826A93" w14:textId="77777777" w:rsidTr="00DE500C">
        <w:tc>
          <w:tcPr>
            <w:tcW w:w="3162" w:type="dxa"/>
            <w:tcBorders>
              <w:top w:val="single" w:sz="4" w:space="0" w:color="auto"/>
            </w:tcBorders>
            <w:vAlign w:val="center"/>
          </w:tcPr>
          <w:p w14:paraId="44555639" w14:textId="245B3FD1" w:rsidR="00C03B64" w:rsidRPr="00C03B64" w:rsidRDefault="00C03B64" w:rsidP="0050583F">
            <w:pPr>
              <w:spacing w:before="0"/>
              <w:jc w:val="left"/>
            </w:pPr>
            <w:r w:rsidRPr="00C03B64">
              <w:t>Porcentaje de niños/as de 36-59 meses cumplen el índice de Desarrollo Infantil Temprano</w:t>
            </w:r>
          </w:p>
        </w:tc>
        <w:tc>
          <w:tcPr>
            <w:tcW w:w="3162" w:type="dxa"/>
            <w:tcBorders>
              <w:top w:val="single" w:sz="4" w:space="0" w:color="auto"/>
            </w:tcBorders>
            <w:vAlign w:val="center"/>
          </w:tcPr>
          <w:p w14:paraId="18D9991C" w14:textId="459E7ABE" w:rsidR="00C03B64" w:rsidRPr="00C03B64" w:rsidRDefault="00C03B64" w:rsidP="0050583F">
            <w:pPr>
              <w:spacing w:before="0"/>
              <w:jc w:val="center"/>
            </w:pPr>
            <w:r w:rsidRPr="00C03B64">
              <w:t>EHU</w:t>
            </w:r>
          </w:p>
        </w:tc>
        <w:tc>
          <w:tcPr>
            <w:tcW w:w="3163" w:type="dxa"/>
            <w:tcBorders>
              <w:top w:val="single" w:sz="4" w:space="0" w:color="auto"/>
            </w:tcBorders>
            <w:vAlign w:val="center"/>
          </w:tcPr>
          <w:p w14:paraId="6ED376D3" w14:textId="66E5038B" w:rsidR="00C03B64" w:rsidRPr="00C03B64" w:rsidRDefault="00C03B64" w:rsidP="0050583F">
            <w:pPr>
              <w:spacing w:before="0"/>
              <w:jc w:val="left"/>
            </w:pPr>
            <w:r w:rsidRPr="00C03B64">
              <w:t>Desarrollo infantil temprano (DIT)</w:t>
            </w:r>
          </w:p>
        </w:tc>
      </w:tr>
    </w:tbl>
    <w:p w14:paraId="2BB189C9" w14:textId="63451F04" w:rsidR="00C03B64" w:rsidRPr="00C03B64" w:rsidRDefault="00293C11" w:rsidP="00D90446">
      <w:r>
        <w:t xml:space="preserve">En la EHU se empleó una metodología diferente a la planteada en la ENDESA para identificar si un niño o niña tiene un desarrollo adecuado para la edad, es por esto </w:t>
      </w:r>
      <w:proofErr w:type="gramStart"/>
      <w:r>
        <w:t>que</w:t>
      </w:r>
      <w:proofErr w:type="gramEnd"/>
      <w:r>
        <w:t xml:space="preserve"> </w:t>
      </w:r>
      <w:r w:rsidR="00FA14DE">
        <w:t>e</w:t>
      </w:r>
      <w:r>
        <w:t xml:space="preserve">ste indicador no es comparable en el tiempo. Por medio de una escala que relacionaba las </w:t>
      </w:r>
      <w:r w:rsidR="00FA14DE">
        <w:t>actividades</w:t>
      </w:r>
      <w:r>
        <w:t xml:space="preserve"> del niño o niña según la edad se realizó la Evaluación de Desarrollo del Niño (EDIN) con el cual se calculó el índice de Desarrollo Infantil Temprano. Este índice evalúa el desarrollo del niño o niña en cinco dimensiones: </w:t>
      </w:r>
      <w:proofErr w:type="gramStart"/>
      <w:r w:rsidR="00FA14DE">
        <w:t>motor gruesa</w:t>
      </w:r>
      <w:proofErr w:type="gramEnd"/>
      <w:r w:rsidR="00FA14DE">
        <w:t>, motor fina, cognoscitiva, lenguaje y socio afectivo. Se define un niño o niña entre 36 y 59 sin riesgo en su desarrollo si hace las actividades correspondientes a su edad en las cinco dimensiones, esta condición se reconoció en la evaluación como un niño o niña entre 36 y 59 con un adecuado desarrollo infantil temprano.</w:t>
      </w:r>
    </w:p>
    <w:tbl>
      <w:tblPr>
        <w:tblStyle w:val="Tablaconcuadrcula"/>
        <w:tblW w:w="0" w:type="auto"/>
        <w:tblLook w:val="04A0" w:firstRow="1" w:lastRow="0" w:firstColumn="1" w:lastColumn="0" w:noHBand="0" w:noVBand="1"/>
      </w:tblPr>
      <w:tblGrid>
        <w:gridCol w:w="3162"/>
        <w:gridCol w:w="3162"/>
        <w:gridCol w:w="3163"/>
      </w:tblGrid>
      <w:tr w:rsidR="00DE500C" w:rsidRPr="00C03B64" w14:paraId="7A6A271C" w14:textId="77777777" w:rsidTr="00DE500C">
        <w:tc>
          <w:tcPr>
            <w:tcW w:w="3162" w:type="dxa"/>
            <w:tcBorders>
              <w:top w:val="nil"/>
              <w:left w:val="nil"/>
              <w:bottom w:val="single" w:sz="4" w:space="0" w:color="auto"/>
              <w:right w:val="nil"/>
            </w:tcBorders>
            <w:vAlign w:val="center"/>
          </w:tcPr>
          <w:p w14:paraId="1488B0A9" w14:textId="3BBECE5E" w:rsidR="00DE500C" w:rsidRPr="00C03B64" w:rsidRDefault="00DE500C" w:rsidP="00FA14DE">
            <w:pPr>
              <w:jc w:val="center"/>
            </w:pPr>
            <w:r w:rsidRPr="00DE500C">
              <w:rPr>
                <w:b/>
                <w:bCs/>
              </w:rPr>
              <w:t>Indicador</w:t>
            </w:r>
          </w:p>
        </w:tc>
        <w:tc>
          <w:tcPr>
            <w:tcW w:w="3162" w:type="dxa"/>
            <w:tcBorders>
              <w:top w:val="nil"/>
              <w:left w:val="nil"/>
              <w:bottom w:val="single" w:sz="4" w:space="0" w:color="auto"/>
              <w:right w:val="nil"/>
            </w:tcBorders>
            <w:vAlign w:val="center"/>
          </w:tcPr>
          <w:p w14:paraId="5AEE034F" w14:textId="21FFCDA2" w:rsidR="00DE500C" w:rsidRPr="00C03B64" w:rsidRDefault="00DE500C" w:rsidP="00FA14DE">
            <w:pPr>
              <w:jc w:val="center"/>
            </w:pPr>
            <w:r w:rsidRPr="00DE500C">
              <w:rPr>
                <w:b/>
                <w:bCs/>
              </w:rPr>
              <w:t>Fuente</w:t>
            </w:r>
          </w:p>
        </w:tc>
        <w:tc>
          <w:tcPr>
            <w:tcW w:w="3163" w:type="dxa"/>
            <w:tcBorders>
              <w:top w:val="nil"/>
              <w:left w:val="nil"/>
              <w:bottom w:val="single" w:sz="4" w:space="0" w:color="auto"/>
              <w:right w:val="nil"/>
            </w:tcBorders>
            <w:vAlign w:val="center"/>
          </w:tcPr>
          <w:p w14:paraId="7801DC37" w14:textId="6D807F63" w:rsidR="00DE500C" w:rsidRPr="00C03B64" w:rsidRDefault="00DE500C" w:rsidP="00FA14DE">
            <w:pPr>
              <w:jc w:val="center"/>
            </w:pPr>
            <w:r w:rsidRPr="00DE500C">
              <w:rPr>
                <w:b/>
                <w:bCs/>
              </w:rPr>
              <w:t>Descripción corta</w:t>
            </w:r>
          </w:p>
        </w:tc>
      </w:tr>
      <w:tr w:rsidR="00C03B64" w:rsidRPr="00C03B64" w14:paraId="5EF764BB" w14:textId="77777777" w:rsidTr="00DE500C">
        <w:tc>
          <w:tcPr>
            <w:tcW w:w="3162" w:type="dxa"/>
            <w:tcBorders>
              <w:top w:val="single" w:sz="4" w:space="0" w:color="auto"/>
            </w:tcBorders>
            <w:vAlign w:val="center"/>
          </w:tcPr>
          <w:p w14:paraId="433F4EDC" w14:textId="29DEDD0E" w:rsidR="00C03B64" w:rsidRPr="00C03B64" w:rsidRDefault="00C03B64" w:rsidP="0050583F">
            <w:pPr>
              <w:spacing w:before="0"/>
              <w:jc w:val="left"/>
            </w:pPr>
            <w:r w:rsidRPr="00C03B64">
              <w:t>Porcentaje de niños/as menores de 5 años con desnutrición crónica</w:t>
            </w:r>
          </w:p>
        </w:tc>
        <w:tc>
          <w:tcPr>
            <w:tcW w:w="3162" w:type="dxa"/>
            <w:tcBorders>
              <w:top w:val="single" w:sz="4" w:space="0" w:color="auto"/>
            </w:tcBorders>
            <w:vAlign w:val="center"/>
          </w:tcPr>
          <w:p w14:paraId="6EC1365F" w14:textId="0B80884E" w:rsidR="00C03B64" w:rsidRPr="00C03B64" w:rsidRDefault="00C03B64" w:rsidP="0050583F">
            <w:pPr>
              <w:spacing w:before="0"/>
              <w:jc w:val="center"/>
            </w:pPr>
            <w:r w:rsidRPr="00C03B64">
              <w:t>ENDESA y EHU</w:t>
            </w:r>
          </w:p>
        </w:tc>
        <w:tc>
          <w:tcPr>
            <w:tcW w:w="3163" w:type="dxa"/>
            <w:tcBorders>
              <w:top w:val="single" w:sz="4" w:space="0" w:color="auto"/>
            </w:tcBorders>
            <w:vAlign w:val="center"/>
          </w:tcPr>
          <w:p w14:paraId="054FBC4C" w14:textId="222AA64B" w:rsidR="00C03B64" w:rsidRPr="00C03B64" w:rsidRDefault="00C03B64" w:rsidP="0050583F">
            <w:pPr>
              <w:spacing w:before="0"/>
              <w:jc w:val="left"/>
            </w:pPr>
            <w:r w:rsidRPr="00C03B64">
              <w:t>Desnutrición crónica</w:t>
            </w:r>
          </w:p>
        </w:tc>
      </w:tr>
    </w:tbl>
    <w:p w14:paraId="768EE849" w14:textId="51892A48" w:rsidR="00C03B64" w:rsidRPr="00C03B64" w:rsidRDefault="00FA14DE" w:rsidP="00D90446">
      <w:r>
        <w:lastRenderedPageBreak/>
        <w:t>La desnutrición crónica es el indicador por medio del cual la organización identifica problemas en los niveles de nutrición de la población. Este indicador se calcula por medio de el puntaje Z de la talla para la edad, el cual es un índice estandarizado utilizado por la Organización Mundial de la Salud para identificar la talla adecuada para la edad según una combinación de características antropométricas. Se identifica un niño con desnutrición crónica si su puntaje esta por debajo de -2.</w:t>
      </w:r>
    </w:p>
    <w:tbl>
      <w:tblPr>
        <w:tblStyle w:val="Tablaconcuadrcula"/>
        <w:tblW w:w="0" w:type="auto"/>
        <w:tblLook w:val="04A0" w:firstRow="1" w:lastRow="0" w:firstColumn="1" w:lastColumn="0" w:noHBand="0" w:noVBand="1"/>
      </w:tblPr>
      <w:tblGrid>
        <w:gridCol w:w="3162"/>
        <w:gridCol w:w="3162"/>
        <w:gridCol w:w="3163"/>
      </w:tblGrid>
      <w:tr w:rsidR="00DE500C" w:rsidRPr="00C03B64" w14:paraId="5CDD9F6E" w14:textId="77777777" w:rsidTr="00DE500C">
        <w:tc>
          <w:tcPr>
            <w:tcW w:w="3162" w:type="dxa"/>
            <w:tcBorders>
              <w:top w:val="nil"/>
              <w:left w:val="nil"/>
              <w:bottom w:val="single" w:sz="4" w:space="0" w:color="auto"/>
              <w:right w:val="nil"/>
            </w:tcBorders>
            <w:vAlign w:val="center"/>
          </w:tcPr>
          <w:p w14:paraId="4462E100" w14:textId="17DE9BF0" w:rsidR="00DE500C" w:rsidRPr="00C03B64" w:rsidRDefault="00DE500C" w:rsidP="00177DCF">
            <w:pPr>
              <w:jc w:val="center"/>
            </w:pPr>
            <w:r w:rsidRPr="00DE500C">
              <w:rPr>
                <w:b/>
                <w:bCs/>
              </w:rPr>
              <w:t>Indicador</w:t>
            </w:r>
          </w:p>
        </w:tc>
        <w:tc>
          <w:tcPr>
            <w:tcW w:w="3162" w:type="dxa"/>
            <w:tcBorders>
              <w:top w:val="nil"/>
              <w:left w:val="nil"/>
              <w:bottom w:val="single" w:sz="4" w:space="0" w:color="auto"/>
              <w:right w:val="nil"/>
            </w:tcBorders>
            <w:vAlign w:val="center"/>
          </w:tcPr>
          <w:p w14:paraId="205E90D9" w14:textId="52110DBE" w:rsidR="00DE500C" w:rsidRPr="00C03B64" w:rsidRDefault="00DE500C" w:rsidP="00177DCF">
            <w:pPr>
              <w:jc w:val="center"/>
            </w:pPr>
            <w:r w:rsidRPr="00DE500C">
              <w:rPr>
                <w:b/>
                <w:bCs/>
              </w:rPr>
              <w:t>Fuente</w:t>
            </w:r>
          </w:p>
        </w:tc>
        <w:tc>
          <w:tcPr>
            <w:tcW w:w="3163" w:type="dxa"/>
            <w:tcBorders>
              <w:top w:val="nil"/>
              <w:left w:val="nil"/>
              <w:bottom w:val="single" w:sz="4" w:space="0" w:color="auto"/>
              <w:right w:val="nil"/>
            </w:tcBorders>
            <w:vAlign w:val="center"/>
          </w:tcPr>
          <w:p w14:paraId="66E7921F" w14:textId="73491DC4" w:rsidR="00DE500C" w:rsidRPr="00C03B64" w:rsidRDefault="00DE500C" w:rsidP="00177DCF">
            <w:pPr>
              <w:jc w:val="center"/>
            </w:pPr>
            <w:r w:rsidRPr="00DE500C">
              <w:rPr>
                <w:b/>
                <w:bCs/>
              </w:rPr>
              <w:t>Descripción corta</w:t>
            </w:r>
          </w:p>
        </w:tc>
      </w:tr>
      <w:tr w:rsidR="00C03B64" w:rsidRPr="00C03B64" w14:paraId="40BC8FC7" w14:textId="77777777" w:rsidTr="00DE500C">
        <w:tc>
          <w:tcPr>
            <w:tcW w:w="3162" w:type="dxa"/>
            <w:tcBorders>
              <w:top w:val="single" w:sz="4" w:space="0" w:color="auto"/>
            </w:tcBorders>
            <w:vAlign w:val="center"/>
          </w:tcPr>
          <w:p w14:paraId="53E051D1" w14:textId="6757C835" w:rsidR="00C03B64" w:rsidRPr="00C03B64" w:rsidRDefault="00C03B64" w:rsidP="0050583F">
            <w:pPr>
              <w:spacing w:before="0"/>
              <w:jc w:val="left"/>
            </w:pPr>
            <w:r w:rsidRPr="00C03B64">
              <w:t>Porcentaje de niños/as de 6-23 meses cumplen una diversidad de la dieta (DHS)</w:t>
            </w:r>
          </w:p>
        </w:tc>
        <w:tc>
          <w:tcPr>
            <w:tcW w:w="3162" w:type="dxa"/>
            <w:tcBorders>
              <w:top w:val="single" w:sz="4" w:space="0" w:color="auto"/>
            </w:tcBorders>
            <w:vAlign w:val="center"/>
          </w:tcPr>
          <w:p w14:paraId="5FAFB0BE" w14:textId="77777777" w:rsidR="00C03B64" w:rsidRPr="00C03B64" w:rsidRDefault="00C03B64" w:rsidP="0050583F">
            <w:pPr>
              <w:spacing w:before="0"/>
              <w:jc w:val="center"/>
            </w:pPr>
            <w:r w:rsidRPr="00C03B64">
              <w:t>ENDESA</w:t>
            </w:r>
          </w:p>
        </w:tc>
        <w:tc>
          <w:tcPr>
            <w:tcW w:w="3163" w:type="dxa"/>
            <w:tcBorders>
              <w:top w:val="single" w:sz="4" w:space="0" w:color="auto"/>
            </w:tcBorders>
            <w:vAlign w:val="center"/>
          </w:tcPr>
          <w:p w14:paraId="721C3F7D" w14:textId="2FBAF988" w:rsidR="00C03B64" w:rsidRPr="00C03B64" w:rsidRDefault="00C03B64" w:rsidP="0050583F">
            <w:pPr>
              <w:spacing w:before="0"/>
              <w:jc w:val="left"/>
            </w:pPr>
            <w:r w:rsidRPr="00C03B64">
              <w:t xml:space="preserve">Diversidad </w:t>
            </w:r>
            <w:proofErr w:type="spellStart"/>
            <w:r w:rsidRPr="00C03B64">
              <w:t>dietaria</w:t>
            </w:r>
            <w:proofErr w:type="spellEnd"/>
            <w:r w:rsidRPr="00C03B64">
              <w:t xml:space="preserve"> (DHS)</w:t>
            </w:r>
          </w:p>
        </w:tc>
      </w:tr>
    </w:tbl>
    <w:p w14:paraId="234C48D7" w14:textId="7F3184B2" w:rsidR="00C03B64" w:rsidRPr="00C03B64" w:rsidRDefault="005E3B87" w:rsidP="00D90446">
      <w:r>
        <w:t>El indicador de mínima diversidad en la dieta o diversidad en la dieta se calcula por medio de la batería de preguntas que indagan sobre los alimentos consumidos 24 horas antes (el día de ayer) por la persona objetivo, que en este caso son los niños entre 6 y 23 meses. A partir de las respuestas en esta batería de preguntas se agrupan los alimentos en siete categorías, las cuales son: 1) granos raíces y tubérculos; 2) legumbres y nueces; 3) productos lácteos (leche, yogurt y queso); 4) carne, pescado, aves de corral e hígado u órganos de carnes; 5) huevos; 6) verduras y frutas ricas en vitamina A; y 7) otras frutas y verduras.</w:t>
      </w:r>
      <w:r w:rsidR="001601B4">
        <w:t xml:space="preserve"> Se define que un niño o niña entre 6 y 23 meses de edad cumple con </w:t>
      </w:r>
      <w:r w:rsidR="009103F0">
        <w:t xml:space="preserve">la mínima diversidad en la dieta si consumió alimentos en 4 de las 7 categorías </w:t>
      </w:r>
      <w:r w:rsidR="004C5C6D">
        <w:t>contempladas.</w:t>
      </w:r>
    </w:p>
    <w:tbl>
      <w:tblPr>
        <w:tblStyle w:val="Tablaconcuadrcula"/>
        <w:tblW w:w="0" w:type="auto"/>
        <w:tblLook w:val="04A0" w:firstRow="1" w:lastRow="0" w:firstColumn="1" w:lastColumn="0" w:noHBand="0" w:noVBand="1"/>
      </w:tblPr>
      <w:tblGrid>
        <w:gridCol w:w="3162"/>
        <w:gridCol w:w="3162"/>
        <w:gridCol w:w="3163"/>
      </w:tblGrid>
      <w:tr w:rsidR="00DE500C" w:rsidRPr="00C03B64" w14:paraId="367B3D0A" w14:textId="77777777" w:rsidTr="00DE500C">
        <w:tc>
          <w:tcPr>
            <w:tcW w:w="3162" w:type="dxa"/>
            <w:tcBorders>
              <w:top w:val="nil"/>
              <w:left w:val="nil"/>
              <w:bottom w:val="single" w:sz="4" w:space="0" w:color="auto"/>
              <w:right w:val="nil"/>
            </w:tcBorders>
            <w:vAlign w:val="center"/>
          </w:tcPr>
          <w:p w14:paraId="115307F9" w14:textId="228CE3B4" w:rsidR="00DE500C" w:rsidRPr="00C03B64" w:rsidRDefault="00DE500C" w:rsidP="004C5C6D">
            <w:pPr>
              <w:jc w:val="center"/>
            </w:pPr>
            <w:r w:rsidRPr="00DE500C">
              <w:rPr>
                <w:b/>
                <w:bCs/>
              </w:rPr>
              <w:t>Indicador</w:t>
            </w:r>
          </w:p>
        </w:tc>
        <w:tc>
          <w:tcPr>
            <w:tcW w:w="3162" w:type="dxa"/>
            <w:tcBorders>
              <w:top w:val="nil"/>
              <w:left w:val="nil"/>
              <w:bottom w:val="single" w:sz="4" w:space="0" w:color="auto"/>
              <w:right w:val="nil"/>
            </w:tcBorders>
            <w:vAlign w:val="center"/>
          </w:tcPr>
          <w:p w14:paraId="3965886A" w14:textId="12083853" w:rsidR="00DE500C" w:rsidRDefault="00DE500C" w:rsidP="004C5C6D">
            <w:pPr>
              <w:jc w:val="center"/>
            </w:pPr>
            <w:r w:rsidRPr="00DE500C">
              <w:rPr>
                <w:b/>
                <w:bCs/>
              </w:rPr>
              <w:t>Fuente</w:t>
            </w:r>
          </w:p>
        </w:tc>
        <w:tc>
          <w:tcPr>
            <w:tcW w:w="3163" w:type="dxa"/>
            <w:tcBorders>
              <w:top w:val="nil"/>
              <w:left w:val="nil"/>
              <w:bottom w:val="single" w:sz="4" w:space="0" w:color="auto"/>
              <w:right w:val="nil"/>
            </w:tcBorders>
            <w:vAlign w:val="center"/>
          </w:tcPr>
          <w:p w14:paraId="072F23C0" w14:textId="60658A03" w:rsidR="00DE500C" w:rsidRPr="00C03B64" w:rsidRDefault="00DE500C" w:rsidP="004C5C6D">
            <w:pPr>
              <w:jc w:val="center"/>
            </w:pPr>
            <w:r w:rsidRPr="00DE500C">
              <w:rPr>
                <w:b/>
                <w:bCs/>
              </w:rPr>
              <w:t>Descripción corta</w:t>
            </w:r>
          </w:p>
        </w:tc>
      </w:tr>
      <w:tr w:rsidR="00C03B64" w:rsidRPr="00C03B64" w14:paraId="41ABCF57" w14:textId="77777777" w:rsidTr="00DE500C">
        <w:tc>
          <w:tcPr>
            <w:tcW w:w="3162" w:type="dxa"/>
            <w:tcBorders>
              <w:top w:val="single" w:sz="4" w:space="0" w:color="auto"/>
            </w:tcBorders>
            <w:vAlign w:val="center"/>
          </w:tcPr>
          <w:p w14:paraId="51776230" w14:textId="6886D100" w:rsidR="00C03B64" w:rsidRPr="00C03B64" w:rsidRDefault="00C03B64" w:rsidP="0050583F">
            <w:pPr>
              <w:spacing w:before="0"/>
              <w:jc w:val="left"/>
            </w:pPr>
            <w:r w:rsidRPr="00C03B64">
              <w:t>Porcentaje de niños/as de 6-23 meses cumplen una diversidad de la dieta</w:t>
            </w:r>
          </w:p>
        </w:tc>
        <w:tc>
          <w:tcPr>
            <w:tcW w:w="3162" w:type="dxa"/>
            <w:tcBorders>
              <w:top w:val="single" w:sz="4" w:space="0" w:color="auto"/>
            </w:tcBorders>
            <w:vAlign w:val="center"/>
          </w:tcPr>
          <w:p w14:paraId="6BFEB3F6" w14:textId="64CE480C" w:rsidR="00C03B64" w:rsidRPr="00C03B64" w:rsidRDefault="00C03B64" w:rsidP="0050583F">
            <w:pPr>
              <w:spacing w:before="0"/>
              <w:jc w:val="center"/>
            </w:pPr>
            <w:r>
              <w:t>EHU</w:t>
            </w:r>
          </w:p>
        </w:tc>
        <w:tc>
          <w:tcPr>
            <w:tcW w:w="3163" w:type="dxa"/>
            <w:tcBorders>
              <w:top w:val="single" w:sz="4" w:space="0" w:color="auto"/>
            </w:tcBorders>
            <w:vAlign w:val="center"/>
          </w:tcPr>
          <w:p w14:paraId="254ACD1E" w14:textId="4A67358D" w:rsidR="00C03B64" w:rsidRPr="00C03B64" w:rsidRDefault="00C03B64" w:rsidP="0050583F">
            <w:pPr>
              <w:spacing w:before="0"/>
              <w:jc w:val="left"/>
            </w:pPr>
            <w:r w:rsidRPr="00C03B64">
              <w:t xml:space="preserve">Diversidad </w:t>
            </w:r>
            <w:proofErr w:type="spellStart"/>
            <w:r w:rsidRPr="00C03B64">
              <w:t>dietaria</w:t>
            </w:r>
            <w:proofErr w:type="spellEnd"/>
          </w:p>
        </w:tc>
      </w:tr>
    </w:tbl>
    <w:p w14:paraId="6BE28E85" w14:textId="247C25C9" w:rsidR="00C03B64" w:rsidRPr="00C03B64" w:rsidRDefault="004C5C6D" w:rsidP="00D90446">
      <w:r>
        <w:t>Teniendo como principio la descripción del indicador presentada anteriormente, y usando la EHU, se identific</w:t>
      </w:r>
      <w:r w:rsidR="001E4A64">
        <w:t>ó</w:t>
      </w:r>
      <w:r>
        <w:t xml:space="preserve"> que en la batería de alimentos considerada en </w:t>
      </w:r>
      <w:r w:rsidR="001B186D">
        <w:t xml:space="preserve">el Estudio de Línea de Base del Programa de Cooperación de Unicef y el Proyecto </w:t>
      </w:r>
      <w:proofErr w:type="spellStart"/>
      <w:r w:rsidR="001B186D">
        <w:t>ProNiñez</w:t>
      </w:r>
      <w:proofErr w:type="spellEnd"/>
      <w:r w:rsidR="001B186D">
        <w:t xml:space="preserve"> </w:t>
      </w:r>
      <w:sdt>
        <w:sdtPr>
          <w:id w:val="1481572152"/>
          <w:citation/>
        </w:sdtPr>
        <w:sdtContent>
          <w:r w:rsidR="001E4A64">
            <w:fldChar w:fldCharType="begin"/>
          </w:r>
          <w:r w:rsidR="001E4A64">
            <w:rPr>
              <w:lang w:val="es-MX"/>
            </w:rPr>
            <w:instrText xml:space="preserve">CITATION ANE19 \n  \t  \l 2058 </w:instrText>
          </w:r>
          <w:r w:rsidR="001E4A64">
            <w:fldChar w:fldCharType="separate"/>
          </w:r>
          <w:r w:rsidR="001E4A64">
            <w:rPr>
              <w:noProof/>
              <w:lang w:val="es-MX"/>
            </w:rPr>
            <w:t>(2019)</w:t>
          </w:r>
          <w:r w:rsidR="001E4A64">
            <w:fldChar w:fldCharType="end"/>
          </w:r>
        </w:sdtContent>
      </w:sdt>
      <w:r w:rsidR="001E4A64">
        <w:t xml:space="preserve"> no se contaba con la información necesaria para identificar dos grupos alimenticios (legumbres y nueces y huevos), es por eso que este indicador agrupa los alimentos a partir del criterio del consultor y se define como un niño o niña entre 6 y 23 meses con una mínima diversidad en la dieta aquellos que hayan consumido 4 de los 5 grupos alimenticios disponibles.</w:t>
      </w:r>
    </w:p>
    <w:tbl>
      <w:tblPr>
        <w:tblStyle w:val="Tablaconcuadrcula"/>
        <w:tblW w:w="0" w:type="auto"/>
        <w:tblLook w:val="04A0" w:firstRow="1" w:lastRow="0" w:firstColumn="1" w:lastColumn="0" w:noHBand="0" w:noVBand="1"/>
      </w:tblPr>
      <w:tblGrid>
        <w:gridCol w:w="3162"/>
        <w:gridCol w:w="3162"/>
        <w:gridCol w:w="3163"/>
      </w:tblGrid>
      <w:tr w:rsidR="00DE500C" w:rsidRPr="00C03B64" w14:paraId="60B18105" w14:textId="77777777" w:rsidTr="00DE500C">
        <w:tc>
          <w:tcPr>
            <w:tcW w:w="3162" w:type="dxa"/>
            <w:tcBorders>
              <w:top w:val="nil"/>
              <w:left w:val="nil"/>
              <w:bottom w:val="single" w:sz="4" w:space="0" w:color="auto"/>
              <w:right w:val="nil"/>
            </w:tcBorders>
            <w:vAlign w:val="center"/>
          </w:tcPr>
          <w:p w14:paraId="233C1D6F" w14:textId="03D6824A" w:rsidR="00DE500C" w:rsidRPr="00C03B64" w:rsidRDefault="00DE500C" w:rsidP="001E4A64">
            <w:pPr>
              <w:jc w:val="center"/>
            </w:pPr>
            <w:r w:rsidRPr="00DE500C">
              <w:rPr>
                <w:b/>
                <w:bCs/>
              </w:rPr>
              <w:t>Indicador</w:t>
            </w:r>
          </w:p>
        </w:tc>
        <w:tc>
          <w:tcPr>
            <w:tcW w:w="3162" w:type="dxa"/>
            <w:tcBorders>
              <w:top w:val="nil"/>
              <w:left w:val="nil"/>
              <w:bottom w:val="single" w:sz="4" w:space="0" w:color="auto"/>
              <w:right w:val="nil"/>
            </w:tcBorders>
            <w:vAlign w:val="center"/>
          </w:tcPr>
          <w:p w14:paraId="5441E6E4" w14:textId="5751107F" w:rsidR="00DE500C" w:rsidRPr="00C03B64" w:rsidRDefault="00DE500C" w:rsidP="001E4A64">
            <w:pPr>
              <w:jc w:val="center"/>
            </w:pPr>
            <w:r w:rsidRPr="00DE500C">
              <w:rPr>
                <w:b/>
                <w:bCs/>
              </w:rPr>
              <w:t>Fuente</w:t>
            </w:r>
          </w:p>
        </w:tc>
        <w:tc>
          <w:tcPr>
            <w:tcW w:w="3163" w:type="dxa"/>
            <w:tcBorders>
              <w:top w:val="nil"/>
              <w:left w:val="nil"/>
              <w:bottom w:val="single" w:sz="4" w:space="0" w:color="auto"/>
              <w:right w:val="nil"/>
            </w:tcBorders>
            <w:vAlign w:val="center"/>
          </w:tcPr>
          <w:p w14:paraId="7F43A22C" w14:textId="5BF2BA24" w:rsidR="00DE500C" w:rsidRPr="00C03B64" w:rsidRDefault="00DE500C" w:rsidP="001E4A64">
            <w:pPr>
              <w:jc w:val="center"/>
            </w:pPr>
            <w:r w:rsidRPr="00DE500C">
              <w:rPr>
                <w:b/>
                <w:bCs/>
              </w:rPr>
              <w:t>Descripción corta</w:t>
            </w:r>
          </w:p>
        </w:tc>
      </w:tr>
      <w:tr w:rsidR="00C03B64" w:rsidRPr="00C03B64" w14:paraId="3E8FADAA" w14:textId="77777777" w:rsidTr="00DE500C">
        <w:tc>
          <w:tcPr>
            <w:tcW w:w="3162" w:type="dxa"/>
            <w:tcBorders>
              <w:top w:val="single" w:sz="4" w:space="0" w:color="auto"/>
            </w:tcBorders>
            <w:vAlign w:val="center"/>
          </w:tcPr>
          <w:p w14:paraId="4467F9DD" w14:textId="6C0CCFA9" w:rsidR="00C03B64" w:rsidRPr="00C03B64" w:rsidRDefault="00C03B64" w:rsidP="0050583F">
            <w:pPr>
              <w:spacing w:before="0"/>
              <w:jc w:val="left"/>
            </w:pPr>
            <w:r w:rsidRPr="00C03B64">
              <w:t>Porcentaje de niños/as de 6-23 meses cumplen una diversidad de la dieta (Mauricio)</w:t>
            </w:r>
          </w:p>
        </w:tc>
        <w:tc>
          <w:tcPr>
            <w:tcW w:w="3162" w:type="dxa"/>
            <w:tcBorders>
              <w:top w:val="single" w:sz="4" w:space="0" w:color="auto"/>
            </w:tcBorders>
            <w:vAlign w:val="center"/>
          </w:tcPr>
          <w:p w14:paraId="63E95EF6" w14:textId="42C922DE" w:rsidR="00C03B64" w:rsidRPr="00C03B64" w:rsidRDefault="00C03B64" w:rsidP="0050583F">
            <w:pPr>
              <w:spacing w:before="0"/>
              <w:jc w:val="center"/>
            </w:pPr>
            <w:r w:rsidRPr="00C03B64">
              <w:t>ENDESA</w:t>
            </w:r>
            <w:r w:rsidR="004C5C6D">
              <w:t xml:space="preserve"> y EHU</w:t>
            </w:r>
          </w:p>
        </w:tc>
        <w:tc>
          <w:tcPr>
            <w:tcW w:w="3163" w:type="dxa"/>
            <w:tcBorders>
              <w:top w:val="single" w:sz="4" w:space="0" w:color="auto"/>
            </w:tcBorders>
            <w:vAlign w:val="center"/>
          </w:tcPr>
          <w:p w14:paraId="0AECEEBE" w14:textId="25C5D825" w:rsidR="00C03B64" w:rsidRPr="00C03B64" w:rsidRDefault="00C03B64" w:rsidP="0050583F">
            <w:pPr>
              <w:spacing w:before="0"/>
              <w:jc w:val="left"/>
            </w:pPr>
            <w:r w:rsidRPr="00C03B64">
              <w:t xml:space="preserve">Diversidad </w:t>
            </w:r>
            <w:proofErr w:type="spellStart"/>
            <w:r w:rsidRPr="00C03B64">
              <w:t>dietaria</w:t>
            </w:r>
            <w:proofErr w:type="spellEnd"/>
            <w:r w:rsidRPr="00C03B64">
              <w:t xml:space="preserve"> (Mauricio)</w:t>
            </w:r>
          </w:p>
        </w:tc>
      </w:tr>
    </w:tbl>
    <w:p w14:paraId="6A8AC651" w14:textId="6C7856AA" w:rsidR="00C03B64" w:rsidRPr="00C03B64" w:rsidRDefault="001E4A64" w:rsidP="00D90446">
      <w:r>
        <w:lastRenderedPageBreak/>
        <w:t>Frente a la ausencia de información para los grupos alimenticios antes mencionados, en diálogos con</w:t>
      </w:r>
      <w:r w:rsidR="00DB3E69">
        <w:t xml:space="preserve"> el equipo interventor se optó por modificar el indicador para que este se ajustará a las condiciones de la información disponible, es por esto que se definieron las siguientes condiciones para considerar a un niño o niña entre 6 y 24 meses con un mínimo en la dieta: para los niños menores de 9 meses deben haber consumido por lo menos 3 de los 5 grupos alimenticios disponibles y para los niños ma</w:t>
      </w:r>
      <w:r w:rsidR="0050583F">
        <w:t>y</w:t>
      </w:r>
      <w:r w:rsidR="00DB3E69">
        <w:t>ores de 9 meses tienen que haber consumido al menos 3 grupos en donde uno de estos tiene que ser 3) productos lácteos (leche, yogurt y queso) y/o 4) carne, pescado, aves de corral e hígado u órganos de carnes.</w:t>
      </w:r>
    </w:p>
    <w:tbl>
      <w:tblPr>
        <w:tblStyle w:val="Tablaconcuadrcula"/>
        <w:tblW w:w="0" w:type="auto"/>
        <w:tblLook w:val="04A0" w:firstRow="1" w:lastRow="0" w:firstColumn="1" w:lastColumn="0" w:noHBand="0" w:noVBand="1"/>
      </w:tblPr>
      <w:tblGrid>
        <w:gridCol w:w="3162"/>
        <w:gridCol w:w="3162"/>
        <w:gridCol w:w="3163"/>
      </w:tblGrid>
      <w:tr w:rsidR="00DE500C" w:rsidRPr="00C03B64" w14:paraId="539ED197" w14:textId="77777777" w:rsidTr="00DE500C">
        <w:tc>
          <w:tcPr>
            <w:tcW w:w="3162" w:type="dxa"/>
            <w:tcBorders>
              <w:top w:val="nil"/>
              <w:left w:val="nil"/>
              <w:bottom w:val="single" w:sz="4" w:space="0" w:color="auto"/>
              <w:right w:val="nil"/>
            </w:tcBorders>
            <w:vAlign w:val="center"/>
          </w:tcPr>
          <w:p w14:paraId="7A4A8857" w14:textId="30F4CED7" w:rsidR="00DE500C" w:rsidRPr="00C03B64" w:rsidRDefault="00DE500C" w:rsidP="0050583F">
            <w:pPr>
              <w:jc w:val="center"/>
            </w:pPr>
            <w:r w:rsidRPr="00DE500C">
              <w:rPr>
                <w:b/>
                <w:bCs/>
              </w:rPr>
              <w:t>Indicador</w:t>
            </w:r>
          </w:p>
        </w:tc>
        <w:tc>
          <w:tcPr>
            <w:tcW w:w="3162" w:type="dxa"/>
            <w:tcBorders>
              <w:top w:val="nil"/>
              <w:left w:val="nil"/>
              <w:bottom w:val="single" w:sz="4" w:space="0" w:color="auto"/>
              <w:right w:val="nil"/>
            </w:tcBorders>
            <w:vAlign w:val="center"/>
          </w:tcPr>
          <w:p w14:paraId="185D5902" w14:textId="3AAFE087" w:rsidR="00DE500C" w:rsidRDefault="00DE500C" w:rsidP="0050583F">
            <w:pPr>
              <w:jc w:val="center"/>
            </w:pPr>
            <w:r w:rsidRPr="00DE500C">
              <w:rPr>
                <w:b/>
                <w:bCs/>
              </w:rPr>
              <w:t>Fuente</w:t>
            </w:r>
          </w:p>
        </w:tc>
        <w:tc>
          <w:tcPr>
            <w:tcW w:w="3163" w:type="dxa"/>
            <w:tcBorders>
              <w:top w:val="nil"/>
              <w:left w:val="nil"/>
              <w:bottom w:val="single" w:sz="4" w:space="0" w:color="auto"/>
              <w:right w:val="nil"/>
            </w:tcBorders>
            <w:vAlign w:val="center"/>
          </w:tcPr>
          <w:p w14:paraId="502C6EAD" w14:textId="08456D65" w:rsidR="00DE500C" w:rsidRPr="00C03B64" w:rsidRDefault="00DE500C" w:rsidP="0050583F">
            <w:pPr>
              <w:jc w:val="center"/>
            </w:pPr>
            <w:r w:rsidRPr="00DE500C">
              <w:rPr>
                <w:b/>
                <w:bCs/>
              </w:rPr>
              <w:t>Descripción corta</w:t>
            </w:r>
          </w:p>
        </w:tc>
      </w:tr>
      <w:tr w:rsidR="00C03B64" w:rsidRPr="00C03B64" w14:paraId="6996D340" w14:textId="77777777" w:rsidTr="00DE500C">
        <w:tc>
          <w:tcPr>
            <w:tcW w:w="3162" w:type="dxa"/>
            <w:tcBorders>
              <w:top w:val="single" w:sz="4" w:space="0" w:color="auto"/>
            </w:tcBorders>
            <w:vAlign w:val="center"/>
          </w:tcPr>
          <w:p w14:paraId="290626E7" w14:textId="537EC928" w:rsidR="00C03B64" w:rsidRPr="00C03B64" w:rsidRDefault="00C03B64" w:rsidP="0050583F">
            <w:pPr>
              <w:spacing w:before="0"/>
              <w:jc w:val="left"/>
            </w:pPr>
            <w:r w:rsidRPr="00C03B64">
              <w:t>(U) Porcentaje de niños/as de 6-23 meses cumplen una diversidad de la dieta (Unicef) (&lt;=24)</w:t>
            </w:r>
          </w:p>
        </w:tc>
        <w:tc>
          <w:tcPr>
            <w:tcW w:w="3162" w:type="dxa"/>
            <w:tcBorders>
              <w:top w:val="single" w:sz="4" w:space="0" w:color="auto"/>
            </w:tcBorders>
            <w:vAlign w:val="center"/>
          </w:tcPr>
          <w:p w14:paraId="6C0F4515" w14:textId="74A31DDA" w:rsidR="00C03B64" w:rsidRPr="00C03B64" w:rsidRDefault="00C03B64" w:rsidP="0050583F">
            <w:pPr>
              <w:spacing w:before="0"/>
              <w:jc w:val="center"/>
            </w:pPr>
            <w:r>
              <w:t>EHU</w:t>
            </w:r>
          </w:p>
        </w:tc>
        <w:tc>
          <w:tcPr>
            <w:tcW w:w="3163" w:type="dxa"/>
            <w:tcBorders>
              <w:top w:val="single" w:sz="4" w:space="0" w:color="auto"/>
            </w:tcBorders>
            <w:vAlign w:val="center"/>
          </w:tcPr>
          <w:p w14:paraId="20DA1651" w14:textId="51D26674" w:rsidR="00C03B64" w:rsidRPr="00C03B64" w:rsidRDefault="00C03B64" w:rsidP="0050583F">
            <w:pPr>
              <w:spacing w:before="0"/>
              <w:jc w:val="left"/>
            </w:pPr>
            <w:r w:rsidRPr="00C03B64">
              <w:t xml:space="preserve">Diversidad </w:t>
            </w:r>
            <w:proofErr w:type="spellStart"/>
            <w:r w:rsidRPr="00C03B64">
              <w:t>dietaria</w:t>
            </w:r>
            <w:proofErr w:type="spellEnd"/>
            <w:r w:rsidRPr="00C03B64">
              <w:t xml:space="preserve"> (Unicef) - 24</w:t>
            </w:r>
          </w:p>
        </w:tc>
      </w:tr>
    </w:tbl>
    <w:p w14:paraId="4CE7C1C1" w14:textId="03DB1396" w:rsidR="00C03B64" w:rsidRPr="00C03B64" w:rsidRDefault="0050583F" w:rsidP="00D90446">
      <w:r>
        <w:t>Por último, estos dos últimos indicadores replica el cálculo realizado en el estudio de línea base realizado en el 2019. Este primer indicador incluye a los niños entre 6 y 24 meses, a partir de la clasificación de los alimentos realizada en dicho estudio. El criterio bajo el cual se declara el cumplimiento del mínimo en la dieta es haber consumido cuatro de los siete grupos alimenticios.</w:t>
      </w:r>
    </w:p>
    <w:tbl>
      <w:tblPr>
        <w:tblStyle w:val="Tablaconcuadrcula"/>
        <w:tblW w:w="0" w:type="auto"/>
        <w:tblLook w:val="04A0" w:firstRow="1" w:lastRow="0" w:firstColumn="1" w:lastColumn="0" w:noHBand="0" w:noVBand="1"/>
      </w:tblPr>
      <w:tblGrid>
        <w:gridCol w:w="3162"/>
        <w:gridCol w:w="3162"/>
        <w:gridCol w:w="3163"/>
      </w:tblGrid>
      <w:tr w:rsidR="00DE500C" w:rsidRPr="00C03B64" w14:paraId="00536670" w14:textId="77777777" w:rsidTr="00DE500C">
        <w:tc>
          <w:tcPr>
            <w:tcW w:w="3162" w:type="dxa"/>
            <w:tcBorders>
              <w:top w:val="nil"/>
              <w:left w:val="nil"/>
              <w:bottom w:val="single" w:sz="4" w:space="0" w:color="auto"/>
              <w:right w:val="nil"/>
            </w:tcBorders>
            <w:vAlign w:val="center"/>
          </w:tcPr>
          <w:p w14:paraId="41EC866E" w14:textId="517BD645" w:rsidR="00DE500C" w:rsidRPr="00C03B64" w:rsidRDefault="00DE500C" w:rsidP="0050583F">
            <w:pPr>
              <w:jc w:val="center"/>
            </w:pPr>
            <w:r w:rsidRPr="00DE500C">
              <w:rPr>
                <w:b/>
                <w:bCs/>
              </w:rPr>
              <w:t>Indicador</w:t>
            </w:r>
          </w:p>
        </w:tc>
        <w:tc>
          <w:tcPr>
            <w:tcW w:w="3162" w:type="dxa"/>
            <w:tcBorders>
              <w:top w:val="nil"/>
              <w:left w:val="nil"/>
              <w:bottom w:val="single" w:sz="4" w:space="0" w:color="auto"/>
              <w:right w:val="nil"/>
            </w:tcBorders>
            <w:vAlign w:val="center"/>
          </w:tcPr>
          <w:p w14:paraId="29EE13D6" w14:textId="16D7E671" w:rsidR="00DE500C" w:rsidRDefault="00DE500C" w:rsidP="0050583F">
            <w:pPr>
              <w:jc w:val="center"/>
            </w:pPr>
            <w:r w:rsidRPr="00DE500C">
              <w:rPr>
                <w:b/>
                <w:bCs/>
              </w:rPr>
              <w:t>Fuente</w:t>
            </w:r>
          </w:p>
        </w:tc>
        <w:tc>
          <w:tcPr>
            <w:tcW w:w="3163" w:type="dxa"/>
            <w:tcBorders>
              <w:top w:val="nil"/>
              <w:left w:val="nil"/>
              <w:bottom w:val="single" w:sz="4" w:space="0" w:color="auto"/>
              <w:right w:val="nil"/>
            </w:tcBorders>
            <w:vAlign w:val="center"/>
          </w:tcPr>
          <w:p w14:paraId="2D7BC578" w14:textId="73B03A90" w:rsidR="00DE500C" w:rsidRPr="00C03B64" w:rsidRDefault="00DE500C" w:rsidP="0050583F">
            <w:pPr>
              <w:jc w:val="center"/>
            </w:pPr>
            <w:r w:rsidRPr="00DE500C">
              <w:rPr>
                <w:b/>
                <w:bCs/>
              </w:rPr>
              <w:t>Descripción corta</w:t>
            </w:r>
          </w:p>
        </w:tc>
      </w:tr>
      <w:tr w:rsidR="00C03B64" w:rsidRPr="00C03B64" w14:paraId="2AAE8E52" w14:textId="77777777" w:rsidTr="00DE500C">
        <w:tc>
          <w:tcPr>
            <w:tcW w:w="3162" w:type="dxa"/>
            <w:tcBorders>
              <w:top w:val="single" w:sz="4" w:space="0" w:color="auto"/>
            </w:tcBorders>
            <w:vAlign w:val="center"/>
          </w:tcPr>
          <w:p w14:paraId="5A33366F" w14:textId="4280BF96" w:rsidR="00C03B64" w:rsidRPr="00C03B64" w:rsidRDefault="00C03B64" w:rsidP="0050583F">
            <w:pPr>
              <w:spacing w:before="0"/>
              <w:jc w:val="left"/>
            </w:pPr>
            <w:r w:rsidRPr="00C03B64">
              <w:t>(U) Porcentaje de niños/as de 6-23 meses cumplen una diversidad de la dieta (Unicef) (&gt;=6 &amp; &lt;=23)</w:t>
            </w:r>
          </w:p>
        </w:tc>
        <w:tc>
          <w:tcPr>
            <w:tcW w:w="3162" w:type="dxa"/>
            <w:tcBorders>
              <w:top w:val="single" w:sz="4" w:space="0" w:color="auto"/>
            </w:tcBorders>
            <w:vAlign w:val="center"/>
          </w:tcPr>
          <w:p w14:paraId="79BC27A6" w14:textId="0267C52E" w:rsidR="00C03B64" w:rsidRPr="00C03B64" w:rsidRDefault="00C03B64" w:rsidP="0050583F">
            <w:pPr>
              <w:spacing w:before="0"/>
              <w:jc w:val="center"/>
            </w:pPr>
            <w:r>
              <w:t>EHU</w:t>
            </w:r>
          </w:p>
        </w:tc>
        <w:tc>
          <w:tcPr>
            <w:tcW w:w="3163" w:type="dxa"/>
            <w:tcBorders>
              <w:top w:val="single" w:sz="4" w:space="0" w:color="auto"/>
            </w:tcBorders>
            <w:vAlign w:val="center"/>
          </w:tcPr>
          <w:p w14:paraId="4249F7A7" w14:textId="743FDD42" w:rsidR="00C03B64" w:rsidRPr="00C03B64" w:rsidRDefault="00C03B64" w:rsidP="0050583F">
            <w:pPr>
              <w:spacing w:before="0"/>
              <w:jc w:val="left"/>
            </w:pPr>
            <w:r w:rsidRPr="00C03B64">
              <w:t xml:space="preserve">Diversidad </w:t>
            </w:r>
            <w:proofErr w:type="spellStart"/>
            <w:r w:rsidRPr="00C03B64">
              <w:t>dietaria</w:t>
            </w:r>
            <w:proofErr w:type="spellEnd"/>
            <w:r w:rsidRPr="00C03B64">
              <w:t xml:space="preserve"> (Unicef) - 6 a 23</w:t>
            </w:r>
          </w:p>
        </w:tc>
      </w:tr>
    </w:tbl>
    <w:p w14:paraId="7A8E4589" w14:textId="442C70F4" w:rsidR="00C03B64" w:rsidRPr="00C03B64" w:rsidRDefault="0050583F" w:rsidP="00D90446">
      <w:r>
        <w:t>Este último indicador replica el cálculo del indicador anterior, pero lo restringe a los niños entre 6 y 23 meses.</w:t>
      </w:r>
    </w:p>
    <w:p w14:paraId="01733A44" w14:textId="1091606D" w:rsidR="00D90446" w:rsidRPr="00C03B64" w:rsidRDefault="00D90446" w:rsidP="00D90446">
      <w:pPr>
        <w:pStyle w:val="Ttulo2"/>
      </w:pPr>
      <w:r w:rsidRPr="00C03B64">
        <w:t>Efectos directos</w:t>
      </w:r>
    </w:p>
    <w:p w14:paraId="62F59C41" w14:textId="77777777" w:rsidR="00D2297E" w:rsidRDefault="0050583F" w:rsidP="00D2297E">
      <w:r>
        <w:t>De los tres componentes identificados en la teoría de cambio desarrollada en la presente consultoría, los indicadores de atención integral y entorno protector contienen indicadores que se pueden calcular con la ENDESA, EHU y LQAS. A continuación, se presentan los indicadores construidos en cada uno de los componentes.</w:t>
      </w:r>
    </w:p>
    <w:p w14:paraId="37135868" w14:textId="08652761" w:rsidR="00D90446" w:rsidRDefault="00D90446" w:rsidP="00D2297E">
      <w:pPr>
        <w:rPr>
          <w:rStyle w:val="Textoennegrita"/>
        </w:rPr>
      </w:pPr>
      <w:r w:rsidRPr="00C03B64">
        <w:rPr>
          <w:rStyle w:val="Textoennegrita"/>
        </w:rPr>
        <w:t>Atención integral</w:t>
      </w:r>
    </w:p>
    <w:p w14:paraId="2BA4629F" w14:textId="2F73E507" w:rsidR="008421A4" w:rsidRPr="008421A4" w:rsidRDefault="008421A4" w:rsidP="00D2297E">
      <w:pPr>
        <w:rPr>
          <w:rStyle w:val="Textoennegrita"/>
          <w:b w:val="0"/>
          <w:bCs w:val="0"/>
        </w:rPr>
      </w:pPr>
      <w:r>
        <w:rPr>
          <w:rStyle w:val="Textoennegrita"/>
          <w:b w:val="0"/>
          <w:bCs w:val="0"/>
        </w:rPr>
        <w:t xml:space="preserve">Este primer componente indaga por el acceso a la Ruta Integral de Prestaciones de Servicio (RIPS), la cual se busca fortalecer con el </w:t>
      </w:r>
      <w:proofErr w:type="spellStart"/>
      <w:r>
        <w:rPr>
          <w:rStyle w:val="Textoennegrita"/>
          <w:b w:val="0"/>
          <w:bCs w:val="0"/>
        </w:rPr>
        <w:t>SCcA</w:t>
      </w:r>
      <w:proofErr w:type="spellEnd"/>
      <w:r>
        <w:rPr>
          <w:rStyle w:val="Textoennegrita"/>
          <w:b w:val="0"/>
          <w:bCs w:val="0"/>
        </w:rPr>
        <w:t xml:space="preserve"> las 16 prestaciones identificadas y priorizadas para la atención de la primera infancia.</w:t>
      </w:r>
    </w:p>
    <w:tbl>
      <w:tblPr>
        <w:tblStyle w:val="Tablaconcuadrcula"/>
        <w:tblW w:w="0" w:type="auto"/>
        <w:tblLook w:val="04A0" w:firstRow="1" w:lastRow="0" w:firstColumn="1" w:lastColumn="0" w:noHBand="0" w:noVBand="1"/>
      </w:tblPr>
      <w:tblGrid>
        <w:gridCol w:w="3162"/>
        <w:gridCol w:w="3162"/>
        <w:gridCol w:w="3163"/>
      </w:tblGrid>
      <w:tr w:rsidR="0050583F" w:rsidRPr="00C03B64" w14:paraId="79FE093D" w14:textId="77777777" w:rsidTr="0050583F">
        <w:tc>
          <w:tcPr>
            <w:tcW w:w="3162" w:type="dxa"/>
            <w:tcBorders>
              <w:top w:val="nil"/>
              <w:left w:val="nil"/>
              <w:bottom w:val="single" w:sz="4" w:space="0" w:color="auto"/>
              <w:right w:val="nil"/>
            </w:tcBorders>
            <w:vAlign w:val="center"/>
          </w:tcPr>
          <w:p w14:paraId="00805860" w14:textId="77777777" w:rsidR="0050583F" w:rsidRPr="00C03B64" w:rsidRDefault="0050583F" w:rsidP="0050583F">
            <w:pPr>
              <w:jc w:val="center"/>
            </w:pPr>
            <w:r w:rsidRPr="00DE500C">
              <w:rPr>
                <w:b/>
                <w:bCs/>
              </w:rPr>
              <w:lastRenderedPageBreak/>
              <w:t>Indicador</w:t>
            </w:r>
          </w:p>
        </w:tc>
        <w:tc>
          <w:tcPr>
            <w:tcW w:w="3162" w:type="dxa"/>
            <w:tcBorders>
              <w:top w:val="nil"/>
              <w:left w:val="nil"/>
              <w:bottom w:val="single" w:sz="4" w:space="0" w:color="auto"/>
              <w:right w:val="nil"/>
            </w:tcBorders>
            <w:vAlign w:val="center"/>
          </w:tcPr>
          <w:p w14:paraId="56CAFC5E"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4408368" w14:textId="77777777" w:rsidR="0050583F" w:rsidRPr="00C03B64" w:rsidRDefault="0050583F" w:rsidP="0050583F">
            <w:pPr>
              <w:jc w:val="center"/>
            </w:pPr>
            <w:r w:rsidRPr="00DE500C">
              <w:rPr>
                <w:b/>
                <w:bCs/>
              </w:rPr>
              <w:t>Descripción corta</w:t>
            </w:r>
          </w:p>
        </w:tc>
      </w:tr>
      <w:tr w:rsidR="0050583F" w:rsidRPr="00C03B64" w14:paraId="4F058B50" w14:textId="77777777" w:rsidTr="0050583F">
        <w:tc>
          <w:tcPr>
            <w:tcW w:w="3162" w:type="dxa"/>
            <w:tcBorders>
              <w:top w:val="single" w:sz="4" w:space="0" w:color="auto"/>
            </w:tcBorders>
            <w:vAlign w:val="center"/>
          </w:tcPr>
          <w:p w14:paraId="21B56EE9" w14:textId="59FD3318" w:rsidR="0050583F" w:rsidRPr="00C03B64" w:rsidRDefault="00D2297E" w:rsidP="0050583F">
            <w:pPr>
              <w:spacing w:before="0"/>
              <w:jc w:val="left"/>
            </w:pPr>
            <w:r w:rsidRPr="00D2297E">
              <w:t>Porcentaje de mujeres embarazadas atendidas en las primeras 12 semanas</w:t>
            </w:r>
          </w:p>
        </w:tc>
        <w:tc>
          <w:tcPr>
            <w:tcW w:w="3162" w:type="dxa"/>
            <w:tcBorders>
              <w:top w:val="single" w:sz="4" w:space="0" w:color="auto"/>
            </w:tcBorders>
            <w:vAlign w:val="center"/>
          </w:tcPr>
          <w:p w14:paraId="486C9CF6" w14:textId="58C1EA81" w:rsidR="0050583F" w:rsidRPr="00C03B64" w:rsidRDefault="008421A4" w:rsidP="0050583F">
            <w:pPr>
              <w:spacing w:before="0"/>
              <w:jc w:val="center"/>
            </w:pPr>
            <w:r>
              <w:t>ENDESA y LQAS</w:t>
            </w:r>
          </w:p>
        </w:tc>
        <w:tc>
          <w:tcPr>
            <w:tcW w:w="3163" w:type="dxa"/>
            <w:tcBorders>
              <w:top w:val="single" w:sz="4" w:space="0" w:color="auto"/>
            </w:tcBorders>
            <w:vAlign w:val="center"/>
          </w:tcPr>
          <w:p w14:paraId="09CE6BAD" w14:textId="1FE4DB41" w:rsidR="0050583F" w:rsidRPr="00C03B64" w:rsidRDefault="00D2297E" w:rsidP="0050583F">
            <w:pPr>
              <w:spacing w:before="0"/>
              <w:jc w:val="left"/>
            </w:pPr>
            <w:r w:rsidRPr="00D2297E">
              <w:t>Primer control oportuno a embarazadas</w:t>
            </w:r>
          </w:p>
        </w:tc>
      </w:tr>
    </w:tbl>
    <w:p w14:paraId="37F0178D" w14:textId="0B11DEF0" w:rsidR="00D90446" w:rsidRDefault="008421A4" w:rsidP="00D90446">
      <w:r>
        <w:t>Este primer indicador indaga para las mujeres que han estado embarazada en los últimos cinco años si en su último embarazo ellas fueron atendidas en un centro de salud (recibieron su primer control) en los primeros tres meses del embarazo.</w:t>
      </w:r>
    </w:p>
    <w:tbl>
      <w:tblPr>
        <w:tblStyle w:val="Tablaconcuadrcula"/>
        <w:tblW w:w="0" w:type="auto"/>
        <w:tblLook w:val="04A0" w:firstRow="1" w:lastRow="0" w:firstColumn="1" w:lastColumn="0" w:noHBand="0" w:noVBand="1"/>
      </w:tblPr>
      <w:tblGrid>
        <w:gridCol w:w="3162"/>
        <w:gridCol w:w="3162"/>
        <w:gridCol w:w="3163"/>
      </w:tblGrid>
      <w:tr w:rsidR="0050583F" w:rsidRPr="00C03B64" w14:paraId="5298B495" w14:textId="77777777" w:rsidTr="0050583F">
        <w:tc>
          <w:tcPr>
            <w:tcW w:w="3162" w:type="dxa"/>
            <w:tcBorders>
              <w:top w:val="nil"/>
              <w:left w:val="nil"/>
              <w:bottom w:val="single" w:sz="4" w:space="0" w:color="auto"/>
              <w:right w:val="nil"/>
            </w:tcBorders>
            <w:vAlign w:val="center"/>
          </w:tcPr>
          <w:p w14:paraId="5E5E804A"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6A6C7118"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5D3B9A3B" w14:textId="77777777" w:rsidR="0050583F" w:rsidRPr="00C03B64" w:rsidRDefault="0050583F" w:rsidP="0050583F">
            <w:pPr>
              <w:jc w:val="center"/>
            </w:pPr>
            <w:r w:rsidRPr="00DE500C">
              <w:rPr>
                <w:b/>
                <w:bCs/>
              </w:rPr>
              <w:t>Descripción corta</w:t>
            </w:r>
          </w:p>
        </w:tc>
      </w:tr>
      <w:tr w:rsidR="0050583F" w:rsidRPr="00C03B64" w14:paraId="0F851B16" w14:textId="77777777" w:rsidTr="0050583F">
        <w:tc>
          <w:tcPr>
            <w:tcW w:w="3162" w:type="dxa"/>
            <w:tcBorders>
              <w:top w:val="single" w:sz="4" w:space="0" w:color="auto"/>
            </w:tcBorders>
            <w:vAlign w:val="center"/>
          </w:tcPr>
          <w:p w14:paraId="4754883A" w14:textId="603A159D" w:rsidR="0050583F" w:rsidRPr="00C03B64" w:rsidRDefault="00D2297E" w:rsidP="0050583F">
            <w:pPr>
              <w:spacing w:before="0"/>
              <w:jc w:val="left"/>
            </w:pPr>
            <w:r w:rsidRPr="00D2297E">
              <w:t>Porcentaje de partos institucionales</w:t>
            </w:r>
          </w:p>
        </w:tc>
        <w:tc>
          <w:tcPr>
            <w:tcW w:w="3162" w:type="dxa"/>
            <w:tcBorders>
              <w:top w:val="single" w:sz="4" w:space="0" w:color="auto"/>
            </w:tcBorders>
            <w:vAlign w:val="center"/>
          </w:tcPr>
          <w:p w14:paraId="10FAF995" w14:textId="1296A44C" w:rsidR="0050583F" w:rsidRPr="00C03B64" w:rsidRDefault="008421A4" w:rsidP="0050583F">
            <w:pPr>
              <w:spacing w:before="0"/>
              <w:jc w:val="center"/>
            </w:pPr>
            <w:r>
              <w:t>ENDESA y LQAS</w:t>
            </w:r>
          </w:p>
        </w:tc>
        <w:tc>
          <w:tcPr>
            <w:tcW w:w="3163" w:type="dxa"/>
            <w:tcBorders>
              <w:top w:val="single" w:sz="4" w:space="0" w:color="auto"/>
            </w:tcBorders>
            <w:vAlign w:val="center"/>
          </w:tcPr>
          <w:p w14:paraId="07457ACF" w14:textId="3552A778" w:rsidR="0050583F" w:rsidRPr="00C03B64" w:rsidRDefault="00D2297E" w:rsidP="0050583F">
            <w:pPr>
              <w:spacing w:before="0"/>
              <w:jc w:val="left"/>
            </w:pPr>
            <w:r w:rsidRPr="00D2297E">
              <w:t>Partos institucionales</w:t>
            </w:r>
          </w:p>
        </w:tc>
      </w:tr>
    </w:tbl>
    <w:p w14:paraId="40D9A128" w14:textId="7739CA82" w:rsidR="0050583F" w:rsidRDefault="008421A4" w:rsidP="00D90446">
      <w:r>
        <w:t xml:space="preserve">Este indicador cubre a todos los niños menores de cinco años e indaga si el parto de estos se realizó en una institución autorizada de salud, entre las que están: hospital de la Secretaría de Salud, hospital de la Seguridad Social, clínica materno-infantil, CESAMO, CESAR, otra institución pública, hospital, clínica ASHONPLAFA, clínica privada, clínica de una ONG, </w:t>
      </w:r>
      <w:proofErr w:type="gramStart"/>
      <w:r>
        <w:t>doctor privado u otra institución privada</w:t>
      </w:r>
      <w:proofErr w:type="gramEnd"/>
      <w:r>
        <w:t>.</w:t>
      </w:r>
    </w:p>
    <w:tbl>
      <w:tblPr>
        <w:tblStyle w:val="Tablaconcuadrcula"/>
        <w:tblW w:w="0" w:type="auto"/>
        <w:tblLook w:val="04A0" w:firstRow="1" w:lastRow="0" w:firstColumn="1" w:lastColumn="0" w:noHBand="0" w:noVBand="1"/>
      </w:tblPr>
      <w:tblGrid>
        <w:gridCol w:w="3162"/>
        <w:gridCol w:w="3162"/>
        <w:gridCol w:w="3163"/>
      </w:tblGrid>
      <w:tr w:rsidR="0050583F" w:rsidRPr="00C03B64" w14:paraId="3FC12205" w14:textId="77777777" w:rsidTr="0050583F">
        <w:tc>
          <w:tcPr>
            <w:tcW w:w="3162" w:type="dxa"/>
            <w:tcBorders>
              <w:top w:val="nil"/>
              <w:left w:val="nil"/>
              <w:bottom w:val="single" w:sz="4" w:space="0" w:color="auto"/>
              <w:right w:val="nil"/>
            </w:tcBorders>
            <w:vAlign w:val="center"/>
          </w:tcPr>
          <w:p w14:paraId="4EFD3563"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62F5EA5C"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0F2CABA2" w14:textId="77777777" w:rsidR="0050583F" w:rsidRPr="00C03B64" w:rsidRDefault="0050583F" w:rsidP="0050583F">
            <w:pPr>
              <w:jc w:val="center"/>
            </w:pPr>
            <w:r w:rsidRPr="00DE500C">
              <w:rPr>
                <w:b/>
                <w:bCs/>
              </w:rPr>
              <w:t>Descripción corta</w:t>
            </w:r>
          </w:p>
        </w:tc>
      </w:tr>
      <w:tr w:rsidR="0050583F" w:rsidRPr="00C03B64" w14:paraId="138F3F07" w14:textId="77777777" w:rsidTr="0050583F">
        <w:tc>
          <w:tcPr>
            <w:tcW w:w="3162" w:type="dxa"/>
            <w:tcBorders>
              <w:top w:val="single" w:sz="4" w:space="0" w:color="auto"/>
            </w:tcBorders>
            <w:vAlign w:val="center"/>
          </w:tcPr>
          <w:p w14:paraId="6F42EE2F" w14:textId="36B80D58" w:rsidR="0050583F" w:rsidRPr="00C03B64" w:rsidRDefault="00D2297E" w:rsidP="0050583F">
            <w:pPr>
              <w:spacing w:before="0"/>
              <w:jc w:val="left"/>
            </w:pPr>
            <w:r w:rsidRPr="00D2297E">
              <w:t>Porcentaje de partos institucionales (último nacido vivo)</w:t>
            </w:r>
          </w:p>
        </w:tc>
        <w:tc>
          <w:tcPr>
            <w:tcW w:w="3162" w:type="dxa"/>
            <w:tcBorders>
              <w:top w:val="single" w:sz="4" w:space="0" w:color="auto"/>
            </w:tcBorders>
            <w:vAlign w:val="center"/>
          </w:tcPr>
          <w:p w14:paraId="75B86F24" w14:textId="4E4E8306" w:rsidR="0050583F" w:rsidRPr="00C03B64" w:rsidRDefault="008421A4" w:rsidP="0050583F">
            <w:pPr>
              <w:spacing w:before="0"/>
              <w:jc w:val="center"/>
            </w:pPr>
            <w:r>
              <w:t>ENDESA</w:t>
            </w:r>
          </w:p>
        </w:tc>
        <w:tc>
          <w:tcPr>
            <w:tcW w:w="3163" w:type="dxa"/>
            <w:tcBorders>
              <w:top w:val="single" w:sz="4" w:space="0" w:color="auto"/>
            </w:tcBorders>
            <w:vAlign w:val="center"/>
          </w:tcPr>
          <w:p w14:paraId="3F8CB1D6" w14:textId="3A21D187" w:rsidR="0050583F" w:rsidRPr="00C03B64" w:rsidRDefault="00D2297E" w:rsidP="0050583F">
            <w:pPr>
              <w:spacing w:before="0"/>
              <w:jc w:val="left"/>
            </w:pPr>
            <w:r w:rsidRPr="00D2297E">
              <w:t>Partos institucionales (último nacido vivo)</w:t>
            </w:r>
          </w:p>
        </w:tc>
      </w:tr>
    </w:tbl>
    <w:p w14:paraId="6C7B3DC2" w14:textId="01D6298A" w:rsidR="0050583F" w:rsidRDefault="008421A4" w:rsidP="00D90446">
      <w:r>
        <w:t>Este indicador tiene la misma construcción del pasado, sin embargo, la población que cubre no son todos los niños menores de 5 años sino el último nacido vivo por cada madre.</w:t>
      </w:r>
    </w:p>
    <w:tbl>
      <w:tblPr>
        <w:tblStyle w:val="Tablaconcuadrcula"/>
        <w:tblW w:w="0" w:type="auto"/>
        <w:tblLook w:val="04A0" w:firstRow="1" w:lastRow="0" w:firstColumn="1" w:lastColumn="0" w:noHBand="0" w:noVBand="1"/>
      </w:tblPr>
      <w:tblGrid>
        <w:gridCol w:w="3162"/>
        <w:gridCol w:w="3162"/>
        <w:gridCol w:w="3163"/>
      </w:tblGrid>
      <w:tr w:rsidR="0050583F" w:rsidRPr="00C03B64" w14:paraId="70767C48" w14:textId="77777777" w:rsidTr="0050583F">
        <w:tc>
          <w:tcPr>
            <w:tcW w:w="3162" w:type="dxa"/>
            <w:tcBorders>
              <w:top w:val="nil"/>
              <w:left w:val="nil"/>
              <w:bottom w:val="single" w:sz="4" w:space="0" w:color="auto"/>
              <w:right w:val="nil"/>
            </w:tcBorders>
            <w:vAlign w:val="center"/>
          </w:tcPr>
          <w:p w14:paraId="569FB006"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4730ACF2"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3167A6CB" w14:textId="77777777" w:rsidR="0050583F" w:rsidRPr="00C03B64" w:rsidRDefault="0050583F" w:rsidP="0050583F">
            <w:pPr>
              <w:jc w:val="center"/>
            </w:pPr>
            <w:r w:rsidRPr="00DE500C">
              <w:rPr>
                <w:b/>
                <w:bCs/>
              </w:rPr>
              <w:t>Descripción corta</w:t>
            </w:r>
          </w:p>
        </w:tc>
      </w:tr>
      <w:tr w:rsidR="0050583F" w:rsidRPr="00C03B64" w14:paraId="5524EC4A" w14:textId="77777777" w:rsidTr="0050583F">
        <w:tc>
          <w:tcPr>
            <w:tcW w:w="3162" w:type="dxa"/>
            <w:tcBorders>
              <w:top w:val="single" w:sz="4" w:space="0" w:color="auto"/>
            </w:tcBorders>
            <w:vAlign w:val="center"/>
          </w:tcPr>
          <w:p w14:paraId="0C8ABB63" w14:textId="26ED99DF" w:rsidR="0050583F" w:rsidRPr="00C03B64" w:rsidRDefault="00D2297E" w:rsidP="0050583F">
            <w:pPr>
              <w:spacing w:before="0"/>
              <w:jc w:val="left"/>
            </w:pPr>
            <w:r w:rsidRPr="00D2297E">
              <w:t>Porcentaje de mujeres con primera atención postnatal antes de siete días (menores de 5 años)</w:t>
            </w:r>
          </w:p>
        </w:tc>
        <w:tc>
          <w:tcPr>
            <w:tcW w:w="3162" w:type="dxa"/>
            <w:tcBorders>
              <w:top w:val="single" w:sz="4" w:space="0" w:color="auto"/>
            </w:tcBorders>
            <w:vAlign w:val="center"/>
          </w:tcPr>
          <w:p w14:paraId="414387BA" w14:textId="5E1B5991" w:rsidR="0050583F" w:rsidRPr="00C03B64" w:rsidRDefault="008421A4" w:rsidP="0050583F">
            <w:pPr>
              <w:spacing w:before="0"/>
              <w:jc w:val="center"/>
            </w:pPr>
            <w:r>
              <w:t>ENDESA y LQAS</w:t>
            </w:r>
          </w:p>
        </w:tc>
        <w:tc>
          <w:tcPr>
            <w:tcW w:w="3163" w:type="dxa"/>
            <w:tcBorders>
              <w:top w:val="single" w:sz="4" w:space="0" w:color="auto"/>
            </w:tcBorders>
            <w:vAlign w:val="center"/>
          </w:tcPr>
          <w:p w14:paraId="56BABE57" w14:textId="73056584" w:rsidR="0050583F" w:rsidRPr="00C03B64" w:rsidRDefault="00D2297E" w:rsidP="0050583F">
            <w:pPr>
              <w:spacing w:before="0"/>
              <w:jc w:val="left"/>
            </w:pPr>
            <w:r w:rsidRPr="00D2297E">
              <w:t>Primera atención posnatal oportuna</w:t>
            </w:r>
          </w:p>
        </w:tc>
      </w:tr>
    </w:tbl>
    <w:p w14:paraId="19E08D76" w14:textId="0C512D3A" w:rsidR="0050583F" w:rsidRDefault="008421A4" w:rsidP="00D90446">
      <w:r>
        <w:t xml:space="preserve">Este indicador indaga </w:t>
      </w:r>
      <w:r w:rsidR="007E1315">
        <w:t>por el porcentaje de mujeres que fueron atendidas o recibieron su primer control después del parto en los primeros 7 días, y se calcula para todos los nacimientos en los últimos 5 años.</w:t>
      </w:r>
    </w:p>
    <w:tbl>
      <w:tblPr>
        <w:tblStyle w:val="Tablaconcuadrcula"/>
        <w:tblW w:w="0" w:type="auto"/>
        <w:tblLook w:val="04A0" w:firstRow="1" w:lastRow="0" w:firstColumn="1" w:lastColumn="0" w:noHBand="0" w:noVBand="1"/>
      </w:tblPr>
      <w:tblGrid>
        <w:gridCol w:w="3162"/>
        <w:gridCol w:w="3162"/>
        <w:gridCol w:w="3163"/>
      </w:tblGrid>
      <w:tr w:rsidR="0050583F" w:rsidRPr="00C03B64" w14:paraId="5F68FA3F" w14:textId="77777777" w:rsidTr="0050583F">
        <w:tc>
          <w:tcPr>
            <w:tcW w:w="3162" w:type="dxa"/>
            <w:tcBorders>
              <w:top w:val="nil"/>
              <w:left w:val="nil"/>
              <w:bottom w:val="single" w:sz="4" w:space="0" w:color="auto"/>
              <w:right w:val="nil"/>
            </w:tcBorders>
            <w:vAlign w:val="center"/>
          </w:tcPr>
          <w:p w14:paraId="1490C289"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1083BACB"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28A1B9FD" w14:textId="77777777" w:rsidR="0050583F" w:rsidRPr="00C03B64" w:rsidRDefault="0050583F" w:rsidP="0050583F">
            <w:pPr>
              <w:jc w:val="center"/>
            </w:pPr>
            <w:r w:rsidRPr="00DE500C">
              <w:rPr>
                <w:b/>
                <w:bCs/>
              </w:rPr>
              <w:t>Descripción corta</w:t>
            </w:r>
          </w:p>
        </w:tc>
      </w:tr>
      <w:tr w:rsidR="0050583F" w:rsidRPr="00C03B64" w14:paraId="3DAD76D4" w14:textId="77777777" w:rsidTr="0050583F">
        <w:tc>
          <w:tcPr>
            <w:tcW w:w="3162" w:type="dxa"/>
            <w:tcBorders>
              <w:top w:val="single" w:sz="4" w:space="0" w:color="auto"/>
            </w:tcBorders>
            <w:vAlign w:val="center"/>
          </w:tcPr>
          <w:p w14:paraId="59552CD6" w14:textId="1ACF1058" w:rsidR="0050583F" w:rsidRPr="00C03B64" w:rsidRDefault="00D2297E" w:rsidP="0050583F">
            <w:pPr>
              <w:spacing w:before="0"/>
              <w:jc w:val="left"/>
            </w:pPr>
            <w:r w:rsidRPr="00D2297E">
              <w:t>Porcentaje de mujeres con primera atención postnatal antes de siete días (menores de 2 años)</w:t>
            </w:r>
          </w:p>
        </w:tc>
        <w:tc>
          <w:tcPr>
            <w:tcW w:w="3162" w:type="dxa"/>
            <w:tcBorders>
              <w:top w:val="single" w:sz="4" w:space="0" w:color="auto"/>
            </w:tcBorders>
            <w:vAlign w:val="center"/>
          </w:tcPr>
          <w:p w14:paraId="33A5E170" w14:textId="5FCF6DC8" w:rsidR="0050583F" w:rsidRPr="00C03B64" w:rsidRDefault="007E1315" w:rsidP="0050583F">
            <w:pPr>
              <w:spacing w:before="0"/>
              <w:jc w:val="center"/>
            </w:pPr>
            <w:r>
              <w:t>ENDESA</w:t>
            </w:r>
          </w:p>
        </w:tc>
        <w:tc>
          <w:tcPr>
            <w:tcW w:w="3163" w:type="dxa"/>
            <w:tcBorders>
              <w:top w:val="single" w:sz="4" w:space="0" w:color="auto"/>
            </w:tcBorders>
            <w:vAlign w:val="center"/>
          </w:tcPr>
          <w:p w14:paraId="7DC65B67" w14:textId="59B04B03" w:rsidR="0050583F" w:rsidRPr="00C03B64" w:rsidRDefault="00D2297E" w:rsidP="0050583F">
            <w:pPr>
              <w:spacing w:before="0"/>
              <w:jc w:val="left"/>
            </w:pPr>
            <w:r w:rsidRPr="00D2297E">
              <w:t>Primera atención posnatal oportuna (M2)</w:t>
            </w:r>
          </w:p>
        </w:tc>
      </w:tr>
    </w:tbl>
    <w:p w14:paraId="34AAB93A" w14:textId="6E0C88BC" w:rsidR="0050583F" w:rsidRDefault="007E1315" w:rsidP="00D90446">
      <w:r>
        <w:lastRenderedPageBreak/>
        <w:t>Este indicador es una extensión del anterior, pero su población de análisis son los menores de dos años.</w:t>
      </w:r>
    </w:p>
    <w:tbl>
      <w:tblPr>
        <w:tblStyle w:val="Tablaconcuadrcula"/>
        <w:tblW w:w="0" w:type="auto"/>
        <w:tblLook w:val="04A0" w:firstRow="1" w:lastRow="0" w:firstColumn="1" w:lastColumn="0" w:noHBand="0" w:noVBand="1"/>
      </w:tblPr>
      <w:tblGrid>
        <w:gridCol w:w="3162"/>
        <w:gridCol w:w="3162"/>
        <w:gridCol w:w="3163"/>
      </w:tblGrid>
      <w:tr w:rsidR="0050583F" w:rsidRPr="00C03B64" w14:paraId="6D38C89D" w14:textId="77777777" w:rsidTr="0050583F">
        <w:tc>
          <w:tcPr>
            <w:tcW w:w="3162" w:type="dxa"/>
            <w:tcBorders>
              <w:top w:val="nil"/>
              <w:left w:val="nil"/>
              <w:bottom w:val="single" w:sz="4" w:space="0" w:color="auto"/>
              <w:right w:val="nil"/>
            </w:tcBorders>
            <w:vAlign w:val="center"/>
          </w:tcPr>
          <w:p w14:paraId="7DCFC181"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63F7956"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6C1E9B4D" w14:textId="77777777" w:rsidR="0050583F" w:rsidRPr="00C03B64" w:rsidRDefault="0050583F" w:rsidP="0050583F">
            <w:pPr>
              <w:jc w:val="center"/>
            </w:pPr>
            <w:r w:rsidRPr="00DE500C">
              <w:rPr>
                <w:b/>
                <w:bCs/>
              </w:rPr>
              <w:t>Descripción corta</w:t>
            </w:r>
          </w:p>
        </w:tc>
      </w:tr>
      <w:tr w:rsidR="0050583F" w:rsidRPr="00C03B64" w14:paraId="5B43D52F" w14:textId="77777777" w:rsidTr="0050583F">
        <w:tc>
          <w:tcPr>
            <w:tcW w:w="3162" w:type="dxa"/>
            <w:tcBorders>
              <w:top w:val="single" w:sz="4" w:space="0" w:color="auto"/>
            </w:tcBorders>
            <w:vAlign w:val="center"/>
          </w:tcPr>
          <w:p w14:paraId="367521C0" w14:textId="6C9CE736" w:rsidR="0050583F" w:rsidRPr="00C03B64" w:rsidRDefault="00D2297E" w:rsidP="0050583F">
            <w:pPr>
              <w:spacing w:before="0"/>
              <w:jc w:val="left"/>
            </w:pPr>
            <w:r w:rsidRPr="00D2297E">
              <w:t>Porcentaje de niños menores de seis meses que reciben lactancia materna exclusiva</w:t>
            </w:r>
          </w:p>
        </w:tc>
        <w:tc>
          <w:tcPr>
            <w:tcW w:w="3162" w:type="dxa"/>
            <w:tcBorders>
              <w:top w:val="single" w:sz="4" w:space="0" w:color="auto"/>
            </w:tcBorders>
            <w:vAlign w:val="center"/>
          </w:tcPr>
          <w:p w14:paraId="469CA02F" w14:textId="6DA8C109" w:rsidR="0050583F" w:rsidRPr="00C03B64" w:rsidRDefault="007E1315" w:rsidP="0050583F">
            <w:pPr>
              <w:spacing w:before="0"/>
              <w:jc w:val="center"/>
            </w:pPr>
            <w:r>
              <w:t>ENDESA y LQAS</w:t>
            </w:r>
          </w:p>
        </w:tc>
        <w:tc>
          <w:tcPr>
            <w:tcW w:w="3163" w:type="dxa"/>
            <w:tcBorders>
              <w:top w:val="single" w:sz="4" w:space="0" w:color="auto"/>
            </w:tcBorders>
            <w:vAlign w:val="center"/>
          </w:tcPr>
          <w:p w14:paraId="01BA1853" w14:textId="2A15EDD4" w:rsidR="0050583F" w:rsidRPr="00C03B64" w:rsidRDefault="00D2297E" w:rsidP="0050583F">
            <w:pPr>
              <w:spacing w:before="0"/>
              <w:jc w:val="left"/>
            </w:pPr>
            <w:r w:rsidRPr="00D2297E">
              <w:t>Lactancia materna exclusiva</w:t>
            </w:r>
          </w:p>
        </w:tc>
      </w:tr>
    </w:tbl>
    <w:p w14:paraId="209135F5" w14:textId="78500CAB" w:rsidR="0050583F" w:rsidRDefault="007E1315" w:rsidP="00D90446">
      <w:r>
        <w:t>Con este indicador se busca identificar entre los niños y niñas menores de seis meses cuales son alimentados exclusivamente con leche materna, es decir, no reciben otro tipo de alimento.</w:t>
      </w:r>
    </w:p>
    <w:tbl>
      <w:tblPr>
        <w:tblStyle w:val="Tablaconcuadrcula"/>
        <w:tblW w:w="0" w:type="auto"/>
        <w:tblLook w:val="04A0" w:firstRow="1" w:lastRow="0" w:firstColumn="1" w:lastColumn="0" w:noHBand="0" w:noVBand="1"/>
      </w:tblPr>
      <w:tblGrid>
        <w:gridCol w:w="3162"/>
        <w:gridCol w:w="3162"/>
        <w:gridCol w:w="3163"/>
      </w:tblGrid>
      <w:tr w:rsidR="0050583F" w:rsidRPr="00C03B64" w14:paraId="387503F8" w14:textId="77777777" w:rsidTr="0050583F">
        <w:tc>
          <w:tcPr>
            <w:tcW w:w="3162" w:type="dxa"/>
            <w:tcBorders>
              <w:top w:val="nil"/>
              <w:left w:val="nil"/>
              <w:bottom w:val="single" w:sz="4" w:space="0" w:color="auto"/>
              <w:right w:val="nil"/>
            </w:tcBorders>
            <w:vAlign w:val="center"/>
          </w:tcPr>
          <w:p w14:paraId="1B98D49B"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12106D7"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B103959" w14:textId="77777777" w:rsidR="0050583F" w:rsidRPr="00C03B64" w:rsidRDefault="0050583F" w:rsidP="0050583F">
            <w:pPr>
              <w:jc w:val="center"/>
            </w:pPr>
            <w:r w:rsidRPr="00DE500C">
              <w:rPr>
                <w:b/>
                <w:bCs/>
              </w:rPr>
              <w:t>Descripción corta</w:t>
            </w:r>
          </w:p>
        </w:tc>
      </w:tr>
      <w:tr w:rsidR="0050583F" w:rsidRPr="00C03B64" w14:paraId="4650406C" w14:textId="77777777" w:rsidTr="0050583F">
        <w:tc>
          <w:tcPr>
            <w:tcW w:w="3162" w:type="dxa"/>
            <w:tcBorders>
              <w:top w:val="single" w:sz="4" w:space="0" w:color="auto"/>
            </w:tcBorders>
            <w:vAlign w:val="center"/>
          </w:tcPr>
          <w:p w14:paraId="7C2605A6" w14:textId="55146760" w:rsidR="0050583F" w:rsidRPr="00C03B64" w:rsidRDefault="00D2297E" w:rsidP="0050583F">
            <w:pPr>
              <w:spacing w:before="0"/>
              <w:jc w:val="left"/>
            </w:pPr>
            <w:r w:rsidRPr="00D2297E">
              <w:t>Porcentaje de niños(as) menores de 5 años con el primer control de peso en el primer mes</w:t>
            </w:r>
          </w:p>
        </w:tc>
        <w:tc>
          <w:tcPr>
            <w:tcW w:w="3162" w:type="dxa"/>
            <w:tcBorders>
              <w:top w:val="single" w:sz="4" w:space="0" w:color="auto"/>
            </w:tcBorders>
            <w:vAlign w:val="center"/>
          </w:tcPr>
          <w:p w14:paraId="59B3B939" w14:textId="0A4807D6" w:rsidR="0050583F" w:rsidRPr="00C03B64" w:rsidRDefault="007E1315" w:rsidP="0050583F">
            <w:pPr>
              <w:spacing w:before="0"/>
              <w:jc w:val="center"/>
            </w:pPr>
            <w:r>
              <w:t>ENDESA</w:t>
            </w:r>
          </w:p>
        </w:tc>
        <w:tc>
          <w:tcPr>
            <w:tcW w:w="3163" w:type="dxa"/>
            <w:tcBorders>
              <w:top w:val="single" w:sz="4" w:space="0" w:color="auto"/>
            </w:tcBorders>
            <w:vAlign w:val="center"/>
          </w:tcPr>
          <w:p w14:paraId="5ED5ACBA" w14:textId="395F6F49" w:rsidR="0050583F" w:rsidRPr="00C03B64" w:rsidRDefault="00D2297E" w:rsidP="0050583F">
            <w:pPr>
              <w:spacing w:before="0"/>
              <w:jc w:val="left"/>
            </w:pPr>
            <w:r w:rsidRPr="00D2297E">
              <w:t>Control de peso en el primer mes</w:t>
            </w:r>
          </w:p>
        </w:tc>
      </w:tr>
    </w:tbl>
    <w:p w14:paraId="0DB95FB1" w14:textId="01A79964" w:rsidR="0050583F" w:rsidRDefault="007E1315" w:rsidP="00D90446">
      <w:r>
        <w:t>Este indicador se calcula para todos los niños y niñas menores de 5 años e indaga por el porcentaje de estos que recibieron el primer control de peso durante el primer mes de vida. Esta primera batería de indicadores busca identificar el acceso a las atenciones desde el embarazo hasta los primeros momentos de vida del niño o niña.</w:t>
      </w:r>
    </w:p>
    <w:tbl>
      <w:tblPr>
        <w:tblStyle w:val="Tablaconcuadrcula"/>
        <w:tblW w:w="0" w:type="auto"/>
        <w:tblLook w:val="04A0" w:firstRow="1" w:lastRow="0" w:firstColumn="1" w:lastColumn="0" w:noHBand="0" w:noVBand="1"/>
      </w:tblPr>
      <w:tblGrid>
        <w:gridCol w:w="3162"/>
        <w:gridCol w:w="3162"/>
        <w:gridCol w:w="3163"/>
      </w:tblGrid>
      <w:tr w:rsidR="0050583F" w:rsidRPr="00C03B64" w14:paraId="3BCB5019" w14:textId="77777777" w:rsidTr="0050583F">
        <w:tc>
          <w:tcPr>
            <w:tcW w:w="3162" w:type="dxa"/>
            <w:tcBorders>
              <w:top w:val="nil"/>
              <w:left w:val="nil"/>
              <w:bottom w:val="single" w:sz="4" w:space="0" w:color="auto"/>
              <w:right w:val="nil"/>
            </w:tcBorders>
            <w:vAlign w:val="center"/>
          </w:tcPr>
          <w:p w14:paraId="35D55C75"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548D3BD"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65EFCE54" w14:textId="77777777" w:rsidR="0050583F" w:rsidRPr="00C03B64" w:rsidRDefault="0050583F" w:rsidP="0050583F">
            <w:pPr>
              <w:jc w:val="center"/>
            </w:pPr>
            <w:r w:rsidRPr="00DE500C">
              <w:rPr>
                <w:b/>
                <w:bCs/>
              </w:rPr>
              <w:t>Descripción corta</w:t>
            </w:r>
          </w:p>
        </w:tc>
      </w:tr>
      <w:tr w:rsidR="0050583F" w:rsidRPr="00C03B64" w14:paraId="1924D0F7" w14:textId="77777777" w:rsidTr="0050583F">
        <w:tc>
          <w:tcPr>
            <w:tcW w:w="3162" w:type="dxa"/>
            <w:tcBorders>
              <w:top w:val="single" w:sz="4" w:space="0" w:color="auto"/>
            </w:tcBorders>
            <w:vAlign w:val="center"/>
          </w:tcPr>
          <w:p w14:paraId="01CC91EC" w14:textId="0B791443" w:rsidR="0050583F" w:rsidRPr="00C03B64" w:rsidRDefault="00D2297E" w:rsidP="0050583F">
            <w:pPr>
              <w:spacing w:before="0"/>
              <w:jc w:val="left"/>
            </w:pPr>
            <w:r w:rsidRPr="00D2297E">
              <w:t>Porcentaje de padres que reconoce las señales de peligro de un niño(a) con fiebre</w:t>
            </w:r>
          </w:p>
        </w:tc>
        <w:tc>
          <w:tcPr>
            <w:tcW w:w="3162" w:type="dxa"/>
            <w:tcBorders>
              <w:top w:val="single" w:sz="4" w:space="0" w:color="auto"/>
            </w:tcBorders>
            <w:vAlign w:val="center"/>
          </w:tcPr>
          <w:p w14:paraId="2006BF1D" w14:textId="2C39CF0A" w:rsidR="0050583F" w:rsidRPr="00C03B64" w:rsidRDefault="007957C6" w:rsidP="0050583F">
            <w:pPr>
              <w:spacing w:before="0"/>
              <w:jc w:val="center"/>
            </w:pPr>
            <w:r>
              <w:t>LQAS</w:t>
            </w:r>
          </w:p>
        </w:tc>
        <w:tc>
          <w:tcPr>
            <w:tcW w:w="3163" w:type="dxa"/>
            <w:tcBorders>
              <w:top w:val="single" w:sz="4" w:space="0" w:color="auto"/>
            </w:tcBorders>
            <w:vAlign w:val="center"/>
          </w:tcPr>
          <w:p w14:paraId="3DDE6DBD" w14:textId="649F676F" w:rsidR="0050583F" w:rsidRPr="00C03B64" w:rsidRDefault="00D2297E" w:rsidP="0050583F">
            <w:pPr>
              <w:spacing w:before="0"/>
              <w:jc w:val="left"/>
            </w:pPr>
            <w:r w:rsidRPr="00D2297E">
              <w:t>Señales de peligro - Fiebre</w:t>
            </w:r>
          </w:p>
        </w:tc>
      </w:tr>
    </w:tbl>
    <w:p w14:paraId="7B02CF3D" w14:textId="2408B4BF" w:rsidR="0050583F" w:rsidRDefault="007957C6" w:rsidP="00D90446">
      <w:r>
        <w:t>Con este indicador se busca indagar sobre el porcentaje de madres, ya que la encuesta LQAS se realiza a la madre del hogar, que identifica por lo menos dos señales de peligro de un niño con fiebre, entre las que se encuentran: fiebre mayor de siete días, fiebre con salpullido generalizado y fiebre con tos, ojos rojos y salpullido generalizado.</w:t>
      </w:r>
    </w:p>
    <w:tbl>
      <w:tblPr>
        <w:tblStyle w:val="Tablaconcuadrcula"/>
        <w:tblW w:w="0" w:type="auto"/>
        <w:tblLook w:val="04A0" w:firstRow="1" w:lastRow="0" w:firstColumn="1" w:lastColumn="0" w:noHBand="0" w:noVBand="1"/>
      </w:tblPr>
      <w:tblGrid>
        <w:gridCol w:w="3162"/>
        <w:gridCol w:w="3162"/>
        <w:gridCol w:w="3163"/>
      </w:tblGrid>
      <w:tr w:rsidR="0050583F" w:rsidRPr="00C03B64" w14:paraId="1A0F9345" w14:textId="77777777" w:rsidTr="0050583F">
        <w:tc>
          <w:tcPr>
            <w:tcW w:w="3162" w:type="dxa"/>
            <w:tcBorders>
              <w:top w:val="nil"/>
              <w:left w:val="nil"/>
              <w:bottom w:val="single" w:sz="4" w:space="0" w:color="auto"/>
              <w:right w:val="nil"/>
            </w:tcBorders>
            <w:vAlign w:val="center"/>
          </w:tcPr>
          <w:p w14:paraId="4F4D061F"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8F0C3BA"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2791A910" w14:textId="77777777" w:rsidR="0050583F" w:rsidRPr="00C03B64" w:rsidRDefault="0050583F" w:rsidP="0050583F">
            <w:pPr>
              <w:jc w:val="center"/>
            </w:pPr>
            <w:r w:rsidRPr="00DE500C">
              <w:rPr>
                <w:b/>
                <w:bCs/>
              </w:rPr>
              <w:t>Descripción corta</w:t>
            </w:r>
          </w:p>
        </w:tc>
      </w:tr>
      <w:tr w:rsidR="0050583F" w:rsidRPr="00C03B64" w14:paraId="40F5BE6E" w14:textId="77777777" w:rsidTr="0050583F">
        <w:tc>
          <w:tcPr>
            <w:tcW w:w="3162" w:type="dxa"/>
            <w:tcBorders>
              <w:top w:val="single" w:sz="4" w:space="0" w:color="auto"/>
            </w:tcBorders>
            <w:vAlign w:val="center"/>
          </w:tcPr>
          <w:p w14:paraId="62918A57" w14:textId="13061A95" w:rsidR="0050583F" w:rsidRPr="00C03B64" w:rsidRDefault="00D2297E" w:rsidP="0050583F">
            <w:pPr>
              <w:spacing w:before="0"/>
              <w:jc w:val="left"/>
            </w:pPr>
            <w:r w:rsidRPr="00D2297E">
              <w:t>Porcentaje de padres que reconoce las señales de peligro de un niño(a) con enfermedad respiratoria</w:t>
            </w:r>
          </w:p>
        </w:tc>
        <w:tc>
          <w:tcPr>
            <w:tcW w:w="3162" w:type="dxa"/>
            <w:tcBorders>
              <w:top w:val="single" w:sz="4" w:space="0" w:color="auto"/>
            </w:tcBorders>
            <w:vAlign w:val="center"/>
          </w:tcPr>
          <w:p w14:paraId="0475285D" w14:textId="05EE1921" w:rsidR="0050583F" w:rsidRPr="00C03B64" w:rsidRDefault="007957C6" w:rsidP="0050583F">
            <w:pPr>
              <w:spacing w:before="0"/>
              <w:jc w:val="center"/>
            </w:pPr>
            <w:r>
              <w:t>LQAS</w:t>
            </w:r>
          </w:p>
        </w:tc>
        <w:tc>
          <w:tcPr>
            <w:tcW w:w="3163" w:type="dxa"/>
            <w:tcBorders>
              <w:top w:val="single" w:sz="4" w:space="0" w:color="auto"/>
            </w:tcBorders>
            <w:vAlign w:val="center"/>
          </w:tcPr>
          <w:p w14:paraId="1D9A3BD3" w14:textId="0DB83A73" w:rsidR="0050583F" w:rsidRPr="00C03B64" w:rsidRDefault="00D2297E" w:rsidP="0050583F">
            <w:pPr>
              <w:spacing w:before="0"/>
              <w:jc w:val="left"/>
            </w:pPr>
            <w:r w:rsidRPr="00D2297E">
              <w:t>Señales de peligro - Enfermedad respiratoria</w:t>
            </w:r>
          </w:p>
        </w:tc>
      </w:tr>
    </w:tbl>
    <w:p w14:paraId="7C1867A4" w14:textId="7B2AD867" w:rsidR="0050583F" w:rsidRDefault="007957C6" w:rsidP="00D90446">
      <w:r>
        <w:t>Al igual que el anterior, este indaga sobre el porcentaje de madres que identifica por lo menos dos señales de peligro de un niño con enfermedad respiratoria, entre las que se encuentra: respiración rápida, hundimiento de costillas, ruidos al respirar.</w:t>
      </w:r>
    </w:p>
    <w:tbl>
      <w:tblPr>
        <w:tblStyle w:val="Tablaconcuadrcula"/>
        <w:tblW w:w="0" w:type="auto"/>
        <w:tblLook w:val="04A0" w:firstRow="1" w:lastRow="0" w:firstColumn="1" w:lastColumn="0" w:noHBand="0" w:noVBand="1"/>
      </w:tblPr>
      <w:tblGrid>
        <w:gridCol w:w="3162"/>
        <w:gridCol w:w="3162"/>
        <w:gridCol w:w="3163"/>
      </w:tblGrid>
      <w:tr w:rsidR="0050583F" w:rsidRPr="00C03B64" w14:paraId="05AF7B20" w14:textId="77777777" w:rsidTr="0050583F">
        <w:tc>
          <w:tcPr>
            <w:tcW w:w="3162" w:type="dxa"/>
            <w:tcBorders>
              <w:top w:val="nil"/>
              <w:left w:val="nil"/>
              <w:bottom w:val="single" w:sz="4" w:space="0" w:color="auto"/>
              <w:right w:val="nil"/>
            </w:tcBorders>
            <w:vAlign w:val="center"/>
          </w:tcPr>
          <w:p w14:paraId="5D5381F2" w14:textId="77777777" w:rsidR="0050583F" w:rsidRPr="00C03B64" w:rsidRDefault="0050583F" w:rsidP="0050583F">
            <w:pPr>
              <w:jc w:val="center"/>
            </w:pPr>
            <w:r w:rsidRPr="00DE500C">
              <w:rPr>
                <w:b/>
                <w:bCs/>
              </w:rPr>
              <w:lastRenderedPageBreak/>
              <w:t>Indicador</w:t>
            </w:r>
          </w:p>
        </w:tc>
        <w:tc>
          <w:tcPr>
            <w:tcW w:w="3162" w:type="dxa"/>
            <w:tcBorders>
              <w:top w:val="nil"/>
              <w:left w:val="nil"/>
              <w:bottom w:val="single" w:sz="4" w:space="0" w:color="auto"/>
              <w:right w:val="nil"/>
            </w:tcBorders>
            <w:vAlign w:val="center"/>
          </w:tcPr>
          <w:p w14:paraId="67ACF85B"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1C09F63" w14:textId="77777777" w:rsidR="0050583F" w:rsidRPr="00C03B64" w:rsidRDefault="0050583F" w:rsidP="0050583F">
            <w:pPr>
              <w:jc w:val="center"/>
            </w:pPr>
            <w:r w:rsidRPr="00DE500C">
              <w:rPr>
                <w:b/>
                <w:bCs/>
              </w:rPr>
              <w:t>Descripción corta</w:t>
            </w:r>
          </w:p>
        </w:tc>
      </w:tr>
      <w:tr w:rsidR="0050583F" w:rsidRPr="00C03B64" w14:paraId="52D7ED3E" w14:textId="77777777" w:rsidTr="0050583F">
        <w:tc>
          <w:tcPr>
            <w:tcW w:w="3162" w:type="dxa"/>
            <w:tcBorders>
              <w:top w:val="single" w:sz="4" w:space="0" w:color="auto"/>
            </w:tcBorders>
            <w:vAlign w:val="center"/>
          </w:tcPr>
          <w:p w14:paraId="38132C4E" w14:textId="7AE6BA90" w:rsidR="0050583F" w:rsidRPr="00C03B64" w:rsidRDefault="00D2297E" w:rsidP="0050583F">
            <w:pPr>
              <w:spacing w:before="0"/>
              <w:jc w:val="left"/>
            </w:pPr>
            <w:r w:rsidRPr="00D2297E">
              <w:t>Porcentaje de padres que reconoce las señales de peligro de un niño(a) con deshidratación</w:t>
            </w:r>
          </w:p>
        </w:tc>
        <w:tc>
          <w:tcPr>
            <w:tcW w:w="3162" w:type="dxa"/>
            <w:tcBorders>
              <w:top w:val="single" w:sz="4" w:space="0" w:color="auto"/>
            </w:tcBorders>
            <w:vAlign w:val="center"/>
          </w:tcPr>
          <w:p w14:paraId="52977038" w14:textId="1C28824F" w:rsidR="0050583F" w:rsidRPr="00C03B64" w:rsidRDefault="007957C6" w:rsidP="0050583F">
            <w:pPr>
              <w:spacing w:before="0"/>
              <w:jc w:val="center"/>
            </w:pPr>
            <w:r>
              <w:t>LQAS</w:t>
            </w:r>
          </w:p>
        </w:tc>
        <w:tc>
          <w:tcPr>
            <w:tcW w:w="3163" w:type="dxa"/>
            <w:tcBorders>
              <w:top w:val="single" w:sz="4" w:space="0" w:color="auto"/>
            </w:tcBorders>
            <w:vAlign w:val="center"/>
          </w:tcPr>
          <w:p w14:paraId="16B903EA" w14:textId="4F152B27" w:rsidR="0050583F" w:rsidRPr="00C03B64" w:rsidRDefault="00D2297E" w:rsidP="0050583F">
            <w:pPr>
              <w:spacing w:before="0"/>
              <w:jc w:val="left"/>
            </w:pPr>
            <w:r w:rsidRPr="00D2297E">
              <w:t>Señales de peligro - Deshidratación</w:t>
            </w:r>
          </w:p>
        </w:tc>
      </w:tr>
    </w:tbl>
    <w:p w14:paraId="0116A8B9" w14:textId="11105647" w:rsidR="0050583F" w:rsidRDefault="007957C6" w:rsidP="00D90446">
      <w:r>
        <w:t>Por último, frente a los conocimientos que los padres deben tener para la identificación de riesgos en los niños de primera infancia, este indicador indaga sobre el porcentaje de madres que puede reconocer al menos dos señales de peligro de un niño o niña con deshidratación, estas son: el niño demuestra mucha sed, el niño bebe ansiosamente, se le ven los ojos hundidos, se muestra el pliegue de la piel, el niño esta irritable o inquieto, entre otras.</w:t>
      </w:r>
    </w:p>
    <w:tbl>
      <w:tblPr>
        <w:tblStyle w:val="Tablaconcuadrcula"/>
        <w:tblW w:w="0" w:type="auto"/>
        <w:tblLook w:val="04A0" w:firstRow="1" w:lastRow="0" w:firstColumn="1" w:lastColumn="0" w:noHBand="0" w:noVBand="1"/>
      </w:tblPr>
      <w:tblGrid>
        <w:gridCol w:w="3162"/>
        <w:gridCol w:w="3162"/>
        <w:gridCol w:w="3163"/>
      </w:tblGrid>
      <w:tr w:rsidR="0050583F" w:rsidRPr="00C03B64" w14:paraId="72509441" w14:textId="77777777" w:rsidTr="0050583F">
        <w:tc>
          <w:tcPr>
            <w:tcW w:w="3162" w:type="dxa"/>
            <w:tcBorders>
              <w:top w:val="nil"/>
              <w:left w:val="nil"/>
              <w:bottom w:val="single" w:sz="4" w:space="0" w:color="auto"/>
              <w:right w:val="nil"/>
            </w:tcBorders>
            <w:vAlign w:val="center"/>
          </w:tcPr>
          <w:p w14:paraId="5CB7A514"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0C44C564"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5553EA2" w14:textId="77777777" w:rsidR="0050583F" w:rsidRPr="00C03B64" w:rsidRDefault="0050583F" w:rsidP="0050583F">
            <w:pPr>
              <w:jc w:val="center"/>
            </w:pPr>
            <w:r w:rsidRPr="00DE500C">
              <w:rPr>
                <w:b/>
                <w:bCs/>
              </w:rPr>
              <w:t>Descripción corta</w:t>
            </w:r>
          </w:p>
        </w:tc>
      </w:tr>
      <w:tr w:rsidR="0050583F" w:rsidRPr="00C03B64" w14:paraId="4F4EA794" w14:textId="77777777" w:rsidTr="0050583F">
        <w:tc>
          <w:tcPr>
            <w:tcW w:w="3162" w:type="dxa"/>
            <w:tcBorders>
              <w:top w:val="single" w:sz="4" w:space="0" w:color="auto"/>
            </w:tcBorders>
            <w:vAlign w:val="center"/>
          </w:tcPr>
          <w:p w14:paraId="185485CA" w14:textId="1BFB2695" w:rsidR="0050583F" w:rsidRPr="00C03B64" w:rsidRDefault="00D2297E" w:rsidP="0050583F">
            <w:pPr>
              <w:spacing w:before="0"/>
              <w:jc w:val="left"/>
            </w:pPr>
            <w:r w:rsidRPr="00D2297E">
              <w:t>Porcentaje de niños(as) menores de 5 años con diarrea en las últimas dos semanas</w:t>
            </w:r>
          </w:p>
        </w:tc>
        <w:tc>
          <w:tcPr>
            <w:tcW w:w="3162" w:type="dxa"/>
            <w:tcBorders>
              <w:top w:val="single" w:sz="4" w:space="0" w:color="auto"/>
            </w:tcBorders>
            <w:vAlign w:val="center"/>
          </w:tcPr>
          <w:p w14:paraId="7D9D59BD" w14:textId="631DF302" w:rsidR="0050583F" w:rsidRPr="00C03B64" w:rsidRDefault="007957C6" w:rsidP="0050583F">
            <w:pPr>
              <w:spacing w:before="0"/>
              <w:jc w:val="center"/>
            </w:pPr>
            <w:r>
              <w:t>ENDESA</w:t>
            </w:r>
          </w:p>
        </w:tc>
        <w:tc>
          <w:tcPr>
            <w:tcW w:w="3163" w:type="dxa"/>
            <w:tcBorders>
              <w:top w:val="single" w:sz="4" w:space="0" w:color="auto"/>
            </w:tcBorders>
            <w:vAlign w:val="center"/>
          </w:tcPr>
          <w:p w14:paraId="1888B32E" w14:textId="65485748" w:rsidR="0050583F" w:rsidRPr="00C03B64" w:rsidRDefault="00D2297E" w:rsidP="0050583F">
            <w:pPr>
              <w:spacing w:before="0"/>
              <w:jc w:val="left"/>
            </w:pPr>
            <w:r w:rsidRPr="00D2297E">
              <w:t>Prevalencia de EDA</w:t>
            </w:r>
          </w:p>
        </w:tc>
      </w:tr>
    </w:tbl>
    <w:p w14:paraId="030E7553" w14:textId="10977093" w:rsidR="0050583F" w:rsidRDefault="00497B3A" w:rsidP="00D90446">
      <w:r>
        <w:t>Este indicador indaga sobre la prevalencia de Enfermedad Diarreica Aguda entre los niños menores de cinco años, para los cuales se pregunta si en las últimas dos semanas el niño o niña ha sufrido de diarrea.</w:t>
      </w:r>
    </w:p>
    <w:tbl>
      <w:tblPr>
        <w:tblStyle w:val="Tablaconcuadrcula"/>
        <w:tblW w:w="0" w:type="auto"/>
        <w:tblLook w:val="04A0" w:firstRow="1" w:lastRow="0" w:firstColumn="1" w:lastColumn="0" w:noHBand="0" w:noVBand="1"/>
      </w:tblPr>
      <w:tblGrid>
        <w:gridCol w:w="3162"/>
        <w:gridCol w:w="3162"/>
        <w:gridCol w:w="3163"/>
      </w:tblGrid>
      <w:tr w:rsidR="0050583F" w:rsidRPr="00C03B64" w14:paraId="18DBA53C" w14:textId="77777777" w:rsidTr="0050583F">
        <w:tc>
          <w:tcPr>
            <w:tcW w:w="3162" w:type="dxa"/>
            <w:tcBorders>
              <w:top w:val="nil"/>
              <w:left w:val="nil"/>
              <w:bottom w:val="single" w:sz="4" w:space="0" w:color="auto"/>
              <w:right w:val="nil"/>
            </w:tcBorders>
            <w:vAlign w:val="center"/>
          </w:tcPr>
          <w:p w14:paraId="3506EE40"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65EECE36"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1569D9F7" w14:textId="77777777" w:rsidR="0050583F" w:rsidRPr="00C03B64" w:rsidRDefault="0050583F" w:rsidP="0050583F">
            <w:pPr>
              <w:jc w:val="center"/>
            </w:pPr>
            <w:r w:rsidRPr="00DE500C">
              <w:rPr>
                <w:b/>
                <w:bCs/>
              </w:rPr>
              <w:t>Descripción corta</w:t>
            </w:r>
          </w:p>
        </w:tc>
      </w:tr>
      <w:tr w:rsidR="0050583F" w:rsidRPr="00C03B64" w14:paraId="7FF4165C" w14:textId="77777777" w:rsidTr="0050583F">
        <w:tc>
          <w:tcPr>
            <w:tcW w:w="3162" w:type="dxa"/>
            <w:tcBorders>
              <w:top w:val="single" w:sz="4" w:space="0" w:color="auto"/>
            </w:tcBorders>
            <w:vAlign w:val="center"/>
          </w:tcPr>
          <w:p w14:paraId="3D5EB3BB" w14:textId="50F1719D" w:rsidR="0050583F" w:rsidRPr="00C03B64" w:rsidRDefault="00D2297E" w:rsidP="0050583F">
            <w:pPr>
              <w:spacing w:before="0"/>
              <w:jc w:val="left"/>
            </w:pPr>
            <w:r w:rsidRPr="00D2297E">
              <w:t>Porcentaje de niños(as) menores de 5 años con signos de neumonía en las últimas dos semanas</w:t>
            </w:r>
          </w:p>
        </w:tc>
        <w:tc>
          <w:tcPr>
            <w:tcW w:w="3162" w:type="dxa"/>
            <w:tcBorders>
              <w:top w:val="single" w:sz="4" w:space="0" w:color="auto"/>
            </w:tcBorders>
            <w:vAlign w:val="center"/>
          </w:tcPr>
          <w:p w14:paraId="7521EAF7" w14:textId="26500392" w:rsidR="0050583F" w:rsidRPr="00C03B64" w:rsidRDefault="00497B3A" w:rsidP="0050583F">
            <w:pPr>
              <w:spacing w:before="0"/>
              <w:jc w:val="center"/>
            </w:pPr>
            <w:r>
              <w:t>ENDESA</w:t>
            </w:r>
          </w:p>
        </w:tc>
        <w:tc>
          <w:tcPr>
            <w:tcW w:w="3163" w:type="dxa"/>
            <w:tcBorders>
              <w:top w:val="single" w:sz="4" w:space="0" w:color="auto"/>
            </w:tcBorders>
            <w:vAlign w:val="center"/>
          </w:tcPr>
          <w:p w14:paraId="3140045C" w14:textId="59A4ECBF" w:rsidR="0050583F" w:rsidRPr="00C03B64" w:rsidRDefault="00D2297E" w:rsidP="0050583F">
            <w:pPr>
              <w:spacing w:before="0"/>
              <w:jc w:val="left"/>
            </w:pPr>
            <w:r w:rsidRPr="00D2297E">
              <w:t>Prevalencia de IRA</w:t>
            </w:r>
          </w:p>
        </w:tc>
      </w:tr>
    </w:tbl>
    <w:p w14:paraId="19B44D51" w14:textId="75540AB2" w:rsidR="0050583F" w:rsidRDefault="00497B3A" w:rsidP="00D90446">
      <w:r>
        <w:t xml:space="preserve">Con este indicador se indaga sobre la prevalencia de Infecciones Respiratorias Agudas sobre los niños y niñas menores de cinco años, </w:t>
      </w:r>
      <w:r w:rsidR="001523FB">
        <w:t>y consiste en identificar aquellos que en las últimas dos semanas han sufrido de tos, rápidas respiraciones y presión en el pecho.</w:t>
      </w:r>
    </w:p>
    <w:tbl>
      <w:tblPr>
        <w:tblStyle w:val="Tablaconcuadrcula"/>
        <w:tblW w:w="0" w:type="auto"/>
        <w:tblLook w:val="04A0" w:firstRow="1" w:lastRow="0" w:firstColumn="1" w:lastColumn="0" w:noHBand="0" w:noVBand="1"/>
      </w:tblPr>
      <w:tblGrid>
        <w:gridCol w:w="3162"/>
        <w:gridCol w:w="3162"/>
        <w:gridCol w:w="3163"/>
      </w:tblGrid>
      <w:tr w:rsidR="0050583F" w:rsidRPr="00C03B64" w14:paraId="41CF51D8" w14:textId="77777777" w:rsidTr="0050583F">
        <w:tc>
          <w:tcPr>
            <w:tcW w:w="3162" w:type="dxa"/>
            <w:tcBorders>
              <w:top w:val="nil"/>
              <w:left w:val="nil"/>
              <w:bottom w:val="single" w:sz="4" w:space="0" w:color="auto"/>
              <w:right w:val="nil"/>
            </w:tcBorders>
            <w:vAlign w:val="center"/>
          </w:tcPr>
          <w:p w14:paraId="30C90538"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AD9FCC1"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07C23DF3" w14:textId="77777777" w:rsidR="0050583F" w:rsidRPr="00C03B64" w:rsidRDefault="0050583F" w:rsidP="0050583F">
            <w:pPr>
              <w:jc w:val="center"/>
            </w:pPr>
            <w:r w:rsidRPr="00DE500C">
              <w:rPr>
                <w:b/>
                <w:bCs/>
              </w:rPr>
              <w:t>Descripción corta</w:t>
            </w:r>
          </w:p>
        </w:tc>
      </w:tr>
      <w:tr w:rsidR="0050583F" w:rsidRPr="00C03B64" w14:paraId="65A13BE0" w14:textId="77777777" w:rsidTr="0050583F">
        <w:tc>
          <w:tcPr>
            <w:tcW w:w="3162" w:type="dxa"/>
            <w:tcBorders>
              <w:top w:val="single" w:sz="4" w:space="0" w:color="auto"/>
            </w:tcBorders>
            <w:vAlign w:val="center"/>
          </w:tcPr>
          <w:p w14:paraId="498398A5" w14:textId="50EB6302" w:rsidR="0050583F" w:rsidRPr="00C03B64" w:rsidRDefault="00D2297E" w:rsidP="0050583F">
            <w:pPr>
              <w:spacing w:before="0"/>
              <w:jc w:val="left"/>
            </w:pPr>
            <w:r w:rsidRPr="00D2297E">
              <w:t>Porcentaje de niños(as) de un año con la vacuna BCG</w:t>
            </w:r>
          </w:p>
        </w:tc>
        <w:tc>
          <w:tcPr>
            <w:tcW w:w="3162" w:type="dxa"/>
            <w:tcBorders>
              <w:top w:val="single" w:sz="4" w:space="0" w:color="auto"/>
            </w:tcBorders>
            <w:vAlign w:val="center"/>
          </w:tcPr>
          <w:p w14:paraId="5883CF3A" w14:textId="71AA42D8" w:rsidR="0050583F" w:rsidRPr="00C03B64" w:rsidRDefault="001523FB" w:rsidP="0050583F">
            <w:pPr>
              <w:spacing w:before="0"/>
              <w:jc w:val="center"/>
            </w:pPr>
            <w:r>
              <w:t>ENDESA y LQAS</w:t>
            </w:r>
          </w:p>
        </w:tc>
        <w:tc>
          <w:tcPr>
            <w:tcW w:w="3163" w:type="dxa"/>
            <w:tcBorders>
              <w:top w:val="single" w:sz="4" w:space="0" w:color="auto"/>
            </w:tcBorders>
            <w:vAlign w:val="center"/>
          </w:tcPr>
          <w:p w14:paraId="53B1C361" w14:textId="5B6F3A70" w:rsidR="0050583F" w:rsidRPr="00C03B64" w:rsidRDefault="00D2297E" w:rsidP="0050583F">
            <w:pPr>
              <w:spacing w:before="0"/>
              <w:jc w:val="left"/>
            </w:pPr>
            <w:r w:rsidRPr="00D2297E">
              <w:t>Vacunación - BGC</w:t>
            </w:r>
          </w:p>
        </w:tc>
      </w:tr>
    </w:tbl>
    <w:p w14:paraId="005750F2" w14:textId="3A536284" w:rsidR="0050583F" w:rsidRDefault="001523FB" w:rsidP="00D90446">
      <w:r>
        <w:t>A partir de este indicador se indaga sobre el porcentaje de niños y niñas entre 12 y 23 meses que cuentan con las vacunas establecidas por la Secretaria de Salud. Las vacunas por las que se indagan son: tuberculosis (BGC), hepatitis B, tercera dosis de pentavalente (DPT), tercera dosis de VOP (Polio-SABIN), segunda dosis de rotavirus, tercera dosis de neumococo conjugada y SRP (</w:t>
      </w:r>
      <w:proofErr w:type="spellStart"/>
      <w:r>
        <w:t>Measles</w:t>
      </w:r>
      <w:proofErr w:type="spellEnd"/>
      <w:r>
        <w:t>).</w:t>
      </w:r>
    </w:p>
    <w:tbl>
      <w:tblPr>
        <w:tblStyle w:val="Tablaconcuadrcula"/>
        <w:tblW w:w="0" w:type="auto"/>
        <w:tblLook w:val="04A0" w:firstRow="1" w:lastRow="0" w:firstColumn="1" w:lastColumn="0" w:noHBand="0" w:noVBand="1"/>
      </w:tblPr>
      <w:tblGrid>
        <w:gridCol w:w="3162"/>
        <w:gridCol w:w="3162"/>
        <w:gridCol w:w="3163"/>
      </w:tblGrid>
      <w:tr w:rsidR="0050583F" w:rsidRPr="00C03B64" w14:paraId="4164481C" w14:textId="77777777" w:rsidTr="001523FB">
        <w:tc>
          <w:tcPr>
            <w:tcW w:w="3162" w:type="dxa"/>
            <w:tcBorders>
              <w:top w:val="nil"/>
              <w:left w:val="nil"/>
              <w:bottom w:val="single" w:sz="4" w:space="0" w:color="auto"/>
              <w:right w:val="nil"/>
            </w:tcBorders>
            <w:vAlign w:val="center"/>
          </w:tcPr>
          <w:p w14:paraId="655682EE" w14:textId="77777777" w:rsidR="0050583F" w:rsidRPr="00C03B64" w:rsidRDefault="0050583F" w:rsidP="0050583F">
            <w:pPr>
              <w:jc w:val="center"/>
            </w:pPr>
            <w:r w:rsidRPr="00DE500C">
              <w:rPr>
                <w:b/>
                <w:bCs/>
              </w:rPr>
              <w:lastRenderedPageBreak/>
              <w:t>Indicador</w:t>
            </w:r>
          </w:p>
        </w:tc>
        <w:tc>
          <w:tcPr>
            <w:tcW w:w="3162" w:type="dxa"/>
            <w:tcBorders>
              <w:top w:val="nil"/>
              <w:left w:val="nil"/>
              <w:bottom w:val="single" w:sz="4" w:space="0" w:color="auto"/>
              <w:right w:val="nil"/>
            </w:tcBorders>
            <w:vAlign w:val="center"/>
          </w:tcPr>
          <w:p w14:paraId="42E9D5C1"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1FBA192B" w14:textId="77777777" w:rsidR="0050583F" w:rsidRPr="00C03B64" w:rsidRDefault="0050583F" w:rsidP="0050583F">
            <w:pPr>
              <w:jc w:val="center"/>
            </w:pPr>
            <w:r w:rsidRPr="00DE500C">
              <w:rPr>
                <w:b/>
                <w:bCs/>
              </w:rPr>
              <w:t>Descripción corta</w:t>
            </w:r>
          </w:p>
        </w:tc>
      </w:tr>
      <w:tr w:rsidR="0050583F" w:rsidRPr="00C03B64" w14:paraId="55A51E1C" w14:textId="77777777" w:rsidTr="001523FB">
        <w:tc>
          <w:tcPr>
            <w:tcW w:w="3162" w:type="dxa"/>
            <w:tcBorders>
              <w:top w:val="single" w:sz="4" w:space="0" w:color="auto"/>
            </w:tcBorders>
            <w:vAlign w:val="center"/>
          </w:tcPr>
          <w:p w14:paraId="3F2F2A92" w14:textId="4388CA06" w:rsidR="0050583F" w:rsidRPr="00C03B64" w:rsidRDefault="00D2297E" w:rsidP="0050583F">
            <w:pPr>
              <w:spacing w:before="0"/>
              <w:jc w:val="left"/>
            </w:pPr>
            <w:r w:rsidRPr="00D2297E">
              <w:t>Porcentaje de niños(as) de un año con la vacuna de Hepatitis B</w:t>
            </w:r>
          </w:p>
        </w:tc>
        <w:tc>
          <w:tcPr>
            <w:tcW w:w="3162" w:type="dxa"/>
            <w:tcBorders>
              <w:top w:val="single" w:sz="4" w:space="0" w:color="auto"/>
            </w:tcBorders>
            <w:vAlign w:val="center"/>
          </w:tcPr>
          <w:p w14:paraId="0F80F90F" w14:textId="5CB5F257" w:rsidR="0050583F" w:rsidRPr="00C03B64" w:rsidRDefault="001523FB" w:rsidP="0050583F">
            <w:pPr>
              <w:spacing w:before="0"/>
              <w:jc w:val="center"/>
            </w:pPr>
            <w:r>
              <w:t>ENDESA y LQAS</w:t>
            </w:r>
          </w:p>
        </w:tc>
        <w:tc>
          <w:tcPr>
            <w:tcW w:w="3163" w:type="dxa"/>
            <w:tcBorders>
              <w:top w:val="single" w:sz="4" w:space="0" w:color="auto"/>
            </w:tcBorders>
            <w:vAlign w:val="center"/>
          </w:tcPr>
          <w:p w14:paraId="61DF7C01" w14:textId="046BFBD4" w:rsidR="0050583F" w:rsidRPr="00C03B64" w:rsidRDefault="00D2297E" w:rsidP="0050583F">
            <w:pPr>
              <w:spacing w:before="0"/>
              <w:jc w:val="left"/>
            </w:pPr>
            <w:r w:rsidRPr="00D2297E">
              <w:t>Vacunación - Hepatitis B</w:t>
            </w:r>
          </w:p>
        </w:tc>
      </w:tr>
      <w:tr w:rsidR="0050583F" w:rsidRPr="00C03B64" w14:paraId="56B206DF" w14:textId="77777777" w:rsidTr="001523FB">
        <w:tc>
          <w:tcPr>
            <w:tcW w:w="3162" w:type="dxa"/>
            <w:tcBorders>
              <w:top w:val="single" w:sz="4" w:space="0" w:color="auto"/>
            </w:tcBorders>
            <w:vAlign w:val="center"/>
          </w:tcPr>
          <w:p w14:paraId="7019288B" w14:textId="46503DD3" w:rsidR="0050583F" w:rsidRPr="00C03B64" w:rsidRDefault="00D2297E" w:rsidP="0050583F">
            <w:pPr>
              <w:spacing w:before="0"/>
              <w:jc w:val="left"/>
            </w:pPr>
            <w:r w:rsidRPr="00D2297E">
              <w:t>Porcentaje de niños(as) de un año con la tercera dosis de pentavalente</w:t>
            </w:r>
          </w:p>
        </w:tc>
        <w:tc>
          <w:tcPr>
            <w:tcW w:w="3162" w:type="dxa"/>
            <w:tcBorders>
              <w:top w:val="single" w:sz="4" w:space="0" w:color="auto"/>
            </w:tcBorders>
            <w:vAlign w:val="center"/>
          </w:tcPr>
          <w:p w14:paraId="103561DF" w14:textId="4B1EE2E0" w:rsidR="0050583F" w:rsidRPr="00C03B64" w:rsidRDefault="001523FB" w:rsidP="0050583F">
            <w:pPr>
              <w:spacing w:before="0"/>
              <w:jc w:val="center"/>
            </w:pPr>
            <w:r>
              <w:t>ENDESA y LQAS</w:t>
            </w:r>
          </w:p>
        </w:tc>
        <w:tc>
          <w:tcPr>
            <w:tcW w:w="3163" w:type="dxa"/>
            <w:tcBorders>
              <w:top w:val="single" w:sz="4" w:space="0" w:color="auto"/>
            </w:tcBorders>
            <w:vAlign w:val="center"/>
          </w:tcPr>
          <w:p w14:paraId="6AF867C6" w14:textId="5E385426" w:rsidR="0050583F" w:rsidRPr="00C03B64" w:rsidRDefault="00D2297E" w:rsidP="0050583F">
            <w:pPr>
              <w:spacing w:before="0"/>
              <w:jc w:val="left"/>
            </w:pPr>
            <w:r w:rsidRPr="00D2297E">
              <w:t>Vacunación - Pentavalente (DPT)</w:t>
            </w:r>
          </w:p>
        </w:tc>
      </w:tr>
      <w:tr w:rsidR="0050583F" w:rsidRPr="00C03B64" w14:paraId="159DD4CF" w14:textId="77777777" w:rsidTr="001523FB">
        <w:tc>
          <w:tcPr>
            <w:tcW w:w="3162" w:type="dxa"/>
            <w:tcBorders>
              <w:top w:val="single" w:sz="4" w:space="0" w:color="auto"/>
            </w:tcBorders>
            <w:vAlign w:val="center"/>
          </w:tcPr>
          <w:p w14:paraId="448F7D57" w14:textId="614FF8BB" w:rsidR="0050583F" w:rsidRPr="00C03B64" w:rsidRDefault="00D2297E" w:rsidP="0050583F">
            <w:pPr>
              <w:spacing w:before="0"/>
              <w:jc w:val="left"/>
            </w:pPr>
            <w:r w:rsidRPr="00D2297E">
              <w:t>Porcentaje de niños(as) de un año con la tercera dosis de SABIN</w:t>
            </w:r>
          </w:p>
        </w:tc>
        <w:tc>
          <w:tcPr>
            <w:tcW w:w="3162" w:type="dxa"/>
            <w:tcBorders>
              <w:top w:val="single" w:sz="4" w:space="0" w:color="auto"/>
            </w:tcBorders>
            <w:vAlign w:val="center"/>
          </w:tcPr>
          <w:p w14:paraId="4FC85044" w14:textId="7AF27B18" w:rsidR="0050583F" w:rsidRPr="00C03B64" w:rsidRDefault="001523FB" w:rsidP="0050583F">
            <w:pPr>
              <w:spacing w:before="0"/>
              <w:jc w:val="center"/>
            </w:pPr>
            <w:r>
              <w:t>ENDESA y LQAS</w:t>
            </w:r>
          </w:p>
        </w:tc>
        <w:tc>
          <w:tcPr>
            <w:tcW w:w="3163" w:type="dxa"/>
            <w:tcBorders>
              <w:top w:val="single" w:sz="4" w:space="0" w:color="auto"/>
            </w:tcBorders>
            <w:vAlign w:val="center"/>
          </w:tcPr>
          <w:p w14:paraId="52BC1C7D" w14:textId="6EC99A67" w:rsidR="0050583F" w:rsidRPr="00C03B64" w:rsidRDefault="00D2297E" w:rsidP="0050583F">
            <w:pPr>
              <w:spacing w:before="0"/>
              <w:jc w:val="left"/>
            </w:pPr>
            <w:r w:rsidRPr="00D2297E">
              <w:t>Vacunación - SABIN (Polio)</w:t>
            </w:r>
          </w:p>
        </w:tc>
      </w:tr>
      <w:tr w:rsidR="0050583F" w:rsidRPr="00C03B64" w14:paraId="6E210CB0" w14:textId="77777777" w:rsidTr="001523FB">
        <w:tc>
          <w:tcPr>
            <w:tcW w:w="3162" w:type="dxa"/>
            <w:tcBorders>
              <w:top w:val="single" w:sz="4" w:space="0" w:color="auto"/>
            </w:tcBorders>
            <w:vAlign w:val="center"/>
          </w:tcPr>
          <w:p w14:paraId="357F1496" w14:textId="1A2DE7E3" w:rsidR="0050583F" w:rsidRPr="00C03B64" w:rsidRDefault="00D2297E" w:rsidP="0050583F">
            <w:pPr>
              <w:spacing w:before="0"/>
              <w:jc w:val="left"/>
            </w:pPr>
            <w:r w:rsidRPr="00D2297E">
              <w:t>Porcentaje de niños(as) de un año con la segunda dosis de rotavirus</w:t>
            </w:r>
          </w:p>
        </w:tc>
        <w:tc>
          <w:tcPr>
            <w:tcW w:w="3162" w:type="dxa"/>
            <w:tcBorders>
              <w:top w:val="single" w:sz="4" w:space="0" w:color="auto"/>
            </w:tcBorders>
            <w:vAlign w:val="center"/>
          </w:tcPr>
          <w:p w14:paraId="674596E8" w14:textId="4369521D" w:rsidR="0050583F" w:rsidRPr="00C03B64" w:rsidRDefault="001523FB" w:rsidP="0050583F">
            <w:pPr>
              <w:spacing w:before="0"/>
              <w:jc w:val="center"/>
            </w:pPr>
            <w:r>
              <w:t>ENDESA y LQAS</w:t>
            </w:r>
          </w:p>
        </w:tc>
        <w:tc>
          <w:tcPr>
            <w:tcW w:w="3163" w:type="dxa"/>
            <w:tcBorders>
              <w:top w:val="single" w:sz="4" w:space="0" w:color="auto"/>
            </w:tcBorders>
            <w:vAlign w:val="center"/>
          </w:tcPr>
          <w:p w14:paraId="73BB2901" w14:textId="20564A33" w:rsidR="0050583F" w:rsidRPr="00C03B64" w:rsidRDefault="00D2297E" w:rsidP="0050583F">
            <w:pPr>
              <w:spacing w:before="0"/>
              <w:jc w:val="left"/>
            </w:pPr>
            <w:r w:rsidRPr="00D2297E">
              <w:t>Vacunación - Rotavirus</w:t>
            </w:r>
          </w:p>
        </w:tc>
      </w:tr>
      <w:tr w:rsidR="0050583F" w:rsidRPr="00C03B64" w14:paraId="175A6227" w14:textId="77777777" w:rsidTr="001523FB">
        <w:tc>
          <w:tcPr>
            <w:tcW w:w="3162" w:type="dxa"/>
            <w:tcBorders>
              <w:top w:val="single" w:sz="4" w:space="0" w:color="auto"/>
            </w:tcBorders>
            <w:vAlign w:val="center"/>
          </w:tcPr>
          <w:p w14:paraId="3B32C45D" w14:textId="1681D0F6" w:rsidR="0050583F" w:rsidRPr="00C03B64" w:rsidRDefault="00D2297E" w:rsidP="0050583F">
            <w:pPr>
              <w:spacing w:before="0"/>
              <w:jc w:val="left"/>
            </w:pPr>
            <w:r w:rsidRPr="00D2297E">
              <w:t>Porcentaje de niños(as) de un año con la tercera dosis de neumococo</w:t>
            </w:r>
          </w:p>
        </w:tc>
        <w:tc>
          <w:tcPr>
            <w:tcW w:w="3162" w:type="dxa"/>
            <w:tcBorders>
              <w:top w:val="single" w:sz="4" w:space="0" w:color="auto"/>
            </w:tcBorders>
            <w:vAlign w:val="center"/>
          </w:tcPr>
          <w:p w14:paraId="25A3F396" w14:textId="3A7FE8E5" w:rsidR="0050583F" w:rsidRPr="00C03B64" w:rsidRDefault="001523FB" w:rsidP="0050583F">
            <w:pPr>
              <w:spacing w:before="0"/>
              <w:jc w:val="center"/>
            </w:pPr>
            <w:r>
              <w:t>ENDESA y LQAS</w:t>
            </w:r>
          </w:p>
        </w:tc>
        <w:tc>
          <w:tcPr>
            <w:tcW w:w="3163" w:type="dxa"/>
            <w:tcBorders>
              <w:top w:val="single" w:sz="4" w:space="0" w:color="auto"/>
            </w:tcBorders>
            <w:vAlign w:val="center"/>
          </w:tcPr>
          <w:p w14:paraId="1DC48621" w14:textId="4AEBDDD8" w:rsidR="0050583F" w:rsidRPr="00C03B64" w:rsidRDefault="00D2297E" w:rsidP="0050583F">
            <w:pPr>
              <w:spacing w:before="0"/>
              <w:jc w:val="left"/>
            </w:pPr>
            <w:r w:rsidRPr="00D2297E">
              <w:t>Vacunación - Neumococo</w:t>
            </w:r>
          </w:p>
        </w:tc>
      </w:tr>
      <w:tr w:rsidR="0050583F" w:rsidRPr="00C03B64" w14:paraId="66E94FD9" w14:textId="77777777" w:rsidTr="001523FB">
        <w:tc>
          <w:tcPr>
            <w:tcW w:w="3162" w:type="dxa"/>
            <w:tcBorders>
              <w:top w:val="single" w:sz="4" w:space="0" w:color="auto"/>
            </w:tcBorders>
            <w:vAlign w:val="center"/>
          </w:tcPr>
          <w:p w14:paraId="5F39F2FD" w14:textId="3387C1FA" w:rsidR="0050583F" w:rsidRPr="00C03B64" w:rsidRDefault="00D2297E" w:rsidP="0050583F">
            <w:pPr>
              <w:spacing w:before="0"/>
              <w:jc w:val="left"/>
            </w:pPr>
            <w:r w:rsidRPr="00D2297E">
              <w:t>Porcentaje de niños(as) de un año con la vacuna SRP</w:t>
            </w:r>
          </w:p>
        </w:tc>
        <w:tc>
          <w:tcPr>
            <w:tcW w:w="3162" w:type="dxa"/>
            <w:tcBorders>
              <w:top w:val="single" w:sz="4" w:space="0" w:color="auto"/>
            </w:tcBorders>
            <w:vAlign w:val="center"/>
          </w:tcPr>
          <w:p w14:paraId="4D2BBBFC" w14:textId="5816622C" w:rsidR="0050583F" w:rsidRPr="00C03B64" w:rsidRDefault="001523FB" w:rsidP="0050583F">
            <w:pPr>
              <w:spacing w:before="0"/>
              <w:jc w:val="center"/>
            </w:pPr>
            <w:r>
              <w:t>ENDESA y LQAS</w:t>
            </w:r>
          </w:p>
        </w:tc>
        <w:tc>
          <w:tcPr>
            <w:tcW w:w="3163" w:type="dxa"/>
            <w:tcBorders>
              <w:top w:val="single" w:sz="4" w:space="0" w:color="auto"/>
            </w:tcBorders>
            <w:vAlign w:val="center"/>
          </w:tcPr>
          <w:p w14:paraId="21D797DA" w14:textId="6F378F56" w:rsidR="0050583F" w:rsidRPr="00C03B64" w:rsidRDefault="00D2297E" w:rsidP="0050583F">
            <w:pPr>
              <w:spacing w:before="0"/>
              <w:jc w:val="left"/>
            </w:pPr>
            <w:r w:rsidRPr="00D2297E">
              <w:t>Vacunación - SRP (</w:t>
            </w:r>
            <w:proofErr w:type="spellStart"/>
            <w:r w:rsidRPr="00D2297E">
              <w:t>Measles</w:t>
            </w:r>
            <w:proofErr w:type="spellEnd"/>
            <w:r w:rsidRPr="00D2297E">
              <w:t>)</w:t>
            </w:r>
          </w:p>
        </w:tc>
      </w:tr>
      <w:tr w:rsidR="0050583F" w:rsidRPr="00C03B64" w14:paraId="0DD277A3" w14:textId="77777777" w:rsidTr="001523FB">
        <w:tc>
          <w:tcPr>
            <w:tcW w:w="3162" w:type="dxa"/>
            <w:tcBorders>
              <w:top w:val="nil"/>
              <w:left w:val="nil"/>
              <w:bottom w:val="single" w:sz="4" w:space="0" w:color="auto"/>
              <w:right w:val="nil"/>
            </w:tcBorders>
            <w:vAlign w:val="center"/>
          </w:tcPr>
          <w:p w14:paraId="76CA77FA"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0699D57"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EC6059E" w14:textId="77777777" w:rsidR="0050583F" w:rsidRPr="00C03B64" w:rsidRDefault="0050583F" w:rsidP="0050583F">
            <w:pPr>
              <w:jc w:val="center"/>
            </w:pPr>
            <w:r w:rsidRPr="00DE500C">
              <w:rPr>
                <w:b/>
                <w:bCs/>
              </w:rPr>
              <w:t>Descripción corta</w:t>
            </w:r>
          </w:p>
        </w:tc>
      </w:tr>
      <w:tr w:rsidR="0050583F" w:rsidRPr="00C03B64" w14:paraId="48880397" w14:textId="77777777" w:rsidTr="001523FB">
        <w:tc>
          <w:tcPr>
            <w:tcW w:w="3162" w:type="dxa"/>
            <w:tcBorders>
              <w:top w:val="single" w:sz="4" w:space="0" w:color="auto"/>
            </w:tcBorders>
            <w:vAlign w:val="center"/>
          </w:tcPr>
          <w:p w14:paraId="5E4457CB" w14:textId="1EA33D3C" w:rsidR="0050583F" w:rsidRPr="00C03B64" w:rsidRDefault="00D2297E" w:rsidP="0050583F">
            <w:pPr>
              <w:spacing w:before="0"/>
              <w:jc w:val="left"/>
            </w:pPr>
            <w:r w:rsidRPr="00D2297E">
              <w:t>Porcentaje de NNM6 con acceso a un sistema adecuado de agua</w:t>
            </w:r>
          </w:p>
        </w:tc>
        <w:tc>
          <w:tcPr>
            <w:tcW w:w="3162" w:type="dxa"/>
            <w:tcBorders>
              <w:top w:val="single" w:sz="4" w:space="0" w:color="auto"/>
            </w:tcBorders>
            <w:vAlign w:val="center"/>
          </w:tcPr>
          <w:p w14:paraId="7EE8EDB2" w14:textId="4366A603" w:rsidR="0050583F" w:rsidRPr="00C03B64" w:rsidRDefault="001523FB" w:rsidP="0050583F">
            <w:pPr>
              <w:spacing w:before="0"/>
              <w:jc w:val="center"/>
            </w:pPr>
            <w:r>
              <w:t>ENDESA y EHU</w:t>
            </w:r>
          </w:p>
        </w:tc>
        <w:tc>
          <w:tcPr>
            <w:tcW w:w="3163" w:type="dxa"/>
            <w:tcBorders>
              <w:top w:val="single" w:sz="4" w:space="0" w:color="auto"/>
            </w:tcBorders>
            <w:vAlign w:val="center"/>
          </w:tcPr>
          <w:p w14:paraId="48F3B588" w14:textId="1B350303" w:rsidR="0050583F" w:rsidRPr="00C03B64" w:rsidRDefault="00D2297E" w:rsidP="0050583F">
            <w:pPr>
              <w:spacing w:before="0"/>
              <w:jc w:val="left"/>
            </w:pPr>
            <w:r w:rsidRPr="00D2297E">
              <w:t>Sistema adecuado de agua</w:t>
            </w:r>
          </w:p>
        </w:tc>
      </w:tr>
    </w:tbl>
    <w:p w14:paraId="3745408F" w14:textId="272DFBA1" w:rsidR="0050583F" w:rsidRDefault="001523FB" w:rsidP="00D90446">
      <w:r>
        <w:t>Finalizados los indicadores relacionados con la prestación de inmunización, los indicadores que continúan están relacionados con la vivienda en la que se encuentra el niño o niña menor de 6 años, en este primer indicador se indaga por el porcentaje de niños y niñas menores de seis años que están en una vivienda con un sistema adecuado de agua, el cual se identifica para el área urbana como aquella que tiene tubería y en el área rural si tiene tubería instalada, pozo con bomba, pozo malacate y llave pública o comunitaria.</w:t>
      </w:r>
    </w:p>
    <w:tbl>
      <w:tblPr>
        <w:tblStyle w:val="Tablaconcuadrcula"/>
        <w:tblW w:w="0" w:type="auto"/>
        <w:tblLook w:val="04A0" w:firstRow="1" w:lastRow="0" w:firstColumn="1" w:lastColumn="0" w:noHBand="0" w:noVBand="1"/>
      </w:tblPr>
      <w:tblGrid>
        <w:gridCol w:w="3162"/>
        <w:gridCol w:w="3162"/>
        <w:gridCol w:w="3163"/>
      </w:tblGrid>
      <w:tr w:rsidR="0050583F" w:rsidRPr="00C03B64" w14:paraId="1CBA698A" w14:textId="77777777" w:rsidTr="0050583F">
        <w:tc>
          <w:tcPr>
            <w:tcW w:w="3162" w:type="dxa"/>
            <w:tcBorders>
              <w:top w:val="nil"/>
              <w:left w:val="nil"/>
              <w:bottom w:val="single" w:sz="4" w:space="0" w:color="auto"/>
              <w:right w:val="nil"/>
            </w:tcBorders>
            <w:vAlign w:val="center"/>
          </w:tcPr>
          <w:p w14:paraId="1D0A14B4"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6C9094B"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09765C2A" w14:textId="77777777" w:rsidR="0050583F" w:rsidRPr="00C03B64" w:rsidRDefault="0050583F" w:rsidP="0050583F">
            <w:pPr>
              <w:jc w:val="center"/>
            </w:pPr>
            <w:r w:rsidRPr="00DE500C">
              <w:rPr>
                <w:b/>
                <w:bCs/>
              </w:rPr>
              <w:t>Descripción corta</w:t>
            </w:r>
          </w:p>
        </w:tc>
      </w:tr>
      <w:tr w:rsidR="0050583F" w:rsidRPr="00C03B64" w14:paraId="00E9A048" w14:textId="77777777" w:rsidTr="0050583F">
        <w:tc>
          <w:tcPr>
            <w:tcW w:w="3162" w:type="dxa"/>
            <w:tcBorders>
              <w:top w:val="single" w:sz="4" w:space="0" w:color="auto"/>
            </w:tcBorders>
            <w:vAlign w:val="center"/>
          </w:tcPr>
          <w:p w14:paraId="366F820A" w14:textId="45DE41FB" w:rsidR="0050583F" w:rsidRPr="00C03B64" w:rsidRDefault="00D2297E" w:rsidP="0050583F">
            <w:pPr>
              <w:spacing w:before="0"/>
              <w:jc w:val="left"/>
            </w:pPr>
            <w:r w:rsidRPr="00D2297E">
              <w:t>(H) Porcentaje de hogares de NNM6 con acceso a un sistema adecuado de agua</w:t>
            </w:r>
          </w:p>
        </w:tc>
        <w:tc>
          <w:tcPr>
            <w:tcW w:w="3162" w:type="dxa"/>
            <w:tcBorders>
              <w:top w:val="single" w:sz="4" w:space="0" w:color="auto"/>
            </w:tcBorders>
            <w:vAlign w:val="center"/>
          </w:tcPr>
          <w:p w14:paraId="6EDC883B" w14:textId="0C44988A" w:rsidR="0050583F" w:rsidRPr="00C03B64" w:rsidRDefault="001523FB" w:rsidP="0050583F">
            <w:pPr>
              <w:spacing w:before="0"/>
              <w:jc w:val="center"/>
            </w:pPr>
            <w:r>
              <w:t>ENDESA y EHU</w:t>
            </w:r>
          </w:p>
        </w:tc>
        <w:tc>
          <w:tcPr>
            <w:tcW w:w="3163" w:type="dxa"/>
            <w:tcBorders>
              <w:top w:val="single" w:sz="4" w:space="0" w:color="auto"/>
            </w:tcBorders>
            <w:vAlign w:val="center"/>
          </w:tcPr>
          <w:p w14:paraId="1D632E08" w14:textId="13852CBA" w:rsidR="0050583F" w:rsidRPr="00C03B64" w:rsidRDefault="00D2297E" w:rsidP="0050583F">
            <w:pPr>
              <w:spacing w:before="0"/>
              <w:jc w:val="left"/>
            </w:pPr>
            <w:r w:rsidRPr="00D2297E">
              <w:t>Sistema adecuado de agua (Hogares)</w:t>
            </w:r>
          </w:p>
        </w:tc>
      </w:tr>
    </w:tbl>
    <w:p w14:paraId="52C9A69F" w14:textId="1A9AF1E1" w:rsidR="0050583F" w:rsidRDefault="001523FB" w:rsidP="00D90446">
      <w:r>
        <w:t>Este indicador replica el cálculo anterior pero no se calcula a nivel de niño o niña menor de seis años, sino a nivel de hogar que tiene un niño o niña menor de seis años.</w:t>
      </w:r>
    </w:p>
    <w:tbl>
      <w:tblPr>
        <w:tblStyle w:val="Tablaconcuadrcula"/>
        <w:tblW w:w="0" w:type="auto"/>
        <w:tblLook w:val="04A0" w:firstRow="1" w:lastRow="0" w:firstColumn="1" w:lastColumn="0" w:noHBand="0" w:noVBand="1"/>
      </w:tblPr>
      <w:tblGrid>
        <w:gridCol w:w="3162"/>
        <w:gridCol w:w="3162"/>
        <w:gridCol w:w="3163"/>
      </w:tblGrid>
      <w:tr w:rsidR="0050583F" w:rsidRPr="00C03B64" w14:paraId="2688294C" w14:textId="77777777" w:rsidTr="0050583F">
        <w:tc>
          <w:tcPr>
            <w:tcW w:w="3162" w:type="dxa"/>
            <w:tcBorders>
              <w:top w:val="nil"/>
              <w:left w:val="nil"/>
              <w:bottom w:val="single" w:sz="4" w:space="0" w:color="auto"/>
              <w:right w:val="nil"/>
            </w:tcBorders>
            <w:vAlign w:val="center"/>
          </w:tcPr>
          <w:p w14:paraId="05302F90"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49D640C"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513E014" w14:textId="77777777" w:rsidR="0050583F" w:rsidRPr="00C03B64" w:rsidRDefault="0050583F" w:rsidP="0050583F">
            <w:pPr>
              <w:jc w:val="center"/>
            </w:pPr>
            <w:r w:rsidRPr="00DE500C">
              <w:rPr>
                <w:b/>
                <w:bCs/>
              </w:rPr>
              <w:t>Descripción corta</w:t>
            </w:r>
          </w:p>
        </w:tc>
      </w:tr>
      <w:tr w:rsidR="0050583F" w:rsidRPr="00C03B64" w14:paraId="26D347E2" w14:textId="77777777" w:rsidTr="0050583F">
        <w:tc>
          <w:tcPr>
            <w:tcW w:w="3162" w:type="dxa"/>
            <w:tcBorders>
              <w:top w:val="single" w:sz="4" w:space="0" w:color="auto"/>
            </w:tcBorders>
            <w:vAlign w:val="center"/>
          </w:tcPr>
          <w:p w14:paraId="50A50DC4" w14:textId="389AE52F" w:rsidR="0050583F" w:rsidRPr="00C03B64" w:rsidRDefault="00D2297E" w:rsidP="0050583F">
            <w:pPr>
              <w:spacing w:before="0"/>
              <w:jc w:val="left"/>
            </w:pPr>
            <w:r w:rsidRPr="00D2297E">
              <w:t>Porcentaje de NNM6 con acceso a saneamiento básico</w:t>
            </w:r>
          </w:p>
        </w:tc>
        <w:tc>
          <w:tcPr>
            <w:tcW w:w="3162" w:type="dxa"/>
            <w:tcBorders>
              <w:top w:val="single" w:sz="4" w:space="0" w:color="auto"/>
            </w:tcBorders>
            <w:vAlign w:val="center"/>
          </w:tcPr>
          <w:p w14:paraId="670E0B24" w14:textId="2196EA63" w:rsidR="0050583F" w:rsidRPr="00C03B64" w:rsidRDefault="001523FB" w:rsidP="0050583F">
            <w:pPr>
              <w:spacing w:before="0"/>
              <w:jc w:val="center"/>
            </w:pPr>
            <w:r>
              <w:t>ENDESA y EHU</w:t>
            </w:r>
          </w:p>
        </w:tc>
        <w:tc>
          <w:tcPr>
            <w:tcW w:w="3163" w:type="dxa"/>
            <w:tcBorders>
              <w:top w:val="single" w:sz="4" w:space="0" w:color="auto"/>
            </w:tcBorders>
            <w:vAlign w:val="center"/>
          </w:tcPr>
          <w:p w14:paraId="20CE5659" w14:textId="7F703835" w:rsidR="0050583F" w:rsidRPr="00C03B64" w:rsidRDefault="00D2297E" w:rsidP="0050583F">
            <w:pPr>
              <w:spacing w:before="0"/>
              <w:jc w:val="left"/>
            </w:pPr>
            <w:r w:rsidRPr="00D2297E">
              <w:t>Saneamiento básico</w:t>
            </w:r>
          </w:p>
        </w:tc>
      </w:tr>
    </w:tbl>
    <w:p w14:paraId="03203224" w14:textId="29EF04FF" w:rsidR="0050583F" w:rsidRDefault="001523FB" w:rsidP="00D90446">
      <w:r>
        <w:lastRenderedPageBreak/>
        <w:t>En segunda instancia, se indaga sobre el acceso a un saneamiento básico, el cual es definido en el área urbana como un inodoro conectado a alcantarilla o conectado a pozo séptico y en el área rural como un inodoro conectado a alcantarillo o pozo séptico, taza campesina, letrina con cierra hidráulico o letrina con pozo séptico. Este primer indicador relacionado con saneamiento se calcula para los niños y niñas menores de seis años.</w:t>
      </w:r>
    </w:p>
    <w:tbl>
      <w:tblPr>
        <w:tblStyle w:val="Tablaconcuadrcula"/>
        <w:tblW w:w="0" w:type="auto"/>
        <w:tblLook w:val="04A0" w:firstRow="1" w:lastRow="0" w:firstColumn="1" w:lastColumn="0" w:noHBand="0" w:noVBand="1"/>
      </w:tblPr>
      <w:tblGrid>
        <w:gridCol w:w="3162"/>
        <w:gridCol w:w="3162"/>
        <w:gridCol w:w="3163"/>
      </w:tblGrid>
      <w:tr w:rsidR="0050583F" w:rsidRPr="00C03B64" w14:paraId="5E6CFB9D" w14:textId="77777777" w:rsidTr="0050583F">
        <w:tc>
          <w:tcPr>
            <w:tcW w:w="3162" w:type="dxa"/>
            <w:tcBorders>
              <w:top w:val="nil"/>
              <w:left w:val="nil"/>
              <w:bottom w:val="single" w:sz="4" w:space="0" w:color="auto"/>
              <w:right w:val="nil"/>
            </w:tcBorders>
            <w:vAlign w:val="center"/>
          </w:tcPr>
          <w:p w14:paraId="0F50AAD9"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4B70F11"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1DC9B68D" w14:textId="77777777" w:rsidR="0050583F" w:rsidRPr="00C03B64" w:rsidRDefault="0050583F" w:rsidP="0050583F">
            <w:pPr>
              <w:jc w:val="center"/>
            </w:pPr>
            <w:r w:rsidRPr="00DE500C">
              <w:rPr>
                <w:b/>
                <w:bCs/>
              </w:rPr>
              <w:t>Descripción corta</w:t>
            </w:r>
          </w:p>
        </w:tc>
      </w:tr>
      <w:tr w:rsidR="0050583F" w:rsidRPr="00C03B64" w14:paraId="199094BF" w14:textId="77777777" w:rsidTr="0050583F">
        <w:tc>
          <w:tcPr>
            <w:tcW w:w="3162" w:type="dxa"/>
            <w:tcBorders>
              <w:top w:val="single" w:sz="4" w:space="0" w:color="auto"/>
            </w:tcBorders>
            <w:vAlign w:val="center"/>
          </w:tcPr>
          <w:p w14:paraId="15FD9F50" w14:textId="30361CC4" w:rsidR="0050583F" w:rsidRPr="00C03B64" w:rsidRDefault="00D2297E" w:rsidP="0050583F">
            <w:pPr>
              <w:spacing w:before="0"/>
              <w:jc w:val="left"/>
            </w:pPr>
            <w:r w:rsidRPr="00D2297E">
              <w:t>(H) Porcentaje de hogares de NNM6 con acceso a saneamiento básico</w:t>
            </w:r>
          </w:p>
        </w:tc>
        <w:tc>
          <w:tcPr>
            <w:tcW w:w="3162" w:type="dxa"/>
            <w:tcBorders>
              <w:top w:val="single" w:sz="4" w:space="0" w:color="auto"/>
            </w:tcBorders>
            <w:vAlign w:val="center"/>
          </w:tcPr>
          <w:p w14:paraId="3DD57B68" w14:textId="687AF25C" w:rsidR="0050583F" w:rsidRPr="00C03B64" w:rsidRDefault="001523FB" w:rsidP="0050583F">
            <w:pPr>
              <w:spacing w:before="0"/>
              <w:jc w:val="center"/>
            </w:pPr>
            <w:r>
              <w:t>ENDESA y EHU</w:t>
            </w:r>
          </w:p>
        </w:tc>
        <w:tc>
          <w:tcPr>
            <w:tcW w:w="3163" w:type="dxa"/>
            <w:tcBorders>
              <w:top w:val="single" w:sz="4" w:space="0" w:color="auto"/>
            </w:tcBorders>
            <w:vAlign w:val="center"/>
          </w:tcPr>
          <w:p w14:paraId="41EC193A" w14:textId="131EDCBD" w:rsidR="0050583F" w:rsidRPr="00C03B64" w:rsidRDefault="00D2297E" w:rsidP="0050583F">
            <w:pPr>
              <w:spacing w:before="0"/>
              <w:jc w:val="left"/>
            </w:pPr>
            <w:r w:rsidRPr="00D2297E">
              <w:t>Saneamiento básico (Hogares)</w:t>
            </w:r>
          </w:p>
        </w:tc>
      </w:tr>
    </w:tbl>
    <w:p w14:paraId="5A732B4A" w14:textId="0A058435" w:rsidR="0050583F" w:rsidRDefault="001523FB" w:rsidP="00D90446">
      <w:r>
        <w:t>Este segundo indicador se calcula para los hogares con niños y niñas menores de seis años.</w:t>
      </w:r>
    </w:p>
    <w:tbl>
      <w:tblPr>
        <w:tblStyle w:val="Tablaconcuadrcula"/>
        <w:tblW w:w="0" w:type="auto"/>
        <w:tblLook w:val="04A0" w:firstRow="1" w:lastRow="0" w:firstColumn="1" w:lastColumn="0" w:noHBand="0" w:noVBand="1"/>
      </w:tblPr>
      <w:tblGrid>
        <w:gridCol w:w="3162"/>
        <w:gridCol w:w="3162"/>
        <w:gridCol w:w="3163"/>
      </w:tblGrid>
      <w:tr w:rsidR="0050583F" w:rsidRPr="00C03B64" w14:paraId="49D91EFC" w14:textId="77777777" w:rsidTr="0050583F">
        <w:tc>
          <w:tcPr>
            <w:tcW w:w="3162" w:type="dxa"/>
            <w:tcBorders>
              <w:top w:val="nil"/>
              <w:left w:val="nil"/>
              <w:bottom w:val="single" w:sz="4" w:space="0" w:color="auto"/>
              <w:right w:val="nil"/>
            </w:tcBorders>
            <w:vAlign w:val="center"/>
          </w:tcPr>
          <w:p w14:paraId="208EB4F1"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1DC040F1"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3882AA6" w14:textId="77777777" w:rsidR="0050583F" w:rsidRPr="00C03B64" w:rsidRDefault="0050583F" w:rsidP="0050583F">
            <w:pPr>
              <w:jc w:val="center"/>
            </w:pPr>
            <w:r w:rsidRPr="00DE500C">
              <w:rPr>
                <w:b/>
                <w:bCs/>
              </w:rPr>
              <w:t>Descripción corta</w:t>
            </w:r>
          </w:p>
        </w:tc>
      </w:tr>
      <w:tr w:rsidR="0050583F" w:rsidRPr="00C03B64" w14:paraId="51343E7D" w14:textId="77777777" w:rsidTr="0050583F">
        <w:tc>
          <w:tcPr>
            <w:tcW w:w="3162" w:type="dxa"/>
            <w:tcBorders>
              <w:top w:val="single" w:sz="4" w:space="0" w:color="auto"/>
            </w:tcBorders>
            <w:vAlign w:val="center"/>
          </w:tcPr>
          <w:p w14:paraId="29868CFA" w14:textId="209E5C79" w:rsidR="0050583F" w:rsidRPr="00C03B64" w:rsidRDefault="00D2297E" w:rsidP="0050583F">
            <w:pPr>
              <w:spacing w:before="0"/>
              <w:jc w:val="left"/>
            </w:pPr>
            <w:r w:rsidRPr="00D2297E">
              <w:t>Porcentaje de centros de educación preescolar con disponibilidad de agua</w:t>
            </w:r>
          </w:p>
        </w:tc>
        <w:tc>
          <w:tcPr>
            <w:tcW w:w="3162" w:type="dxa"/>
            <w:tcBorders>
              <w:top w:val="single" w:sz="4" w:space="0" w:color="auto"/>
            </w:tcBorders>
            <w:vAlign w:val="center"/>
          </w:tcPr>
          <w:p w14:paraId="29DB2E16" w14:textId="14B769F7" w:rsidR="0050583F" w:rsidRPr="00C03B64" w:rsidRDefault="001523FB" w:rsidP="0050583F">
            <w:pPr>
              <w:spacing w:before="0"/>
              <w:jc w:val="center"/>
            </w:pPr>
            <w:r>
              <w:t>LQAS</w:t>
            </w:r>
          </w:p>
        </w:tc>
        <w:tc>
          <w:tcPr>
            <w:tcW w:w="3163" w:type="dxa"/>
            <w:tcBorders>
              <w:top w:val="single" w:sz="4" w:space="0" w:color="auto"/>
            </w:tcBorders>
            <w:vAlign w:val="center"/>
          </w:tcPr>
          <w:p w14:paraId="5883BE9C" w14:textId="7D69B6C6" w:rsidR="0050583F" w:rsidRPr="00C03B64" w:rsidRDefault="00D2297E" w:rsidP="0050583F">
            <w:pPr>
              <w:spacing w:before="0"/>
              <w:jc w:val="left"/>
            </w:pPr>
            <w:r w:rsidRPr="00D2297E">
              <w:t>Centro preescolar con agua</w:t>
            </w:r>
          </w:p>
        </w:tc>
      </w:tr>
    </w:tbl>
    <w:p w14:paraId="5B4C7E1B" w14:textId="600FCA3C" w:rsidR="0050583F" w:rsidRDefault="001523FB" w:rsidP="00D90446">
      <w:r>
        <w:t xml:space="preserve">Este indicador es calculado por medio de las encuestas de monitoreo y seguimiento realizadas en el marco de </w:t>
      </w:r>
      <w:proofErr w:type="spellStart"/>
      <w:r>
        <w:t>CcA</w:t>
      </w:r>
      <w:proofErr w:type="spellEnd"/>
      <w:r>
        <w:t>, y calcula el porcentaje de centros de educación preescolar con disponibilidad de agua en las mancomunidades donde se levantó la información.</w:t>
      </w:r>
    </w:p>
    <w:tbl>
      <w:tblPr>
        <w:tblStyle w:val="Tablaconcuadrcula"/>
        <w:tblW w:w="0" w:type="auto"/>
        <w:tblLook w:val="04A0" w:firstRow="1" w:lastRow="0" w:firstColumn="1" w:lastColumn="0" w:noHBand="0" w:noVBand="1"/>
      </w:tblPr>
      <w:tblGrid>
        <w:gridCol w:w="3162"/>
        <w:gridCol w:w="3162"/>
        <w:gridCol w:w="3163"/>
      </w:tblGrid>
      <w:tr w:rsidR="0050583F" w:rsidRPr="00C03B64" w14:paraId="7B3680DD" w14:textId="77777777" w:rsidTr="0050583F">
        <w:tc>
          <w:tcPr>
            <w:tcW w:w="3162" w:type="dxa"/>
            <w:tcBorders>
              <w:top w:val="nil"/>
              <w:left w:val="nil"/>
              <w:bottom w:val="single" w:sz="4" w:space="0" w:color="auto"/>
              <w:right w:val="nil"/>
            </w:tcBorders>
            <w:vAlign w:val="center"/>
          </w:tcPr>
          <w:p w14:paraId="358560AF"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8DAF7AF"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635CD3CE" w14:textId="77777777" w:rsidR="0050583F" w:rsidRPr="00C03B64" w:rsidRDefault="0050583F" w:rsidP="0050583F">
            <w:pPr>
              <w:jc w:val="center"/>
            </w:pPr>
            <w:r w:rsidRPr="00DE500C">
              <w:rPr>
                <w:b/>
                <w:bCs/>
              </w:rPr>
              <w:t>Descripción corta</w:t>
            </w:r>
          </w:p>
        </w:tc>
      </w:tr>
      <w:tr w:rsidR="0050583F" w:rsidRPr="00C03B64" w14:paraId="02F5002B" w14:textId="77777777" w:rsidTr="0050583F">
        <w:tc>
          <w:tcPr>
            <w:tcW w:w="3162" w:type="dxa"/>
            <w:tcBorders>
              <w:top w:val="single" w:sz="4" w:space="0" w:color="auto"/>
            </w:tcBorders>
            <w:vAlign w:val="center"/>
          </w:tcPr>
          <w:p w14:paraId="74FAA83A" w14:textId="1EC98784" w:rsidR="0050583F" w:rsidRPr="00C03B64" w:rsidRDefault="00D2297E" w:rsidP="0050583F">
            <w:pPr>
              <w:spacing w:before="0"/>
              <w:jc w:val="left"/>
            </w:pPr>
            <w:r w:rsidRPr="00D2297E">
              <w:t>Porcentaje de centros de educación preescolar con disponibilidad de letrina o servicio sanitario</w:t>
            </w:r>
          </w:p>
        </w:tc>
        <w:tc>
          <w:tcPr>
            <w:tcW w:w="3162" w:type="dxa"/>
            <w:tcBorders>
              <w:top w:val="single" w:sz="4" w:space="0" w:color="auto"/>
            </w:tcBorders>
            <w:vAlign w:val="center"/>
          </w:tcPr>
          <w:p w14:paraId="4F14A258" w14:textId="3F2F84C2" w:rsidR="0050583F" w:rsidRPr="00C03B64" w:rsidRDefault="001523FB" w:rsidP="0050583F">
            <w:pPr>
              <w:spacing w:before="0"/>
              <w:jc w:val="center"/>
            </w:pPr>
            <w:r>
              <w:t>LQAS</w:t>
            </w:r>
          </w:p>
        </w:tc>
        <w:tc>
          <w:tcPr>
            <w:tcW w:w="3163" w:type="dxa"/>
            <w:tcBorders>
              <w:top w:val="single" w:sz="4" w:space="0" w:color="auto"/>
            </w:tcBorders>
            <w:vAlign w:val="center"/>
          </w:tcPr>
          <w:p w14:paraId="65A4EBC0" w14:textId="32B19F6E" w:rsidR="0050583F" w:rsidRPr="00C03B64" w:rsidRDefault="00D2297E" w:rsidP="0050583F">
            <w:pPr>
              <w:spacing w:before="0"/>
              <w:jc w:val="left"/>
            </w:pPr>
            <w:r w:rsidRPr="00D2297E">
              <w:t>Centro preescolar con servicio sanitario</w:t>
            </w:r>
          </w:p>
        </w:tc>
      </w:tr>
    </w:tbl>
    <w:p w14:paraId="3ACBBFAF" w14:textId="0A795C92" w:rsidR="0050583F" w:rsidRDefault="001523FB" w:rsidP="00D90446">
      <w:r>
        <w:t>Al igual que el indicador anterior, este cubre a las mancomunidades en las que levanto información con las encuestas de monitoreo y seguimiento, y calcula el porcentaje de centros de educación preescolar que tiene disponibilidad de letrina o servicio sanitario.</w:t>
      </w:r>
    </w:p>
    <w:tbl>
      <w:tblPr>
        <w:tblStyle w:val="Tablaconcuadrcula"/>
        <w:tblW w:w="0" w:type="auto"/>
        <w:tblLook w:val="04A0" w:firstRow="1" w:lastRow="0" w:firstColumn="1" w:lastColumn="0" w:noHBand="0" w:noVBand="1"/>
      </w:tblPr>
      <w:tblGrid>
        <w:gridCol w:w="3162"/>
        <w:gridCol w:w="3162"/>
        <w:gridCol w:w="3163"/>
      </w:tblGrid>
      <w:tr w:rsidR="0050583F" w:rsidRPr="00C03B64" w14:paraId="0D11487B" w14:textId="77777777" w:rsidTr="0050583F">
        <w:tc>
          <w:tcPr>
            <w:tcW w:w="3162" w:type="dxa"/>
            <w:tcBorders>
              <w:top w:val="nil"/>
              <w:left w:val="nil"/>
              <w:bottom w:val="single" w:sz="4" w:space="0" w:color="auto"/>
              <w:right w:val="nil"/>
            </w:tcBorders>
            <w:vAlign w:val="center"/>
          </w:tcPr>
          <w:p w14:paraId="7B93D7CC"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71CAB028"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07D4E2E6" w14:textId="77777777" w:rsidR="0050583F" w:rsidRPr="00C03B64" w:rsidRDefault="0050583F" w:rsidP="0050583F">
            <w:pPr>
              <w:jc w:val="center"/>
            </w:pPr>
            <w:r w:rsidRPr="00DE500C">
              <w:rPr>
                <w:b/>
                <w:bCs/>
              </w:rPr>
              <w:t>Descripción corta</w:t>
            </w:r>
          </w:p>
        </w:tc>
      </w:tr>
      <w:tr w:rsidR="0050583F" w:rsidRPr="00C03B64" w14:paraId="541D7513" w14:textId="77777777" w:rsidTr="0050583F">
        <w:tc>
          <w:tcPr>
            <w:tcW w:w="3162" w:type="dxa"/>
            <w:tcBorders>
              <w:top w:val="single" w:sz="4" w:space="0" w:color="auto"/>
            </w:tcBorders>
            <w:vAlign w:val="center"/>
          </w:tcPr>
          <w:p w14:paraId="6B164FA0" w14:textId="12428587" w:rsidR="0050583F" w:rsidRPr="00C03B64" w:rsidRDefault="00D2297E" w:rsidP="0050583F">
            <w:pPr>
              <w:spacing w:before="0"/>
              <w:jc w:val="left"/>
            </w:pPr>
            <w:r w:rsidRPr="00D2297E">
              <w:t>Porcentaje de menores de seis años que recibieron estimulación temprana por parte de los padres</w:t>
            </w:r>
          </w:p>
        </w:tc>
        <w:tc>
          <w:tcPr>
            <w:tcW w:w="3162" w:type="dxa"/>
            <w:tcBorders>
              <w:top w:val="single" w:sz="4" w:space="0" w:color="auto"/>
            </w:tcBorders>
            <w:vAlign w:val="center"/>
          </w:tcPr>
          <w:p w14:paraId="51F9AF20" w14:textId="44FFB7C5" w:rsidR="0050583F" w:rsidRPr="00C03B64" w:rsidRDefault="00A53ECF" w:rsidP="0050583F">
            <w:pPr>
              <w:spacing w:before="0"/>
              <w:jc w:val="center"/>
            </w:pPr>
            <w:r>
              <w:t>EHU</w:t>
            </w:r>
          </w:p>
        </w:tc>
        <w:tc>
          <w:tcPr>
            <w:tcW w:w="3163" w:type="dxa"/>
            <w:tcBorders>
              <w:top w:val="single" w:sz="4" w:space="0" w:color="auto"/>
            </w:tcBorders>
            <w:vAlign w:val="center"/>
          </w:tcPr>
          <w:p w14:paraId="72C03E28" w14:textId="5EAB4E0B" w:rsidR="0050583F" w:rsidRPr="00C03B64" w:rsidRDefault="00D2297E" w:rsidP="0050583F">
            <w:pPr>
              <w:spacing w:before="0"/>
              <w:jc w:val="left"/>
            </w:pPr>
            <w:r w:rsidRPr="00D2297E">
              <w:t>Estimulación temprana</w:t>
            </w:r>
          </w:p>
        </w:tc>
      </w:tr>
    </w:tbl>
    <w:p w14:paraId="79959C23" w14:textId="2C829672" w:rsidR="0050583F" w:rsidRDefault="00A53ECF" w:rsidP="00D90446">
      <w:r>
        <w:t xml:space="preserve">Con este indicador se busca capturar si el niño o niña menor de seis años recibió estimulación temprana por parte de sus padres, este se captura por medio de una pregunta en la que indaga si en los últimos tres días algún padre realizó con su hijo o hija alguna de las siguientes actividades: le leyó libros o miró los dibujos de un libro, le contó cuentos, le cantó canciones </w:t>
      </w:r>
      <w:r>
        <w:lastRenderedPageBreak/>
        <w:t>(incluyendo canciones de cuna), lo llevó a pasear fuera de la casa, jugó con el o le nombró, contó o dibujó cosas.</w:t>
      </w:r>
    </w:p>
    <w:tbl>
      <w:tblPr>
        <w:tblStyle w:val="Tablaconcuadrcula"/>
        <w:tblW w:w="0" w:type="auto"/>
        <w:tblLook w:val="04A0" w:firstRow="1" w:lastRow="0" w:firstColumn="1" w:lastColumn="0" w:noHBand="0" w:noVBand="1"/>
      </w:tblPr>
      <w:tblGrid>
        <w:gridCol w:w="3162"/>
        <w:gridCol w:w="3162"/>
        <w:gridCol w:w="3163"/>
      </w:tblGrid>
      <w:tr w:rsidR="0050583F" w:rsidRPr="00C03B64" w14:paraId="39156423" w14:textId="77777777" w:rsidTr="0050583F">
        <w:tc>
          <w:tcPr>
            <w:tcW w:w="3162" w:type="dxa"/>
            <w:tcBorders>
              <w:top w:val="nil"/>
              <w:left w:val="nil"/>
              <w:bottom w:val="single" w:sz="4" w:space="0" w:color="auto"/>
              <w:right w:val="nil"/>
            </w:tcBorders>
            <w:vAlign w:val="center"/>
          </w:tcPr>
          <w:p w14:paraId="6CA70CAC"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5F9E1C77"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FB6F658" w14:textId="77777777" w:rsidR="0050583F" w:rsidRPr="00C03B64" w:rsidRDefault="0050583F" w:rsidP="0050583F">
            <w:pPr>
              <w:jc w:val="center"/>
            </w:pPr>
            <w:r w:rsidRPr="00DE500C">
              <w:rPr>
                <w:b/>
                <w:bCs/>
              </w:rPr>
              <w:t>Descripción corta</w:t>
            </w:r>
          </w:p>
        </w:tc>
      </w:tr>
      <w:tr w:rsidR="0050583F" w:rsidRPr="00C03B64" w14:paraId="5C291E9D" w14:textId="77777777" w:rsidTr="0050583F">
        <w:tc>
          <w:tcPr>
            <w:tcW w:w="3162" w:type="dxa"/>
            <w:tcBorders>
              <w:top w:val="single" w:sz="4" w:space="0" w:color="auto"/>
            </w:tcBorders>
            <w:vAlign w:val="center"/>
          </w:tcPr>
          <w:p w14:paraId="04AF6836" w14:textId="0541C50E" w:rsidR="0050583F" w:rsidRPr="00C03B64" w:rsidRDefault="00D2297E" w:rsidP="0050583F">
            <w:pPr>
              <w:spacing w:before="0"/>
              <w:jc w:val="left"/>
            </w:pPr>
            <w:r w:rsidRPr="00D2297E">
              <w:t>Porcentaje de niños(as) entre 36 y 59 meses que asistieron a algún programa de educación temprana</w:t>
            </w:r>
          </w:p>
        </w:tc>
        <w:tc>
          <w:tcPr>
            <w:tcW w:w="3162" w:type="dxa"/>
            <w:tcBorders>
              <w:top w:val="single" w:sz="4" w:space="0" w:color="auto"/>
            </w:tcBorders>
            <w:vAlign w:val="center"/>
          </w:tcPr>
          <w:p w14:paraId="583D9CC2" w14:textId="487BB3C5" w:rsidR="0050583F" w:rsidRPr="00C03B64" w:rsidRDefault="00A53ECF" w:rsidP="0050583F">
            <w:pPr>
              <w:spacing w:before="0"/>
              <w:jc w:val="center"/>
            </w:pPr>
            <w:r>
              <w:t>ENDESA</w:t>
            </w:r>
          </w:p>
        </w:tc>
        <w:tc>
          <w:tcPr>
            <w:tcW w:w="3163" w:type="dxa"/>
            <w:tcBorders>
              <w:top w:val="single" w:sz="4" w:space="0" w:color="auto"/>
            </w:tcBorders>
            <w:vAlign w:val="center"/>
          </w:tcPr>
          <w:p w14:paraId="4EB3A0B5" w14:textId="43193807" w:rsidR="0050583F" w:rsidRPr="00C03B64" w:rsidRDefault="00D2297E" w:rsidP="0050583F">
            <w:pPr>
              <w:spacing w:before="0"/>
              <w:jc w:val="left"/>
            </w:pPr>
            <w:r w:rsidRPr="00D2297E">
              <w:t>Asistencia programa de educación temprana</w:t>
            </w:r>
          </w:p>
        </w:tc>
      </w:tr>
    </w:tbl>
    <w:p w14:paraId="58CDDD13" w14:textId="54833E42" w:rsidR="0050583F" w:rsidRDefault="00A53ECF" w:rsidP="00D90446">
      <w:r>
        <w:t>Relacionado con la estimulación temprana, con este indicador se indaga si el niño o niña entre 36 y 59 meses asisten a un programa de educación temprana, identificado en la ENDESA como un programa de alfabetización.</w:t>
      </w:r>
    </w:p>
    <w:tbl>
      <w:tblPr>
        <w:tblStyle w:val="Tablaconcuadrcula"/>
        <w:tblW w:w="0" w:type="auto"/>
        <w:tblLook w:val="04A0" w:firstRow="1" w:lastRow="0" w:firstColumn="1" w:lastColumn="0" w:noHBand="0" w:noVBand="1"/>
      </w:tblPr>
      <w:tblGrid>
        <w:gridCol w:w="3162"/>
        <w:gridCol w:w="3162"/>
        <w:gridCol w:w="3163"/>
      </w:tblGrid>
      <w:tr w:rsidR="0050583F" w:rsidRPr="00C03B64" w14:paraId="214EBC55" w14:textId="77777777" w:rsidTr="0050583F">
        <w:tc>
          <w:tcPr>
            <w:tcW w:w="3162" w:type="dxa"/>
            <w:tcBorders>
              <w:top w:val="nil"/>
              <w:left w:val="nil"/>
              <w:bottom w:val="single" w:sz="4" w:space="0" w:color="auto"/>
              <w:right w:val="nil"/>
            </w:tcBorders>
            <w:vAlign w:val="center"/>
          </w:tcPr>
          <w:p w14:paraId="543A7927"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6246B996"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E4AA953" w14:textId="77777777" w:rsidR="0050583F" w:rsidRPr="00C03B64" w:rsidRDefault="0050583F" w:rsidP="0050583F">
            <w:pPr>
              <w:jc w:val="center"/>
            </w:pPr>
            <w:r w:rsidRPr="00DE500C">
              <w:rPr>
                <w:b/>
                <w:bCs/>
              </w:rPr>
              <w:t>Descripción corta</w:t>
            </w:r>
          </w:p>
        </w:tc>
      </w:tr>
      <w:tr w:rsidR="0050583F" w:rsidRPr="00C03B64" w14:paraId="448F1DBF" w14:textId="77777777" w:rsidTr="0050583F">
        <w:tc>
          <w:tcPr>
            <w:tcW w:w="3162" w:type="dxa"/>
            <w:tcBorders>
              <w:top w:val="single" w:sz="4" w:space="0" w:color="auto"/>
            </w:tcBorders>
            <w:vAlign w:val="center"/>
          </w:tcPr>
          <w:p w14:paraId="649BC0EC" w14:textId="3D94FB15" w:rsidR="0050583F" w:rsidRPr="00C03B64" w:rsidRDefault="00D2297E" w:rsidP="0050583F">
            <w:pPr>
              <w:spacing w:before="0"/>
              <w:jc w:val="left"/>
            </w:pPr>
            <w:r w:rsidRPr="00D2297E">
              <w:t>(0) Porcentaje de niños entre 3 y 6 años matriculados en un centro educativo</w:t>
            </w:r>
          </w:p>
        </w:tc>
        <w:tc>
          <w:tcPr>
            <w:tcW w:w="3162" w:type="dxa"/>
            <w:tcBorders>
              <w:top w:val="single" w:sz="4" w:space="0" w:color="auto"/>
            </w:tcBorders>
            <w:vAlign w:val="center"/>
          </w:tcPr>
          <w:p w14:paraId="464518D7" w14:textId="78B3E6D7" w:rsidR="0050583F" w:rsidRPr="00C03B64" w:rsidRDefault="00A53ECF" w:rsidP="0050583F">
            <w:pPr>
              <w:spacing w:before="0"/>
              <w:jc w:val="center"/>
            </w:pPr>
            <w:r>
              <w:t>EHU</w:t>
            </w:r>
          </w:p>
        </w:tc>
        <w:tc>
          <w:tcPr>
            <w:tcW w:w="3163" w:type="dxa"/>
            <w:tcBorders>
              <w:top w:val="single" w:sz="4" w:space="0" w:color="auto"/>
            </w:tcBorders>
            <w:vAlign w:val="center"/>
          </w:tcPr>
          <w:p w14:paraId="63D6DAA7" w14:textId="67F8482A" w:rsidR="0050583F" w:rsidRPr="00C03B64" w:rsidRDefault="00D2297E" w:rsidP="0050583F">
            <w:pPr>
              <w:spacing w:before="0"/>
              <w:jc w:val="left"/>
            </w:pPr>
            <w:r w:rsidRPr="00D2297E">
              <w:t>Niños entre 3 y 6 años matriculados</w:t>
            </w:r>
          </w:p>
        </w:tc>
      </w:tr>
    </w:tbl>
    <w:p w14:paraId="76D493E4" w14:textId="7832C1D1" w:rsidR="0050583F" w:rsidRDefault="00A53ECF" w:rsidP="00D90446">
      <w:r>
        <w:t>Los tres indicadores que siguen a continuación están relacionados con el acceso al sistema educativo. En este primero se indaga por los niños y niñas entre 3 y 6 años que se encuentran matriculados en un centro educativo.</w:t>
      </w:r>
    </w:p>
    <w:tbl>
      <w:tblPr>
        <w:tblStyle w:val="Tablaconcuadrcula"/>
        <w:tblW w:w="0" w:type="auto"/>
        <w:tblLook w:val="04A0" w:firstRow="1" w:lastRow="0" w:firstColumn="1" w:lastColumn="0" w:noHBand="0" w:noVBand="1"/>
      </w:tblPr>
      <w:tblGrid>
        <w:gridCol w:w="3162"/>
        <w:gridCol w:w="3162"/>
        <w:gridCol w:w="3163"/>
      </w:tblGrid>
      <w:tr w:rsidR="0050583F" w:rsidRPr="00C03B64" w14:paraId="70880E1B" w14:textId="77777777" w:rsidTr="0050583F">
        <w:tc>
          <w:tcPr>
            <w:tcW w:w="3162" w:type="dxa"/>
            <w:tcBorders>
              <w:top w:val="nil"/>
              <w:left w:val="nil"/>
              <w:bottom w:val="single" w:sz="4" w:space="0" w:color="auto"/>
              <w:right w:val="nil"/>
            </w:tcBorders>
            <w:vAlign w:val="center"/>
          </w:tcPr>
          <w:p w14:paraId="3B4B268E"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4D12EA2E"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69AEC352" w14:textId="77777777" w:rsidR="0050583F" w:rsidRPr="00C03B64" w:rsidRDefault="0050583F" w:rsidP="0050583F">
            <w:pPr>
              <w:jc w:val="center"/>
            </w:pPr>
            <w:r w:rsidRPr="00DE500C">
              <w:rPr>
                <w:b/>
                <w:bCs/>
              </w:rPr>
              <w:t>Descripción corta</w:t>
            </w:r>
          </w:p>
        </w:tc>
      </w:tr>
      <w:tr w:rsidR="0050583F" w:rsidRPr="00C03B64" w14:paraId="09B642DD" w14:textId="77777777" w:rsidTr="0050583F">
        <w:tc>
          <w:tcPr>
            <w:tcW w:w="3162" w:type="dxa"/>
            <w:tcBorders>
              <w:top w:val="single" w:sz="4" w:space="0" w:color="auto"/>
            </w:tcBorders>
            <w:vAlign w:val="center"/>
          </w:tcPr>
          <w:p w14:paraId="2E922289" w14:textId="5B0D4A9F" w:rsidR="0050583F" w:rsidRPr="00C03B64" w:rsidRDefault="00D2297E" w:rsidP="0050583F">
            <w:pPr>
              <w:spacing w:before="0"/>
              <w:jc w:val="left"/>
            </w:pPr>
            <w:r w:rsidRPr="00D2297E">
              <w:t xml:space="preserve">Porcentaje de niños matriculados en el segundo grado de educación </w:t>
            </w:r>
            <w:proofErr w:type="gramStart"/>
            <w:r w:rsidRPr="00D2297E">
              <w:t>pre básica</w:t>
            </w:r>
            <w:proofErr w:type="gramEnd"/>
          </w:p>
        </w:tc>
        <w:tc>
          <w:tcPr>
            <w:tcW w:w="3162" w:type="dxa"/>
            <w:tcBorders>
              <w:top w:val="single" w:sz="4" w:space="0" w:color="auto"/>
            </w:tcBorders>
            <w:vAlign w:val="center"/>
          </w:tcPr>
          <w:p w14:paraId="3743BE02" w14:textId="1DAB0408" w:rsidR="0050583F" w:rsidRPr="00C03B64" w:rsidRDefault="00A53ECF" w:rsidP="0050583F">
            <w:pPr>
              <w:spacing w:before="0"/>
              <w:jc w:val="center"/>
            </w:pPr>
            <w:r>
              <w:t>EHU</w:t>
            </w:r>
          </w:p>
        </w:tc>
        <w:tc>
          <w:tcPr>
            <w:tcW w:w="3163" w:type="dxa"/>
            <w:tcBorders>
              <w:top w:val="single" w:sz="4" w:space="0" w:color="auto"/>
            </w:tcBorders>
            <w:vAlign w:val="center"/>
          </w:tcPr>
          <w:p w14:paraId="3CDD1D35" w14:textId="63946C4D" w:rsidR="0050583F" w:rsidRPr="00C03B64" w:rsidRDefault="00D2297E" w:rsidP="0050583F">
            <w:pPr>
              <w:spacing w:before="0"/>
              <w:jc w:val="left"/>
            </w:pPr>
            <w:r w:rsidRPr="00D2297E">
              <w:t>Matriculados en segundo grado prebásica</w:t>
            </w:r>
          </w:p>
        </w:tc>
      </w:tr>
    </w:tbl>
    <w:p w14:paraId="41141A8B" w14:textId="1CBAC3DA" w:rsidR="0050583F" w:rsidRDefault="00A53ECF" w:rsidP="00D90446">
      <w:r>
        <w:t>Este indicador corresponde al porcentaje de niños y niñas entre 3 y 6 años matriculados en el segundo grado de educación prebásica entre los que se encuentran matriculados en un centro educativo.</w:t>
      </w:r>
    </w:p>
    <w:tbl>
      <w:tblPr>
        <w:tblStyle w:val="Tablaconcuadrcula"/>
        <w:tblW w:w="0" w:type="auto"/>
        <w:tblLook w:val="04A0" w:firstRow="1" w:lastRow="0" w:firstColumn="1" w:lastColumn="0" w:noHBand="0" w:noVBand="1"/>
      </w:tblPr>
      <w:tblGrid>
        <w:gridCol w:w="3162"/>
        <w:gridCol w:w="3162"/>
        <w:gridCol w:w="3163"/>
      </w:tblGrid>
      <w:tr w:rsidR="0050583F" w:rsidRPr="00C03B64" w14:paraId="7ECAFAEE" w14:textId="77777777" w:rsidTr="0050583F">
        <w:tc>
          <w:tcPr>
            <w:tcW w:w="3162" w:type="dxa"/>
            <w:tcBorders>
              <w:top w:val="nil"/>
              <w:left w:val="nil"/>
              <w:bottom w:val="single" w:sz="4" w:space="0" w:color="auto"/>
              <w:right w:val="nil"/>
            </w:tcBorders>
            <w:vAlign w:val="center"/>
          </w:tcPr>
          <w:p w14:paraId="71A7916E"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44831F6C"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55952D0" w14:textId="77777777" w:rsidR="0050583F" w:rsidRPr="00C03B64" w:rsidRDefault="0050583F" w:rsidP="0050583F">
            <w:pPr>
              <w:jc w:val="center"/>
            </w:pPr>
            <w:r w:rsidRPr="00DE500C">
              <w:rPr>
                <w:b/>
                <w:bCs/>
              </w:rPr>
              <w:t>Descripción corta</w:t>
            </w:r>
          </w:p>
        </w:tc>
      </w:tr>
      <w:tr w:rsidR="0050583F" w:rsidRPr="00C03B64" w14:paraId="7F094610" w14:textId="77777777" w:rsidTr="0050583F">
        <w:tc>
          <w:tcPr>
            <w:tcW w:w="3162" w:type="dxa"/>
            <w:tcBorders>
              <w:top w:val="single" w:sz="4" w:space="0" w:color="auto"/>
            </w:tcBorders>
            <w:vAlign w:val="center"/>
          </w:tcPr>
          <w:p w14:paraId="4C0988F3" w14:textId="37E98551" w:rsidR="0050583F" w:rsidRPr="00C03B64" w:rsidRDefault="00D2297E" w:rsidP="0050583F">
            <w:pPr>
              <w:spacing w:before="0"/>
              <w:jc w:val="left"/>
            </w:pPr>
            <w:r w:rsidRPr="00D2297E">
              <w:t xml:space="preserve">Porcentaje de niños matriculados en el tercer grado de educación </w:t>
            </w:r>
            <w:proofErr w:type="gramStart"/>
            <w:r w:rsidRPr="00D2297E">
              <w:t>pre básica</w:t>
            </w:r>
            <w:proofErr w:type="gramEnd"/>
          </w:p>
        </w:tc>
        <w:tc>
          <w:tcPr>
            <w:tcW w:w="3162" w:type="dxa"/>
            <w:tcBorders>
              <w:top w:val="single" w:sz="4" w:space="0" w:color="auto"/>
            </w:tcBorders>
            <w:vAlign w:val="center"/>
          </w:tcPr>
          <w:p w14:paraId="24D7C24C" w14:textId="42DD0A0A" w:rsidR="0050583F" w:rsidRPr="00C03B64" w:rsidRDefault="00A53ECF" w:rsidP="0050583F">
            <w:pPr>
              <w:spacing w:before="0"/>
              <w:jc w:val="center"/>
            </w:pPr>
            <w:r>
              <w:t>EHU</w:t>
            </w:r>
          </w:p>
        </w:tc>
        <w:tc>
          <w:tcPr>
            <w:tcW w:w="3163" w:type="dxa"/>
            <w:tcBorders>
              <w:top w:val="single" w:sz="4" w:space="0" w:color="auto"/>
            </w:tcBorders>
            <w:vAlign w:val="center"/>
          </w:tcPr>
          <w:p w14:paraId="0445A64B" w14:textId="367F33D6" w:rsidR="0050583F" w:rsidRPr="00C03B64" w:rsidRDefault="00D2297E" w:rsidP="0050583F">
            <w:pPr>
              <w:spacing w:before="0"/>
              <w:jc w:val="left"/>
            </w:pPr>
            <w:r w:rsidRPr="00D2297E">
              <w:t>Matriculados en tercer grado prebásica</w:t>
            </w:r>
          </w:p>
        </w:tc>
      </w:tr>
    </w:tbl>
    <w:p w14:paraId="34B728DE" w14:textId="0CAE6891" w:rsidR="0050583F" w:rsidRDefault="007231C0" w:rsidP="00D90446">
      <w:r>
        <w:t>Finalmente, e</w:t>
      </w:r>
      <w:r>
        <w:t xml:space="preserve">ste indicador corresponde al porcentaje de niños y niñas entre 3 y 6 años matriculados en el </w:t>
      </w:r>
      <w:r>
        <w:t>tercer</w:t>
      </w:r>
      <w:r>
        <w:t xml:space="preserve"> grado de educación prebásica entre los que se encuentran matriculados en un centro educativo.</w:t>
      </w:r>
    </w:p>
    <w:p w14:paraId="19EE33FB" w14:textId="77777777" w:rsidR="005D2087" w:rsidRDefault="005D2087" w:rsidP="00D90446"/>
    <w:tbl>
      <w:tblPr>
        <w:tblStyle w:val="Tablaconcuadrcula"/>
        <w:tblW w:w="0" w:type="auto"/>
        <w:tblLook w:val="04A0" w:firstRow="1" w:lastRow="0" w:firstColumn="1" w:lastColumn="0" w:noHBand="0" w:noVBand="1"/>
      </w:tblPr>
      <w:tblGrid>
        <w:gridCol w:w="3162"/>
        <w:gridCol w:w="3162"/>
        <w:gridCol w:w="3163"/>
      </w:tblGrid>
      <w:tr w:rsidR="0050583F" w:rsidRPr="00C03B64" w14:paraId="36BF0773" w14:textId="77777777" w:rsidTr="0050583F">
        <w:tc>
          <w:tcPr>
            <w:tcW w:w="3162" w:type="dxa"/>
            <w:tcBorders>
              <w:top w:val="nil"/>
              <w:left w:val="nil"/>
              <w:bottom w:val="single" w:sz="4" w:space="0" w:color="auto"/>
              <w:right w:val="nil"/>
            </w:tcBorders>
            <w:vAlign w:val="center"/>
          </w:tcPr>
          <w:p w14:paraId="2C0DB116" w14:textId="77777777" w:rsidR="0050583F" w:rsidRPr="00C03B64" w:rsidRDefault="0050583F" w:rsidP="0050583F">
            <w:pPr>
              <w:jc w:val="center"/>
            </w:pPr>
            <w:r w:rsidRPr="00DE500C">
              <w:rPr>
                <w:b/>
                <w:bCs/>
              </w:rPr>
              <w:lastRenderedPageBreak/>
              <w:t>Indicador</w:t>
            </w:r>
          </w:p>
        </w:tc>
        <w:tc>
          <w:tcPr>
            <w:tcW w:w="3162" w:type="dxa"/>
            <w:tcBorders>
              <w:top w:val="nil"/>
              <w:left w:val="nil"/>
              <w:bottom w:val="single" w:sz="4" w:space="0" w:color="auto"/>
              <w:right w:val="nil"/>
            </w:tcBorders>
            <w:vAlign w:val="center"/>
          </w:tcPr>
          <w:p w14:paraId="244F64E6"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14DE7F1C" w14:textId="77777777" w:rsidR="0050583F" w:rsidRPr="00C03B64" w:rsidRDefault="0050583F" w:rsidP="0050583F">
            <w:pPr>
              <w:jc w:val="center"/>
            </w:pPr>
            <w:r w:rsidRPr="00DE500C">
              <w:rPr>
                <w:b/>
                <w:bCs/>
              </w:rPr>
              <w:t>Descripción corta</w:t>
            </w:r>
          </w:p>
        </w:tc>
      </w:tr>
      <w:tr w:rsidR="0050583F" w:rsidRPr="00C03B64" w14:paraId="3C77B251" w14:textId="77777777" w:rsidTr="0050583F">
        <w:tc>
          <w:tcPr>
            <w:tcW w:w="3162" w:type="dxa"/>
            <w:tcBorders>
              <w:top w:val="single" w:sz="4" w:space="0" w:color="auto"/>
            </w:tcBorders>
            <w:vAlign w:val="center"/>
          </w:tcPr>
          <w:p w14:paraId="598D9C0B" w14:textId="03035007" w:rsidR="0050583F" w:rsidRPr="00C03B64" w:rsidRDefault="00D2297E" w:rsidP="0050583F">
            <w:pPr>
              <w:spacing w:before="0"/>
              <w:jc w:val="left"/>
            </w:pPr>
            <w:r w:rsidRPr="00D2297E">
              <w:t>Porcentaje de niño(as) matriculados en el preescolar que reciben merienda</w:t>
            </w:r>
          </w:p>
        </w:tc>
        <w:tc>
          <w:tcPr>
            <w:tcW w:w="3162" w:type="dxa"/>
            <w:tcBorders>
              <w:top w:val="single" w:sz="4" w:space="0" w:color="auto"/>
            </w:tcBorders>
            <w:vAlign w:val="center"/>
          </w:tcPr>
          <w:p w14:paraId="28A846F6" w14:textId="59CB38E3" w:rsidR="0050583F" w:rsidRPr="00C03B64" w:rsidRDefault="007231C0" w:rsidP="0050583F">
            <w:pPr>
              <w:spacing w:before="0"/>
              <w:jc w:val="center"/>
            </w:pPr>
            <w:r>
              <w:t>LQAS</w:t>
            </w:r>
          </w:p>
        </w:tc>
        <w:tc>
          <w:tcPr>
            <w:tcW w:w="3163" w:type="dxa"/>
            <w:tcBorders>
              <w:top w:val="single" w:sz="4" w:space="0" w:color="auto"/>
            </w:tcBorders>
            <w:vAlign w:val="center"/>
          </w:tcPr>
          <w:p w14:paraId="5AB71399" w14:textId="127B9C2C" w:rsidR="0050583F" w:rsidRPr="00C03B64" w:rsidRDefault="00D2297E" w:rsidP="0050583F">
            <w:pPr>
              <w:spacing w:before="0"/>
              <w:jc w:val="left"/>
            </w:pPr>
            <w:r w:rsidRPr="00D2297E">
              <w:t>Merienda escolar</w:t>
            </w:r>
          </w:p>
        </w:tc>
      </w:tr>
    </w:tbl>
    <w:p w14:paraId="0760EA6B" w14:textId="3979525D" w:rsidR="0050583F" w:rsidRDefault="00B2707F" w:rsidP="00D90446">
      <w:r>
        <w:t xml:space="preserve">Como su nombre lo indica, este indicador calcula el porcentaje de centros educativos que dan merienda escolar a los niños y niñas matriculados en preescolar </w:t>
      </w:r>
      <w:r>
        <w:t>en las mancomunidades donde se recogieron las encuestas de monitoreo y seguimiento</w:t>
      </w:r>
      <w:r>
        <w:t>.</w:t>
      </w:r>
    </w:p>
    <w:tbl>
      <w:tblPr>
        <w:tblStyle w:val="Tablaconcuadrcula"/>
        <w:tblW w:w="0" w:type="auto"/>
        <w:tblLook w:val="04A0" w:firstRow="1" w:lastRow="0" w:firstColumn="1" w:lastColumn="0" w:noHBand="0" w:noVBand="1"/>
      </w:tblPr>
      <w:tblGrid>
        <w:gridCol w:w="3162"/>
        <w:gridCol w:w="3162"/>
        <w:gridCol w:w="3163"/>
      </w:tblGrid>
      <w:tr w:rsidR="0050583F" w:rsidRPr="00C03B64" w14:paraId="7F8DEFD3" w14:textId="77777777" w:rsidTr="0050583F">
        <w:tc>
          <w:tcPr>
            <w:tcW w:w="3162" w:type="dxa"/>
            <w:tcBorders>
              <w:top w:val="nil"/>
              <w:left w:val="nil"/>
              <w:bottom w:val="single" w:sz="4" w:space="0" w:color="auto"/>
              <w:right w:val="nil"/>
            </w:tcBorders>
            <w:vAlign w:val="center"/>
          </w:tcPr>
          <w:p w14:paraId="034C4E42"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162E80F"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6A6D5620" w14:textId="77777777" w:rsidR="0050583F" w:rsidRPr="00C03B64" w:rsidRDefault="0050583F" w:rsidP="0050583F">
            <w:pPr>
              <w:jc w:val="center"/>
            </w:pPr>
            <w:r w:rsidRPr="00DE500C">
              <w:rPr>
                <w:b/>
                <w:bCs/>
              </w:rPr>
              <w:t>Descripción corta</w:t>
            </w:r>
          </w:p>
        </w:tc>
      </w:tr>
      <w:tr w:rsidR="0050583F" w:rsidRPr="00C03B64" w14:paraId="600134A0" w14:textId="77777777" w:rsidTr="0050583F">
        <w:tc>
          <w:tcPr>
            <w:tcW w:w="3162" w:type="dxa"/>
            <w:tcBorders>
              <w:top w:val="single" w:sz="4" w:space="0" w:color="auto"/>
            </w:tcBorders>
            <w:vAlign w:val="center"/>
          </w:tcPr>
          <w:p w14:paraId="03366891" w14:textId="2AAC9FDE" w:rsidR="0050583F" w:rsidRPr="00C03B64" w:rsidRDefault="00D2297E" w:rsidP="0050583F">
            <w:pPr>
              <w:spacing w:before="0"/>
              <w:jc w:val="left"/>
            </w:pPr>
            <w:r w:rsidRPr="00D2297E">
              <w:t>Porcentaje de niños menores de 4 años que asisten a casa o centro con cuentos</w:t>
            </w:r>
          </w:p>
        </w:tc>
        <w:tc>
          <w:tcPr>
            <w:tcW w:w="3162" w:type="dxa"/>
            <w:tcBorders>
              <w:top w:val="single" w:sz="4" w:space="0" w:color="auto"/>
            </w:tcBorders>
            <w:vAlign w:val="center"/>
          </w:tcPr>
          <w:p w14:paraId="59564057" w14:textId="229E8EE6" w:rsidR="0050583F" w:rsidRPr="00C03B64" w:rsidRDefault="00B2707F" w:rsidP="0050583F">
            <w:pPr>
              <w:spacing w:before="0"/>
              <w:jc w:val="center"/>
            </w:pPr>
            <w:r>
              <w:t>LQAS</w:t>
            </w:r>
          </w:p>
        </w:tc>
        <w:tc>
          <w:tcPr>
            <w:tcW w:w="3163" w:type="dxa"/>
            <w:tcBorders>
              <w:top w:val="single" w:sz="4" w:space="0" w:color="auto"/>
            </w:tcBorders>
            <w:vAlign w:val="center"/>
          </w:tcPr>
          <w:p w14:paraId="5CEF3641" w14:textId="4E5D30C5" w:rsidR="0050583F" w:rsidRPr="00C03B64" w:rsidRDefault="00D2297E" w:rsidP="0050583F">
            <w:pPr>
              <w:spacing w:before="0"/>
              <w:jc w:val="left"/>
            </w:pPr>
            <w:r w:rsidRPr="00D2297E">
              <w:t>Asistencia a casa o centro de cuentos</w:t>
            </w:r>
          </w:p>
        </w:tc>
      </w:tr>
    </w:tbl>
    <w:p w14:paraId="5073BDFC" w14:textId="2D9DCA04" w:rsidR="0050583F" w:rsidRDefault="00B2707F" w:rsidP="00D90446">
      <w:r>
        <w:t>Este indicador indaga por el porcentaje de niños o niñas menores de 4 años que asiste a una casa o centro con cuentos en las mancomunidades donde se recogieron las encuestas de monitoreo y seguimiento.</w:t>
      </w:r>
    </w:p>
    <w:tbl>
      <w:tblPr>
        <w:tblStyle w:val="Tablaconcuadrcula"/>
        <w:tblW w:w="0" w:type="auto"/>
        <w:tblLook w:val="04A0" w:firstRow="1" w:lastRow="0" w:firstColumn="1" w:lastColumn="0" w:noHBand="0" w:noVBand="1"/>
      </w:tblPr>
      <w:tblGrid>
        <w:gridCol w:w="3162"/>
        <w:gridCol w:w="3162"/>
        <w:gridCol w:w="3163"/>
      </w:tblGrid>
      <w:tr w:rsidR="0050583F" w:rsidRPr="00C03B64" w14:paraId="72BF55E0" w14:textId="77777777" w:rsidTr="0050583F">
        <w:tc>
          <w:tcPr>
            <w:tcW w:w="3162" w:type="dxa"/>
            <w:tcBorders>
              <w:top w:val="nil"/>
              <w:left w:val="nil"/>
              <w:bottom w:val="single" w:sz="4" w:space="0" w:color="auto"/>
              <w:right w:val="nil"/>
            </w:tcBorders>
            <w:vAlign w:val="center"/>
          </w:tcPr>
          <w:p w14:paraId="024A74A4"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7D695D57"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4E2EC16D" w14:textId="77777777" w:rsidR="0050583F" w:rsidRPr="00C03B64" w:rsidRDefault="0050583F" w:rsidP="0050583F">
            <w:pPr>
              <w:jc w:val="center"/>
            </w:pPr>
            <w:r w:rsidRPr="00DE500C">
              <w:rPr>
                <w:b/>
                <w:bCs/>
              </w:rPr>
              <w:t>Descripción corta</w:t>
            </w:r>
          </w:p>
        </w:tc>
      </w:tr>
      <w:tr w:rsidR="0050583F" w:rsidRPr="00C03B64" w14:paraId="4F6CC6A1" w14:textId="77777777" w:rsidTr="0050583F">
        <w:tc>
          <w:tcPr>
            <w:tcW w:w="3162" w:type="dxa"/>
            <w:tcBorders>
              <w:top w:val="single" w:sz="4" w:space="0" w:color="auto"/>
            </w:tcBorders>
            <w:vAlign w:val="center"/>
          </w:tcPr>
          <w:p w14:paraId="314E6611" w14:textId="407312FE" w:rsidR="0050583F" w:rsidRPr="00C03B64" w:rsidRDefault="00D2297E" w:rsidP="0050583F">
            <w:pPr>
              <w:spacing w:before="0"/>
              <w:jc w:val="left"/>
            </w:pPr>
            <w:r w:rsidRPr="00D2297E">
              <w:t>Porcentaje de niños y niñas menores de 6 años con acceso a parques infantiles</w:t>
            </w:r>
          </w:p>
        </w:tc>
        <w:tc>
          <w:tcPr>
            <w:tcW w:w="3162" w:type="dxa"/>
            <w:tcBorders>
              <w:top w:val="single" w:sz="4" w:space="0" w:color="auto"/>
            </w:tcBorders>
            <w:vAlign w:val="center"/>
          </w:tcPr>
          <w:p w14:paraId="27AE5F09" w14:textId="29608FEA" w:rsidR="0050583F" w:rsidRPr="00C03B64" w:rsidRDefault="00B2707F" w:rsidP="0050583F">
            <w:pPr>
              <w:spacing w:before="0"/>
              <w:jc w:val="center"/>
            </w:pPr>
            <w:r>
              <w:t>LQAS y EHU</w:t>
            </w:r>
          </w:p>
        </w:tc>
        <w:tc>
          <w:tcPr>
            <w:tcW w:w="3163" w:type="dxa"/>
            <w:tcBorders>
              <w:top w:val="single" w:sz="4" w:space="0" w:color="auto"/>
            </w:tcBorders>
            <w:vAlign w:val="center"/>
          </w:tcPr>
          <w:p w14:paraId="6780B356" w14:textId="4CA73E90" w:rsidR="0050583F" w:rsidRPr="00C03B64" w:rsidRDefault="00D2297E" w:rsidP="0050583F">
            <w:pPr>
              <w:spacing w:before="0"/>
              <w:jc w:val="left"/>
            </w:pPr>
            <w:r w:rsidRPr="00D2297E">
              <w:t>Acceso a parques infantiles</w:t>
            </w:r>
          </w:p>
        </w:tc>
      </w:tr>
    </w:tbl>
    <w:p w14:paraId="03C39C29" w14:textId="4F97DB7D" w:rsidR="0050583F" w:rsidRDefault="00B2707F" w:rsidP="00D90446">
      <w:r>
        <w:t xml:space="preserve">Con este indicador se busca identificar si el niño o la niña menor de seis años tiene acceso a parques infantiles, tanto en las mancomunidades donde se levantó las encuestas de monitoreo y seguimiento como </w:t>
      </w:r>
      <w:r w:rsidR="00E74D94">
        <w:t>en los 37 municipios donde tiene presencia Unicef.</w:t>
      </w:r>
    </w:p>
    <w:tbl>
      <w:tblPr>
        <w:tblStyle w:val="Tablaconcuadrcula"/>
        <w:tblW w:w="0" w:type="auto"/>
        <w:tblLook w:val="04A0" w:firstRow="1" w:lastRow="0" w:firstColumn="1" w:lastColumn="0" w:noHBand="0" w:noVBand="1"/>
      </w:tblPr>
      <w:tblGrid>
        <w:gridCol w:w="3162"/>
        <w:gridCol w:w="3162"/>
        <w:gridCol w:w="3163"/>
      </w:tblGrid>
      <w:tr w:rsidR="0050583F" w:rsidRPr="00C03B64" w14:paraId="406DC38C" w14:textId="77777777" w:rsidTr="0050583F">
        <w:tc>
          <w:tcPr>
            <w:tcW w:w="3162" w:type="dxa"/>
            <w:tcBorders>
              <w:top w:val="nil"/>
              <w:left w:val="nil"/>
              <w:bottom w:val="single" w:sz="4" w:space="0" w:color="auto"/>
              <w:right w:val="nil"/>
            </w:tcBorders>
            <w:vAlign w:val="center"/>
          </w:tcPr>
          <w:p w14:paraId="65EF1EE7" w14:textId="77777777" w:rsidR="0050583F" w:rsidRPr="00C03B64" w:rsidRDefault="0050583F" w:rsidP="0050583F">
            <w:pPr>
              <w:jc w:val="center"/>
            </w:pPr>
            <w:r w:rsidRPr="00DE500C">
              <w:rPr>
                <w:b/>
                <w:bCs/>
              </w:rPr>
              <w:t>Indicador</w:t>
            </w:r>
          </w:p>
        </w:tc>
        <w:tc>
          <w:tcPr>
            <w:tcW w:w="3162" w:type="dxa"/>
            <w:tcBorders>
              <w:top w:val="nil"/>
              <w:left w:val="nil"/>
              <w:bottom w:val="single" w:sz="4" w:space="0" w:color="auto"/>
              <w:right w:val="nil"/>
            </w:tcBorders>
            <w:vAlign w:val="center"/>
          </w:tcPr>
          <w:p w14:paraId="21817164" w14:textId="77777777" w:rsidR="0050583F" w:rsidRDefault="0050583F" w:rsidP="0050583F">
            <w:pPr>
              <w:jc w:val="center"/>
            </w:pPr>
            <w:r w:rsidRPr="00DE500C">
              <w:rPr>
                <w:b/>
                <w:bCs/>
              </w:rPr>
              <w:t>Fuente</w:t>
            </w:r>
          </w:p>
        </w:tc>
        <w:tc>
          <w:tcPr>
            <w:tcW w:w="3163" w:type="dxa"/>
            <w:tcBorders>
              <w:top w:val="nil"/>
              <w:left w:val="nil"/>
              <w:bottom w:val="single" w:sz="4" w:space="0" w:color="auto"/>
              <w:right w:val="nil"/>
            </w:tcBorders>
            <w:vAlign w:val="center"/>
          </w:tcPr>
          <w:p w14:paraId="7DE7CB43" w14:textId="77777777" w:rsidR="0050583F" w:rsidRPr="00C03B64" w:rsidRDefault="0050583F" w:rsidP="0050583F">
            <w:pPr>
              <w:jc w:val="center"/>
            </w:pPr>
            <w:r w:rsidRPr="00DE500C">
              <w:rPr>
                <w:b/>
                <w:bCs/>
              </w:rPr>
              <w:t>Descripción corta</w:t>
            </w:r>
          </w:p>
        </w:tc>
      </w:tr>
      <w:tr w:rsidR="0050583F" w:rsidRPr="00C03B64" w14:paraId="55F5C8DC" w14:textId="77777777" w:rsidTr="0050583F">
        <w:tc>
          <w:tcPr>
            <w:tcW w:w="3162" w:type="dxa"/>
            <w:tcBorders>
              <w:top w:val="single" w:sz="4" w:space="0" w:color="auto"/>
            </w:tcBorders>
            <w:vAlign w:val="center"/>
          </w:tcPr>
          <w:p w14:paraId="4DF3B597" w14:textId="0738E561" w:rsidR="0050583F" w:rsidRPr="00C03B64" w:rsidRDefault="00BB22ED" w:rsidP="0050583F">
            <w:pPr>
              <w:spacing w:before="0"/>
              <w:jc w:val="left"/>
            </w:pPr>
            <w:r w:rsidRPr="00BB22ED">
              <w:t>Porcentaje de niños y niñas inscritos en el Registro Nacional de las Personas</w:t>
            </w:r>
          </w:p>
        </w:tc>
        <w:tc>
          <w:tcPr>
            <w:tcW w:w="3162" w:type="dxa"/>
            <w:tcBorders>
              <w:top w:val="single" w:sz="4" w:space="0" w:color="auto"/>
            </w:tcBorders>
            <w:vAlign w:val="center"/>
          </w:tcPr>
          <w:p w14:paraId="198A32A1" w14:textId="0D65F9FC" w:rsidR="0050583F" w:rsidRPr="00C03B64" w:rsidRDefault="00B2707F" w:rsidP="0050583F">
            <w:pPr>
              <w:spacing w:before="0"/>
              <w:jc w:val="center"/>
            </w:pPr>
            <w:r>
              <w:t>LQAS</w:t>
            </w:r>
          </w:p>
        </w:tc>
        <w:tc>
          <w:tcPr>
            <w:tcW w:w="3163" w:type="dxa"/>
            <w:tcBorders>
              <w:top w:val="single" w:sz="4" w:space="0" w:color="auto"/>
            </w:tcBorders>
            <w:vAlign w:val="center"/>
          </w:tcPr>
          <w:p w14:paraId="65C51CFB" w14:textId="40BDC7D0" w:rsidR="0050583F" w:rsidRPr="00C03B64" w:rsidRDefault="00BB22ED" w:rsidP="0050583F">
            <w:pPr>
              <w:spacing w:before="0"/>
              <w:jc w:val="left"/>
            </w:pPr>
            <w:r w:rsidRPr="00BB22ED">
              <w:t>Registro</w:t>
            </w:r>
          </w:p>
        </w:tc>
      </w:tr>
    </w:tbl>
    <w:p w14:paraId="71CB9A2C" w14:textId="16654998" w:rsidR="0050583F" w:rsidRPr="00C03B64" w:rsidRDefault="00E74D94" w:rsidP="00D90446">
      <w:r>
        <w:t xml:space="preserve">Por último, este indicador se calcula con la información de las encuestas de monitoreo y seguimiento del sistema, y se centra en identificar si </w:t>
      </w:r>
      <w:r w:rsidR="00CC7763">
        <w:t>el niño o niña esta inscrito en el Registro Nacional de las Personas.</w:t>
      </w:r>
    </w:p>
    <w:p w14:paraId="56C1DA02" w14:textId="0F38D9D7" w:rsidR="00D90446" w:rsidRDefault="00D90446" w:rsidP="00D2297E">
      <w:pPr>
        <w:rPr>
          <w:rStyle w:val="Textoennegrita"/>
        </w:rPr>
      </w:pPr>
      <w:r w:rsidRPr="00C03B64">
        <w:rPr>
          <w:rStyle w:val="Textoennegrita"/>
        </w:rPr>
        <w:t>Entorno protector</w:t>
      </w:r>
    </w:p>
    <w:p w14:paraId="1309B74B" w14:textId="31FE5D75" w:rsidR="00CC7763" w:rsidRPr="00CC7763" w:rsidRDefault="00CC7763" w:rsidP="00D2297E">
      <w:pPr>
        <w:rPr>
          <w:rStyle w:val="Textoennegrita"/>
          <w:b w:val="0"/>
          <w:bCs w:val="0"/>
        </w:rPr>
      </w:pPr>
      <w:r>
        <w:rPr>
          <w:rStyle w:val="Textoennegrita"/>
          <w:b w:val="0"/>
          <w:bCs w:val="0"/>
        </w:rPr>
        <w:t xml:space="preserve">Frente al entorno protector, los indicadores considerados se concentran en un entorno adecuado al interior del hogar por lo que se indaga sobre conocimientos de los padres y su relación hacia sus hijos menores de seis años. Parte de los indicadores contemplados en este </w:t>
      </w:r>
      <w:r>
        <w:rPr>
          <w:rStyle w:val="Textoennegrita"/>
          <w:b w:val="0"/>
          <w:bCs w:val="0"/>
        </w:rPr>
        <w:lastRenderedPageBreak/>
        <w:t>componente están relacionados con el componente de Protección desarrollado en el marco del Programa País de Unicef en Honduras.</w:t>
      </w:r>
    </w:p>
    <w:tbl>
      <w:tblPr>
        <w:tblStyle w:val="Tablaconcuadrcula"/>
        <w:tblW w:w="0" w:type="auto"/>
        <w:tblLook w:val="04A0" w:firstRow="1" w:lastRow="0" w:firstColumn="1" w:lastColumn="0" w:noHBand="0" w:noVBand="1"/>
      </w:tblPr>
      <w:tblGrid>
        <w:gridCol w:w="3162"/>
        <w:gridCol w:w="3162"/>
        <w:gridCol w:w="3163"/>
      </w:tblGrid>
      <w:tr w:rsidR="00D2297E" w:rsidRPr="00C03B64" w14:paraId="3C0E6257" w14:textId="77777777" w:rsidTr="007E1315">
        <w:tc>
          <w:tcPr>
            <w:tcW w:w="3162" w:type="dxa"/>
            <w:tcBorders>
              <w:top w:val="nil"/>
              <w:left w:val="nil"/>
              <w:bottom w:val="single" w:sz="4" w:space="0" w:color="auto"/>
              <w:right w:val="nil"/>
            </w:tcBorders>
            <w:vAlign w:val="center"/>
          </w:tcPr>
          <w:p w14:paraId="7B4D252E"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59984BB9"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429DD558" w14:textId="77777777" w:rsidR="00D2297E" w:rsidRPr="00C03B64" w:rsidRDefault="00D2297E" w:rsidP="007E1315">
            <w:pPr>
              <w:jc w:val="center"/>
            </w:pPr>
            <w:r w:rsidRPr="00DE500C">
              <w:rPr>
                <w:b/>
                <w:bCs/>
              </w:rPr>
              <w:t>Descripción corta</w:t>
            </w:r>
          </w:p>
        </w:tc>
      </w:tr>
      <w:tr w:rsidR="00D2297E" w:rsidRPr="00C03B64" w14:paraId="3173BA00" w14:textId="77777777" w:rsidTr="007E1315">
        <w:tc>
          <w:tcPr>
            <w:tcW w:w="3162" w:type="dxa"/>
            <w:tcBorders>
              <w:top w:val="single" w:sz="4" w:space="0" w:color="auto"/>
            </w:tcBorders>
            <w:vAlign w:val="center"/>
          </w:tcPr>
          <w:p w14:paraId="0EDF877D" w14:textId="61837504" w:rsidR="00D2297E" w:rsidRPr="00C03B64" w:rsidRDefault="00BB22ED" w:rsidP="007E1315">
            <w:pPr>
              <w:spacing w:before="0"/>
              <w:jc w:val="left"/>
            </w:pPr>
            <w:r w:rsidRPr="00BB22ED">
              <w:t xml:space="preserve">Porcentaje de menores de seis años que han sido </w:t>
            </w:r>
            <w:r w:rsidR="00CC7763" w:rsidRPr="00BB22ED">
              <w:t>víctimas</w:t>
            </w:r>
            <w:r w:rsidRPr="00BB22ED">
              <w:t xml:space="preserve"> de un tipo de maltrato</w:t>
            </w:r>
          </w:p>
        </w:tc>
        <w:tc>
          <w:tcPr>
            <w:tcW w:w="3162" w:type="dxa"/>
            <w:tcBorders>
              <w:top w:val="single" w:sz="4" w:space="0" w:color="auto"/>
            </w:tcBorders>
            <w:vAlign w:val="center"/>
          </w:tcPr>
          <w:p w14:paraId="305D7EC2" w14:textId="151B7370" w:rsidR="00D2297E" w:rsidRPr="00C03B64" w:rsidRDefault="00FE73D6" w:rsidP="007E1315">
            <w:pPr>
              <w:spacing w:before="0"/>
              <w:jc w:val="center"/>
            </w:pPr>
            <w:r>
              <w:t>LQAS y EHU</w:t>
            </w:r>
          </w:p>
        </w:tc>
        <w:tc>
          <w:tcPr>
            <w:tcW w:w="3163" w:type="dxa"/>
            <w:tcBorders>
              <w:top w:val="single" w:sz="4" w:space="0" w:color="auto"/>
            </w:tcBorders>
            <w:vAlign w:val="center"/>
          </w:tcPr>
          <w:p w14:paraId="0DD4A2BC" w14:textId="6E1A756D" w:rsidR="00D2297E" w:rsidRPr="00C03B64" w:rsidRDefault="00BB22ED" w:rsidP="007E1315">
            <w:pPr>
              <w:spacing w:before="0"/>
              <w:jc w:val="left"/>
            </w:pPr>
            <w:r w:rsidRPr="00BB22ED">
              <w:t>Maltrato infantil</w:t>
            </w:r>
          </w:p>
        </w:tc>
      </w:tr>
    </w:tbl>
    <w:p w14:paraId="490072D1" w14:textId="620BE1F2" w:rsidR="00D90446" w:rsidRDefault="004151C5" w:rsidP="00D90446">
      <w:r>
        <w:t>El indicador refleja el porcentaje de niños y niñas menores de seis años que experimentaron por lo menos una acción de negligencia, de castigo físico o agresión verbal por sus cuidadores en los últimos seis meses.</w:t>
      </w:r>
    </w:p>
    <w:tbl>
      <w:tblPr>
        <w:tblStyle w:val="Tablaconcuadrcula"/>
        <w:tblW w:w="0" w:type="auto"/>
        <w:tblLook w:val="04A0" w:firstRow="1" w:lastRow="0" w:firstColumn="1" w:lastColumn="0" w:noHBand="0" w:noVBand="1"/>
      </w:tblPr>
      <w:tblGrid>
        <w:gridCol w:w="3162"/>
        <w:gridCol w:w="3162"/>
        <w:gridCol w:w="3163"/>
      </w:tblGrid>
      <w:tr w:rsidR="00D2297E" w:rsidRPr="00C03B64" w14:paraId="442D4D0C" w14:textId="77777777" w:rsidTr="007E1315">
        <w:tc>
          <w:tcPr>
            <w:tcW w:w="3162" w:type="dxa"/>
            <w:tcBorders>
              <w:top w:val="nil"/>
              <w:left w:val="nil"/>
              <w:bottom w:val="single" w:sz="4" w:space="0" w:color="auto"/>
              <w:right w:val="nil"/>
            </w:tcBorders>
            <w:vAlign w:val="center"/>
          </w:tcPr>
          <w:p w14:paraId="26A97D14"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4F302974"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05B32208" w14:textId="77777777" w:rsidR="00D2297E" w:rsidRPr="00C03B64" w:rsidRDefault="00D2297E" w:rsidP="007E1315">
            <w:pPr>
              <w:jc w:val="center"/>
            </w:pPr>
            <w:r w:rsidRPr="00DE500C">
              <w:rPr>
                <w:b/>
                <w:bCs/>
              </w:rPr>
              <w:t>Descripción corta</w:t>
            </w:r>
          </w:p>
        </w:tc>
      </w:tr>
      <w:tr w:rsidR="00D2297E" w:rsidRPr="00C03B64" w14:paraId="4B9B7A11" w14:textId="77777777" w:rsidTr="007E1315">
        <w:tc>
          <w:tcPr>
            <w:tcW w:w="3162" w:type="dxa"/>
            <w:tcBorders>
              <w:top w:val="single" w:sz="4" w:space="0" w:color="auto"/>
            </w:tcBorders>
            <w:vAlign w:val="center"/>
          </w:tcPr>
          <w:p w14:paraId="18F18B6C" w14:textId="4549A09A" w:rsidR="00D2297E" w:rsidRPr="00C03B64" w:rsidRDefault="00BB22ED" w:rsidP="007E1315">
            <w:pPr>
              <w:spacing w:before="0"/>
              <w:jc w:val="left"/>
            </w:pPr>
            <w:r w:rsidRPr="00BB22ED">
              <w:t xml:space="preserve">Porcentaje de menores de seis años que han sido </w:t>
            </w:r>
            <w:proofErr w:type="spellStart"/>
            <w:r w:rsidRPr="00BB22ED">
              <w:t>victimas</w:t>
            </w:r>
            <w:proofErr w:type="spellEnd"/>
            <w:r w:rsidRPr="00BB22ED">
              <w:t xml:space="preserve"> de negligencia</w:t>
            </w:r>
          </w:p>
        </w:tc>
        <w:tc>
          <w:tcPr>
            <w:tcW w:w="3162" w:type="dxa"/>
            <w:tcBorders>
              <w:top w:val="single" w:sz="4" w:space="0" w:color="auto"/>
            </w:tcBorders>
            <w:vAlign w:val="center"/>
          </w:tcPr>
          <w:p w14:paraId="057E5B58" w14:textId="448AFC23" w:rsidR="00D2297E" w:rsidRPr="00C03B64" w:rsidRDefault="00FE73D6" w:rsidP="007E1315">
            <w:pPr>
              <w:spacing w:before="0"/>
              <w:jc w:val="center"/>
            </w:pPr>
            <w:r>
              <w:t>EHU</w:t>
            </w:r>
          </w:p>
        </w:tc>
        <w:tc>
          <w:tcPr>
            <w:tcW w:w="3163" w:type="dxa"/>
            <w:tcBorders>
              <w:top w:val="single" w:sz="4" w:space="0" w:color="auto"/>
            </w:tcBorders>
            <w:vAlign w:val="center"/>
          </w:tcPr>
          <w:p w14:paraId="5B82FFC8" w14:textId="5B93DBE9" w:rsidR="00D2297E" w:rsidRPr="00C03B64" w:rsidRDefault="00BB22ED" w:rsidP="007E1315">
            <w:pPr>
              <w:spacing w:before="0"/>
              <w:jc w:val="left"/>
            </w:pPr>
            <w:r w:rsidRPr="00BB22ED">
              <w:t>Negligencia</w:t>
            </w:r>
          </w:p>
        </w:tc>
      </w:tr>
    </w:tbl>
    <w:p w14:paraId="5D65D501" w14:textId="17DEF13D" w:rsidR="00D2297E" w:rsidRDefault="004151C5" w:rsidP="00D90446">
      <w:r>
        <w:t>Se identifica que un niño o niña menor de seis años sufrió de negligencia en los últimos seis meses si le ha hecho falta algún tiempo de comida, le ha hecho falta atención médica cuando se enferma y/o le ha hecho falta atención rápida cuando ha estado en peligro.</w:t>
      </w:r>
    </w:p>
    <w:tbl>
      <w:tblPr>
        <w:tblStyle w:val="Tablaconcuadrcula"/>
        <w:tblW w:w="0" w:type="auto"/>
        <w:tblLook w:val="04A0" w:firstRow="1" w:lastRow="0" w:firstColumn="1" w:lastColumn="0" w:noHBand="0" w:noVBand="1"/>
      </w:tblPr>
      <w:tblGrid>
        <w:gridCol w:w="3162"/>
        <w:gridCol w:w="3162"/>
        <w:gridCol w:w="3163"/>
      </w:tblGrid>
      <w:tr w:rsidR="00D2297E" w:rsidRPr="00C03B64" w14:paraId="70657B11" w14:textId="77777777" w:rsidTr="007E1315">
        <w:tc>
          <w:tcPr>
            <w:tcW w:w="3162" w:type="dxa"/>
            <w:tcBorders>
              <w:top w:val="nil"/>
              <w:left w:val="nil"/>
              <w:bottom w:val="single" w:sz="4" w:space="0" w:color="auto"/>
              <w:right w:val="nil"/>
            </w:tcBorders>
            <w:vAlign w:val="center"/>
          </w:tcPr>
          <w:p w14:paraId="58DDDB73"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5238A5E4"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6240F0DF" w14:textId="77777777" w:rsidR="00D2297E" w:rsidRPr="00C03B64" w:rsidRDefault="00D2297E" w:rsidP="007E1315">
            <w:pPr>
              <w:jc w:val="center"/>
            </w:pPr>
            <w:r w:rsidRPr="00DE500C">
              <w:rPr>
                <w:b/>
                <w:bCs/>
              </w:rPr>
              <w:t>Descripción corta</w:t>
            </w:r>
          </w:p>
        </w:tc>
      </w:tr>
      <w:tr w:rsidR="00D2297E" w:rsidRPr="00C03B64" w14:paraId="41D8B694" w14:textId="77777777" w:rsidTr="007E1315">
        <w:tc>
          <w:tcPr>
            <w:tcW w:w="3162" w:type="dxa"/>
            <w:tcBorders>
              <w:top w:val="single" w:sz="4" w:space="0" w:color="auto"/>
            </w:tcBorders>
            <w:vAlign w:val="center"/>
          </w:tcPr>
          <w:p w14:paraId="002F3623" w14:textId="5B5A4176" w:rsidR="00D2297E" w:rsidRPr="00C03B64" w:rsidRDefault="00BB22ED" w:rsidP="007E1315">
            <w:pPr>
              <w:spacing w:before="0"/>
              <w:jc w:val="left"/>
            </w:pPr>
            <w:r w:rsidRPr="00BB22ED">
              <w:t xml:space="preserve">Porcentaje de menores de seis años que han sido </w:t>
            </w:r>
            <w:r w:rsidR="004151C5" w:rsidRPr="00BB22ED">
              <w:t>víctimas</w:t>
            </w:r>
            <w:r w:rsidRPr="00BB22ED">
              <w:t xml:space="preserve"> de castigo físico</w:t>
            </w:r>
          </w:p>
        </w:tc>
        <w:tc>
          <w:tcPr>
            <w:tcW w:w="3162" w:type="dxa"/>
            <w:tcBorders>
              <w:top w:val="single" w:sz="4" w:space="0" w:color="auto"/>
            </w:tcBorders>
            <w:vAlign w:val="center"/>
          </w:tcPr>
          <w:p w14:paraId="2E3C930A" w14:textId="5232C4ED" w:rsidR="00D2297E" w:rsidRPr="00C03B64" w:rsidRDefault="00FE73D6" w:rsidP="007E1315">
            <w:pPr>
              <w:spacing w:before="0"/>
              <w:jc w:val="center"/>
            </w:pPr>
            <w:r>
              <w:t>EHU</w:t>
            </w:r>
          </w:p>
        </w:tc>
        <w:tc>
          <w:tcPr>
            <w:tcW w:w="3163" w:type="dxa"/>
            <w:tcBorders>
              <w:top w:val="single" w:sz="4" w:space="0" w:color="auto"/>
            </w:tcBorders>
            <w:vAlign w:val="center"/>
          </w:tcPr>
          <w:p w14:paraId="64E1B48F" w14:textId="79F851EE" w:rsidR="00D2297E" w:rsidRPr="00C03B64" w:rsidRDefault="00BB22ED" w:rsidP="007E1315">
            <w:pPr>
              <w:spacing w:before="0"/>
              <w:jc w:val="left"/>
            </w:pPr>
            <w:r w:rsidRPr="00BB22ED">
              <w:t>Castigo físico</w:t>
            </w:r>
          </w:p>
        </w:tc>
      </w:tr>
    </w:tbl>
    <w:p w14:paraId="642ACBEB" w14:textId="7D0DB8E5" w:rsidR="00D2297E" w:rsidRDefault="004151C5" w:rsidP="00D90446">
      <w:r>
        <w:t>Se identifica que un niño o niña menor de seis años sufrió de castigo físico en los últimos seis meses si la persona que lo cuida le ha castigado con faja, le ha nalgueado sólo con la mano, le ha golpeado en el trasero o en alguna parte del cuerpo con algún objeto, como: cepillo, palo o algún otro objeto duro; le ha golpeado en la cada o una palmada en la cara, cabeza o las orejas; y/o le ha dado una paliza, es decir, pegarle una y otra vez lo más fuerte que pudo.</w:t>
      </w:r>
    </w:p>
    <w:tbl>
      <w:tblPr>
        <w:tblStyle w:val="Tablaconcuadrcula"/>
        <w:tblW w:w="0" w:type="auto"/>
        <w:tblLook w:val="04A0" w:firstRow="1" w:lastRow="0" w:firstColumn="1" w:lastColumn="0" w:noHBand="0" w:noVBand="1"/>
      </w:tblPr>
      <w:tblGrid>
        <w:gridCol w:w="3162"/>
        <w:gridCol w:w="3162"/>
        <w:gridCol w:w="3163"/>
      </w:tblGrid>
      <w:tr w:rsidR="00D2297E" w:rsidRPr="00C03B64" w14:paraId="192E0537" w14:textId="77777777" w:rsidTr="007E1315">
        <w:tc>
          <w:tcPr>
            <w:tcW w:w="3162" w:type="dxa"/>
            <w:tcBorders>
              <w:top w:val="nil"/>
              <w:left w:val="nil"/>
              <w:bottom w:val="single" w:sz="4" w:space="0" w:color="auto"/>
              <w:right w:val="nil"/>
            </w:tcBorders>
            <w:vAlign w:val="center"/>
          </w:tcPr>
          <w:p w14:paraId="500983BE"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180FF9C0"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37ECF98A" w14:textId="77777777" w:rsidR="00D2297E" w:rsidRPr="00C03B64" w:rsidRDefault="00D2297E" w:rsidP="007E1315">
            <w:pPr>
              <w:jc w:val="center"/>
            </w:pPr>
            <w:r w:rsidRPr="00DE500C">
              <w:rPr>
                <w:b/>
                <w:bCs/>
              </w:rPr>
              <w:t>Descripción corta</w:t>
            </w:r>
          </w:p>
        </w:tc>
      </w:tr>
      <w:tr w:rsidR="00D2297E" w:rsidRPr="00C03B64" w14:paraId="7C648F92" w14:textId="77777777" w:rsidTr="007E1315">
        <w:tc>
          <w:tcPr>
            <w:tcW w:w="3162" w:type="dxa"/>
            <w:tcBorders>
              <w:top w:val="single" w:sz="4" w:space="0" w:color="auto"/>
            </w:tcBorders>
            <w:vAlign w:val="center"/>
          </w:tcPr>
          <w:p w14:paraId="158ADFE8" w14:textId="5A714998" w:rsidR="00D2297E" w:rsidRPr="00C03B64" w:rsidRDefault="00BB22ED" w:rsidP="007E1315">
            <w:pPr>
              <w:spacing w:before="0"/>
              <w:jc w:val="left"/>
            </w:pPr>
            <w:r w:rsidRPr="00BB22ED">
              <w:t xml:space="preserve">Porcentaje de menores de seis años que han sido </w:t>
            </w:r>
            <w:r w:rsidR="004151C5" w:rsidRPr="00BB22ED">
              <w:t>víctimas</w:t>
            </w:r>
            <w:r w:rsidRPr="00BB22ED">
              <w:t xml:space="preserve"> de agresión verbal</w:t>
            </w:r>
          </w:p>
        </w:tc>
        <w:tc>
          <w:tcPr>
            <w:tcW w:w="3162" w:type="dxa"/>
            <w:tcBorders>
              <w:top w:val="single" w:sz="4" w:space="0" w:color="auto"/>
            </w:tcBorders>
            <w:vAlign w:val="center"/>
          </w:tcPr>
          <w:p w14:paraId="0BBC815B" w14:textId="0803E616" w:rsidR="00D2297E" w:rsidRPr="00C03B64" w:rsidRDefault="00FE73D6" w:rsidP="007E1315">
            <w:pPr>
              <w:spacing w:before="0"/>
              <w:jc w:val="center"/>
            </w:pPr>
            <w:r>
              <w:t>EHU</w:t>
            </w:r>
          </w:p>
        </w:tc>
        <w:tc>
          <w:tcPr>
            <w:tcW w:w="3163" w:type="dxa"/>
            <w:tcBorders>
              <w:top w:val="single" w:sz="4" w:space="0" w:color="auto"/>
            </w:tcBorders>
            <w:vAlign w:val="center"/>
          </w:tcPr>
          <w:p w14:paraId="59BB2AC4" w14:textId="02BC6BB1" w:rsidR="00D2297E" w:rsidRPr="00C03B64" w:rsidRDefault="00BB22ED" w:rsidP="007E1315">
            <w:pPr>
              <w:spacing w:before="0"/>
              <w:jc w:val="left"/>
            </w:pPr>
            <w:r w:rsidRPr="00BB22ED">
              <w:t>Agresión verbal</w:t>
            </w:r>
          </w:p>
        </w:tc>
      </w:tr>
    </w:tbl>
    <w:p w14:paraId="251920BC" w14:textId="58B86D41" w:rsidR="00D2297E" w:rsidRDefault="004151C5" w:rsidP="00D90446">
      <w:r>
        <w:t xml:space="preserve">Se identifica que un niño o niña menor de seis años sufrió de </w:t>
      </w:r>
      <w:r>
        <w:t>agresión verbal</w:t>
      </w:r>
      <w:r>
        <w:t xml:space="preserve"> en los últimos seis meses si la persona que lo cuida</w:t>
      </w:r>
      <w:r>
        <w:t xml:space="preserve"> ha utilizado gritos al tratar con él, ha utilizado alaridos para referirse al niño o la niña menor de seis años y/o se ha referido al infante con epítetos derogatorios como tonto, perezoso o inútil.</w:t>
      </w:r>
    </w:p>
    <w:tbl>
      <w:tblPr>
        <w:tblStyle w:val="Tablaconcuadrcula"/>
        <w:tblW w:w="0" w:type="auto"/>
        <w:tblLook w:val="04A0" w:firstRow="1" w:lastRow="0" w:firstColumn="1" w:lastColumn="0" w:noHBand="0" w:noVBand="1"/>
      </w:tblPr>
      <w:tblGrid>
        <w:gridCol w:w="3162"/>
        <w:gridCol w:w="3162"/>
        <w:gridCol w:w="3163"/>
      </w:tblGrid>
      <w:tr w:rsidR="00D2297E" w:rsidRPr="00C03B64" w14:paraId="6288A6A4" w14:textId="77777777" w:rsidTr="007E1315">
        <w:tc>
          <w:tcPr>
            <w:tcW w:w="3162" w:type="dxa"/>
            <w:tcBorders>
              <w:top w:val="nil"/>
              <w:left w:val="nil"/>
              <w:bottom w:val="single" w:sz="4" w:space="0" w:color="auto"/>
              <w:right w:val="nil"/>
            </w:tcBorders>
            <w:vAlign w:val="center"/>
          </w:tcPr>
          <w:p w14:paraId="3A031260" w14:textId="77777777" w:rsidR="00D2297E" w:rsidRPr="00C03B64" w:rsidRDefault="00D2297E" w:rsidP="007E1315">
            <w:pPr>
              <w:jc w:val="center"/>
            </w:pPr>
            <w:r w:rsidRPr="00DE500C">
              <w:rPr>
                <w:b/>
                <w:bCs/>
              </w:rPr>
              <w:lastRenderedPageBreak/>
              <w:t>Indicador</w:t>
            </w:r>
          </w:p>
        </w:tc>
        <w:tc>
          <w:tcPr>
            <w:tcW w:w="3162" w:type="dxa"/>
            <w:tcBorders>
              <w:top w:val="nil"/>
              <w:left w:val="nil"/>
              <w:bottom w:val="single" w:sz="4" w:space="0" w:color="auto"/>
              <w:right w:val="nil"/>
            </w:tcBorders>
            <w:vAlign w:val="center"/>
          </w:tcPr>
          <w:p w14:paraId="22E4B2C9"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3AAB8E8E" w14:textId="77777777" w:rsidR="00D2297E" w:rsidRPr="00C03B64" w:rsidRDefault="00D2297E" w:rsidP="007E1315">
            <w:pPr>
              <w:jc w:val="center"/>
            </w:pPr>
            <w:r w:rsidRPr="00DE500C">
              <w:rPr>
                <w:b/>
                <w:bCs/>
              </w:rPr>
              <w:t>Descripción corta</w:t>
            </w:r>
          </w:p>
        </w:tc>
      </w:tr>
      <w:tr w:rsidR="00D2297E" w:rsidRPr="00C03B64" w14:paraId="23227708" w14:textId="77777777" w:rsidTr="007E1315">
        <w:tc>
          <w:tcPr>
            <w:tcW w:w="3162" w:type="dxa"/>
            <w:tcBorders>
              <w:top w:val="single" w:sz="4" w:space="0" w:color="auto"/>
            </w:tcBorders>
            <w:vAlign w:val="center"/>
          </w:tcPr>
          <w:p w14:paraId="2F6DBF3D" w14:textId="5951A4F3" w:rsidR="00D2297E" w:rsidRPr="00C03B64" w:rsidRDefault="00BB22ED" w:rsidP="007E1315">
            <w:pPr>
              <w:spacing w:before="0"/>
              <w:jc w:val="left"/>
            </w:pPr>
            <w:r w:rsidRPr="00BB22ED">
              <w:t>Porcentaje de padres con competencias para el desarrollo de sus NN de 0 a 6 años para el desarrollo de la primera infancia</w:t>
            </w:r>
          </w:p>
        </w:tc>
        <w:tc>
          <w:tcPr>
            <w:tcW w:w="3162" w:type="dxa"/>
            <w:tcBorders>
              <w:top w:val="single" w:sz="4" w:space="0" w:color="auto"/>
            </w:tcBorders>
            <w:vAlign w:val="center"/>
          </w:tcPr>
          <w:p w14:paraId="204E62F3" w14:textId="3FF9A111" w:rsidR="00D2297E" w:rsidRPr="00C03B64" w:rsidRDefault="006F0546" w:rsidP="007E1315">
            <w:pPr>
              <w:spacing w:before="0"/>
              <w:jc w:val="center"/>
            </w:pPr>
            <w:r>
              <w:t>EHU</w:t>
            </w:r>
          </w:p>
        </w:tc>
        <w:tc>
          <w:tcPr>
            <w:tcW w:w="3163" w:type="dxa"/>
            <w:tcBorders>
              <w:top w:val="single" w:sz="4" w:space="0" w:color="auto"/>
            </w:tcBorders>
            <w:vAlign w:val="center"/>
          </w:tcPr>
          <w:p w14:paraId="7A36CB4E" w14:textId="49C2163C" w:rsidR="00D2297E" w:rsidRPr="00C03B64" w:rsidRDefault="00BB22ED" w:rsidP="007E1315">
            <w:pPr>
              <w:spacing w:before="0"/>
              <w:jc w:val="left"/>
            </w:pPr>
            <w:r w:rsidRPr="00BB22ED">
              <w:t>Padres con competencias</w:t>
            </w:r>
          </w:p>
        </w:tc>
      </w:tr>
    </w:tbl>
    <w:p w14:paraId="3B229D8E" w14:textId="3208A788" w:rsidR="00D2297E" w:rsidRDefault="006F0546" w:rsidP="006F0546">
      <w:r>
        <w:t>Este indicador indaga por las competencias de las madres, los padres y/o cuidadores. Se consideran cuatro competencias y c</w:t>
      </w:r>
      <w:r>
        <w:t>ada competencia consta de 4 ítems, de los cuales el/la informante, debe responder acertadamente al menos a 2.</w:t>
      </w:r>
      <w:r>
        <w:t xml:space="preserve"> </w:t>
      </w:r>
      <w:r>
        <w:t>Cada ítem se eval</w:t>
      </w:r>
      <w:r>
        <w:t>ú</w:t>
      </w:r>
      <w:r>
        <w:t xml:space="preserve">a en una escala que va de 1 a 4. Para que un ítem sea respondido acertadamente, el valor evaluado de la escala debe ser 3 </w:t>
      </w:r>
      <w:proofErr w:type="spellStart"/>
      <w:r>
        <w:t>ó</w:t>
      </w:r>
      <w:proofErr w:type="spellEnd"/>
      <w:r>
        <w:t xml:space="preserve"> 4. </w:t>
      </w:r>
      <w:r>
        <w:t>Los t</w:t>
      </w:r>
      <w:r>
        <w:t>ipos de competencias</w:t>
      </w:r>
      <w:r>
        <w:t xml:space="preserve"> son: </w:t>
      </w:r>
      <w:r>
        <w:t xml:space="preserve">1. </w:t>
      </w:r>
      <w:r w:rsidRPr="006F0546">
        <w:rPr>
          <w:i/>
          <w:iCs/>
        </w:rPr>
        <w:t>Competencia parental vincular</w:t>
      </w:r>
      <w:r>
        <w:t>, comprendida como el conjunto de conocimientos, habilidades y prácticas cotidianas de parentalidad y crianza dirigidas a promover un estilo de apego seguro y un adecuado desarrollo socioemocional en los niños y niñas</w:t>
      </w:r>
      <w:r>
        <w:t xml:space="preserve">; </w:t>
      </w:r>
      <w:r>
        <w:t xml:space="preserve">2. </w:t>
      </w:r>
      <w:r w:rsidRPr="006F0546">
        <w:rPr>
          <w:i/>
          <w:iCs/>
        </w:rPr>
        <w:t>Competencia parental formativa</w:t>
      </w:r>
      <w:r>
        <w:t>, se define como el conjunto de conocimientos, habilidades y prácticas cotidianas de parentalidad y crianza dirigidas a favorecer el desarrollo, aprendizaje y socialización de los niños y niñas</w:t>
      </w:r>
      <w:r>
        <w:t xml:space="preserve">; </w:t>
      </w:r>
      <w:r>
        <w:t xml:space="preserve">3. </w:t>
      </w:r>
      <w:r w:rsidRPr="006F0546">
        <w:rPr>
          <w:i/>
          <w:iCs/>
        </w:rPr>
        <w:t>Competencia parental protectora</w:t>
      </w:r>
      <w:r>
        <w:t>, entendida como el conjunto de conocimientos, habilidades y prácticas cotidianas de parentalidad y crianza dirigidas a cuidar y proteger adecuadamente a los niños y niñas, resguardando sus necesidades de desarrollo humano, garantizando sus derechos y favoreciendo su integridad física, emocional y sexual</w:t>
      </w:r>
      <w:r>
        <w:t xml:space="preserve">; y </w:t>
      </w:r>
      <w:r>
        <w:t xml:space="preserve">4. </w:t>
      </w:r>
      <w:r w:rsidRPr="006F0546">
        <w:rPr>
          <w:i/>
          <w:iCs/>
        </w:rPr>
        <w:t>Competencia parental reflexiva</w:t>
      </w:r>
      <w:r>
        <w:t>, concebida como el conjunto de conocimientos, habilidades y prácticas cotidianas de parentalidad y crianza que permiten pensar acerca de las influencias y trayectorias de la propia parentalidad, monitorear las prácticas parentales actuales y evaluar el curso del desarrollo del hijo/a, con la finalidad de retroalimentar las otras áreas de competencia parenta</w:t>
      </w:r>
      <w:r>
        <w:t xml:space="preserve">l </w:t>
      </w:r>
      <w:sdt>
        <w:sdtPr>
          <w:id w:val="1925606339"/>
          <w:citation/>
        </w:sdtPr>
        <w:sdtContent>
          <w:r>
            <w:fldChar w:fldCharType="begin"/>
          </w:r>
          <w:r>
            <w:rPr>
              <w:lang w:val="es-ES"/>
            </w:rPr>
            <w:instrText xml:space="preserve"> CITATION ANE19 \l 3082 </w:instrText>
          </w:r>
          <w:r>
            <w:fldChar w:fldCharType="separate"/>
          </w:r>
          <w:r>
            <w:rPr>
              <w:noProof/>
              <w:lang w:val="es-ES"/>
            </w:rPr>
            <w:t>(ANED Consultores, 2019)</w:t>
          </w:r>
          <w:r>
            <w:fldChar w:fldCharType="end"/>
          </w:r>
        </w:sdtContent>
      </w:sdt>
      <w:r>
        <w:t>.</w:t>
      </w:r>
    </w:p>
    <w:tbl>
      <w:tblPr>
        <w:tblStyle w:val="Tablaconcuadrcula"/>
        <w:tblW w:w="0" w:type="auto"/>
        <w:tblLook w:val="04A0" w:firstRow="1" w:lastRow="0" w:firstColumn="1" w:lastColumn="0" w:noHBand="0" w:noVBand="1"/>
      </w:tblPr>
      <w:tblGrid>
        <w:gridCol w:w="3162"/>
        <w:gridCol w:w="3162"/>
        <w:gridCol w:w="3163"/>
      </w:tblGrid>
      <w:tr w:rsidR="00D2297E" w:rsidRPr="00C03B64" w14:paraId="629BFF7A" w14:textId="77777777" w:rsidTr="007E1315">
        <w:tc>
          <w:tcPr>
            <w:tcW w:w="3162" w:type="dxa"/>
            <w:tcBorders>
              <w:top w:val="nil"/>
              <w:left w:val="nil"/>
              <w:bottom w:val="single" w:sz="4" w:space="0" w:color="auto"/>
              <w:right w:val="nil"/>
            </w:tcBorders>
            <w:vAlign w:val="center"/>
          </w:tcPr>
          <w:p w14:paraId="0BD0F79E"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6AB81534"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33125D8F" w14:textId="77777777" w:rsidR="00D2297E" w:rsidRPr="00C03B64" w:rsidRDefault="00D2297E" w:rsidP="007E1315">
            <w:pPr>
              <w:jc w:val="center"/>
            </w:pPr>
            <w:r w:rsidRPr="00DE500C">
              <w:rPr>
                <w:b/>
                <w:bCs/>
              </w:rPr>
              <w:t>Descripción corta</w:t>
            </w:r>
          </w:p>
        </w:tc>
      </w:tr>
      <w:tr w:rsidR="00D2297E" w:rsidRPr="00C03B64" w14:paraId="5F9CF372" w14:textId="77777777" w:rsidTr="007E1315">
        <w:tc>
          <w:tcPr>
            <w:tcW w:w="3162" w:type="dxa"/>
            <w:tcBorders>
              <w:top w:val="single" w:sz="4" w:space="0" w:color="auto"/>
            </w:tcBorders>
            <w:vAlign w:val="center"/>
          </w:tcPr>
          <w:p w14:paraId="15A4E4EF" w14:textId="12B9F40C" w:rsidR="00D2297E" w:rsidRPr="00C03B64" w:rsidRDefault="00BB22ED" w:rsidP="007E1315">
            <w:pPr>
              <w:spacing w:before="0"/>
              <w:jc w:val="left"/>
            </w:pPr>
            <w:r w:rsidRPr="00BB22ED">
              <w:t xml:space="preserve">Porcentaje de personas mayores de 15 años que participaron en </w:t>
            </w:r>
            <w:proofErr w:type="spellStart"/>
            <w:r w:rsidRPr="00BB22ED">
              <w:t>mas</w:t>
            </w:r>
            <w:proofErr w:type="spellEnd"/>
            <w:r w:rsidRPr="00BB22ED">
              <w:t xml:space="preserve"> de una actividad de educación temprana (NM36-59)</w:t>
            </w:r>
          </w:p>
        </w:tc>
        <w:tc>
          <w:tcPr>
            <w:tcW w:w="3162" w:type="dxa"/>
            <w:tcBorders>
              <w:top w:val="single" w:sz="4" w:space="0" w:color="auto"/>
            </w:tcBorders>
            <w:vAlign w:val="center"/>
          </w:tcPr>
          <w:p w14:paraId="71EF50BB" w14:textId="185E7B6E" w:rsidR="00D2297E" w:rsidRPr="00C03B64" w:rsidRDefault="006F0546" w:rsidP="007E1315">
            <w:pPr>
              <w:spacing w:before="0"/>
              <w:jc w:val="center"/>
            </w:pPr>
            <w:r>
              <w:t>ENDESA</w:t>
            </w:r>
          </w:p>
        </w:tc>
        <w:tc>
          <w:tcPr>
            <w:tcW w:w="3163" w:type="dxa"/>
            <w:tcBorders>
              <w:top w:val="single" w:sz="4" w:space="0" w:color="auto"/>
            </w:tcBorders>
            <w:vAlign w:val="center"/>
          </w:tcPr>
          <w:p w14:paraId="04F900B6" w14:textId="17F87EF1" w:rsidR="00D2297E" w:rsidRPr="00C03B64" w:rsidRDefault="00BB22ED" w:rsidP="007E1315">
            <w:pPr>
              <w:spacing w:before="0"/>
              <w:jc w:val="left"/>
            </w:pPr>
            <w:r w:rsidRPr="00BB22ED">
              <w:t>Participación adultos en educación temprana</w:t>
            </w:r>
          </w:p>
        </w:tc>
      </w:tr>
    </w:tbl>
    <w:p w14:paraId="55B13F29" w14:textId="239C3932" w:rsidR="00D2297E" w:rsidRDefault="006F0546" w:rsidP="00D90446">
      <w:r>
        <w:t>Este indicador es el espejo del presentado en atención integral relacionado con educación temprana, ya que en este se indaga por el porcentaje de adultos que participaron en actividades de educación temprana con niños o niñas entre 36 y 59 meses, estas actividades son: leer libros, contar cuentos, cantar canciones, llevar a pasear, jugar y/o dibujar cosas.</w:t>
      </w:r>
    </w:p>
    <w:tbl>
      <w:tblPr>
        <w:tblStyle w:val="Tablaconcuadrcula"/>
        <w:tblW w:w="0" w:type="auto"/>
        <w:tblLook w:val="04A0" w:firstRow="1" w:lastRow="0" w:firstColumn="1" w:lastColumn="0" w:noHBand="0" w:noVBand="1"/>
      </w:tblPr>
      <w:tblGrid>
        <w:gridCol w:w="3162"/>
        <w:gridCol w:w="3162"/>
        <w:gridCol w:w="3163"/>
      </w:tblGrid>
      <w:tr w:rsidR="00D2297E" w:rsidRPr="00C03B64" w14:paraId="6C455B6C" w14:textId="77777777" w:rsidTr="007E1315">
        <w:tc>
          <w:tcPr>
            <w:tcW w:w="3162" w:type="dxa"/>
            <w:tcBorders>
              <w:top w:val="nil"/>
              <w:left w:val="nil"/>
              <w:bottom w:val="single" w:sz="4" w:space="0" w:color="auto"/>
              <w:right w:val="nil"/>
            </w:tcBorders>
            <w:vAlign w:val="center"/>
          </w:tcPr>
          <w:p w14:paraId="21132AF2"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77633F88"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35893865" w14:textId="77777777" w:rsidR="00D2297E" w:rsidRPr="00C03B64" w:rsidRDefault="00D2297E" w:rsidP="007E1315">
            <w:pPr>
              <w:jc w:val="center"/>
            </w:pPr>
            <w:r w:rsidRPr="00DE500C">
              <w:rPr>
                <w:b/>
                <w:bCs/>
              </w:rPr>
              <w:t>Descripción corta</w:t>
            </w:r>
          </w:p>
        </w:tc>
      </w:tr>
      <w:tr w:rsidR="00D2297E" w:rsidRPr="00C03B64" w14:paraId="3D4B4375" w14:textId="77777777" w:rsidTr="007E1315">
        <w:tc>
          <w:tcPr>
            <w:tcW w:w="3162" w:type="dxa"/>
            <w:tcBorders>
              <w:top w:val="single" w:sz="4" w:space="0" w:color="auto"/>
            </w:tcBorders>
            <w:vAlign w:val="center"/>
          </w:tcPr>
          <w:p w14:paraId="3BD12B2E" w14:textId="4C4D6E5F" w:rsidR="00D2297E" w:rsidRPr="00C03B64" w:rsidRDefault="00BB22ED" w:rsidP="007E1315">
            <w:pPr>
              <w:spacing w:before="0"/>
              <w:jc w:val="left"/>
            </w:pPr>
            <w:r w:rsidRPr="00BB22ED">
              <w:lastRenderedPageBreak/>
              <w:t xml:space="preserve">Porcentaje de padres (hombres) que participaron en </w:t>
            </w:r>
            <w:proofErr w:type="spellStart"/>
            <w:r w:rsidRPr="00BB22ED">
              <w:t>mas</w:t>
            </w:r>
            <w:proofErr w:type="spellEnd"/>
            <w:r w:rsidRPr="00BB22ED">
              <w:t xml:space="preserve"> de una actividad de educación temprana (NM36-59)</w:t>
            </w:r>
          </w:p>
        </w:tc>
        <w:tc>
          <w:tcPr>
            <w:tcW w:w="3162" w:type="dxa"/>
            <w:tcBorders>
              <w:top w:val="single" w:sz="4" w:space="0" w:color="auto"/>
            </w:tcBorders>
            <w:vAlign w:val="center"/>
          </w:tcPr>
          <w:p w14:paraId="627261BF" w14:textId="14A9A9F8" w:rsidR="00D2297E" w:rsidRPr="00C03B64" w:rsidRDefault="004F742F" w:rsidP="007E1315">
            <w:pPr>
              <w:spacing w:before="0"/>
              <w:jc w:val="center"/>
            </w:pPr>
            <w:r>
              <w:t>ENDESA</w:t>
            </w:r>
          </w:p>
        </w:tc>
        <w:tc>
          <w:tcPr>
            <w:tcW w:w="3163" w:type="dxa"/>
            <w:tcBorders>
              <w:top w:val="single" w:sz="4" w:space="0" w:color="auto"/>
            </w:tcBorders>
            <w:vAlign w:val="center"/>
          </w:tcPr>
          <w:p w14:paraId="591CB4A7" w14:textId="5DDAFECD" w:rsidR="00D2297E" w:rsidRPr="00C03B64" w:rsidRDefault="00BB22ED" w:rsidP="007E1315">
            <w:pPr>
              <w:spacing w:before="0"/>
              <w:jc w:val="left"/>
            </w:pPr>
            <w:proofErr w:type="gramStart"/>
            <w:r w:rsidRPr="00BB22ED">
              <w:t>Participación padres</w:t>
            </w:r>
            <w:proofErr w:type="gramEnd"/>
            <w:r w:rsidRPr="00BB22ED">
              <w:t xml:space="preserve"> en educación temprana</w:t>
            </w:r>
          </w:p>
        </w:tc>
      </w:tr>
    </w:tbl>
    <w:p w14:paraId="2A33D22F" w14:textId="07D93E79" w:rsidR="00D2297E" w:rsidRDefault="006F0546" w:rsidP="00D90446">
      <w:r>
        <w:t>Este indicador mantiene el espíritu del anterior, pero se concentra únicamente en los padres (hombres) que realizaron estas actividades de educación temprana.</w:t>
      </w:r>
    </w:p>
    <w:tbl>
      <w:tblPr>
        <w:tblStyle w:val="Tablaconcuadrcula"/>
        <w:tblW w:w="0" w:type="auto"/>
        <w:tblLook w:val="04A0" w:firstRow="1" w:lastRow="0" w:firstColumn="1" w:lastColumn="0" w:noHBand="0" w:noVBand="1"/>
      </w:tblPr>
      <w:tblGrid>
        <w:gridCol w:w="3162"/>
        <w:gridCol w:w="3162"/>
        <w:gridCol w:w="3163"/>
      </w:tblGrid>
      <w:tr w:rsidR="00D2297E" w:rsidRPr="00C03B64" w14:paraId="443DD6C7" w14:textId="77777777" w:rsidTr="007E1315">
        <w:tc>
          <w:tcPr>
            <w:tcW w:w="3162" w:type="dxa"/>
            <w:tcBorders>
              <w:top w:val="nil"/>
              <w:left w:val="nil"/>
              <w:bottom w:val="single" w:sz="4" w:space="0" w:color="auto"/>
              <w:right w:val="nil"/>
            </w:tcBorders>
            <w:vAlign w:val="center"/>
          </w:tcPr>
          <w:p w14:paraId="3724BF4D"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17CBC3AB"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7F1E30AA" w14:textId="77777777" w:rsidR="00D2297E" w:rsidRPr="00C03B64" w:rsidRDefault="00D2297E" w:rsidP="007E1315">
            <w:pPr>
              <w:jc w:val="center"/>
            </w:pPr>
            <w:r w:rsidRPr="00DE500C">
              <w:rPr>
                <w:b/>
                <w:bCs/>
              </w:rPr>
              <w:t>Descripción corta</w:t>
            </w:r>
          </w:p>
        </w:tc>
      </w:tr>
      <w:tr w:rsidR="00D2297E" w:rsidRPr="00C03B64" w14:paraId="6C373C45" w14:textId="77777777" w:rsidTr="007E1315">
        <w:tc>
          <w:tcPr>
            <w:tcW w:w="3162" w:type="dxa"/>
            <w:tcBorders>
              <w:top w:val="single" w:sz="4" w:space="0" w:color="auto"/>
            </w:tcBorders>
            <w:vAlign w:val="center"/>
          </w:tcPr>
          <w:p w14:paraId="13657539" w14:textId="1506184C" w:rsidR="00D2297E" w:rsidRPr="00C03B64" w:rsidRDefault="00BB22ED" w:rsidP="007E1315">
            <w:pPr>
              <w:spacing w:before="0"/>
              <w:jc w:val="left"/>
            </w:pPr>
            <w:r w:rsidRPr="00BB22ED">
              <w:t>Porcentaje de padres y madres de NN menores de 6 años con estereotipos por razones de género</w:t>
            </w:r>
          </w:p>
        </w:tc>
        <w:tc>
          <w:tcPr>
            <w:tcW w:w="3162" w:type="dxa"/>
            <w:tcBorders>
              <w:top w:val="single" w:sz="4" w:space="0" w:color="auto"/>
            </w:tcBorders>
            <w:vAlign w:val="center"/>
          </w:tcPr>
          <w:p w14:paraId="364ED8E2" w14:textId="0044DDD0" w:rsidR="00D2297E" w:rsidRPr="00C03B64" w:rsidRDefault="004F742F" w:rsidP="007E1315">
            <w:pPr>
              <w:spacing w:before="0"/>
              <w:jc w:val="center"/>
            </w:pPr>
            <w:r>
              <w:t>EHU</w:t>
            </w:r>
          </w:p>
        </w:tc>
        <w:tc>
          <w:tcPr>
            <w:tcW w:w="3163" w:type="dxa"/>
            <w:tcBorders>
              <w:top w:val="single" w:sz="4" w:space="0" w:color="auto"/>
            </w:tcBorders>
            <w:vAlign w:val="center"/>
          </w:tcPr>
          <w:p w14:paraId="09E33364" w14:textId="62A2F3B9" w:rsidR="00D2297E" w:rsidRPr="00C03B64" w:rsidRDefault="00BB22ED" w:rsidP="007E1315">
            <w:pPr>
              <w:spacing w:before="0"/>
              <w:jc w:val="left"/>
            </w:pPr>
            <w:r w:rsidRPr="00BB22ED">
              <w:t>Estereotipos de género</w:t>
            </w:r>
          </w:p>
        </w:tc>
      </w:tr>
    </w:tbl>
    <w:p w14:paraId="26A5867A" w14:textId="772FFDCA" w:rsidR="00D2297E" w:rsidRDefault="004F742F" w:rsidP="00D90446">
      <w:r>
        <w:t xml:space="preserve">Por último, los últimos indicadores indagan sobre los estereotipos por razones de género con los que cuentan los padres de los niños y niñas menores de seis años. Este </w:t>
      </w:r>
      <w:r w:rsidR="00DB6B9B">
        <w:t>indicador identifica si el padre cuenta con por lo menos un estereotipo de género si realiza alguna de las siguientes prácticas: viste con colores rosa a la niña y con azul a el niño, considera que las niñas solo pueden jugar con muñecas y los niños con pelotas y carritos, prohíbe que el niño llore o prohíbe que la niña juegue con niños y viceversa.</w:t>
      </w:r>
    </w:p>
    <w:tbl>
      <w:tblPr>
        <w:tblStyle w:val="Tablaconcuadrcula"/>
        <w:tblW w:w="0" w:type="auto"/>
        <w:tblLook w:val="04A0" w:firstRow="1" w:lastRow="0" w:firstColumn="1" w:lastColumn="0" w:noHBand="0" w:noVBand="1"/>
      </w:tblPr>
      <w:tblGrid>
        <w:gridCol w:w="3162"/>
        <w:gridCol w:w="3162"/>
        <w:gridCol w:w="3163"/>
      </w:tblGrid>
      <w:tr w:rsidR="00D2297E" w:rsidRPr="00C03B64" w14:paraId="36DD38CA" w14:textId="77777777" w:rsidTr="007E1315">
        <w:tc>
          <w:tcPr>
            <w:tcW w:w="3162" w:type="dxa"/>
            <w:tcBorders>
              <w:top w:val="nil"/>
              <w:left w:val="nil"/>
              <w:bottom w:val="single" w:sz="4" w:space="0" w:color="auto"/>
              <w:right w:val="nil"/>
            </w:tcBorders>
            <w:vAlign w:val="center"/>
          </w:tcPr>
          <w:p w14:paraId="5AA1FC4B" w14:textId="77777777" w:rsidR="00D2297E" w:rsidRPr="00C03B64" w:rsidRDefault="00D2297E" w:rsidP="007E1315">
            <w:pPr>
              <w:jc w:val="center"/>
            </w:pPr>
            <w:r w:rsidRPr="00DE500C">
              <w:rPr>
                <w:b/>
                <w:bCs/>
              </w:rPr>
              <w:t>Indicador</w:t>
            </w:r>
          </w:p>
        </w:tc>
        <w:tc>
          <w:tcPr>
            <w:tcW w:w="3162" w:type="dxa"/>
            <w:tcBorders>
              <w:top w:val="nil"/>
              <w:left w:val="nil"/>
              <w:bottom w:val="single" w:sz="4" w:space="0" w:color="auto"/>
              <w:right w:val="nil"/>
            </w:tcBorders>
            <w:vAlign w:val="center"/>
          </w:tcPr>
          <w:p w14:paraId="1358C2DC" w14:textId="77777777" w:rsidR="00D2297E" w:rsidRDefault="00D2297E" w:rsidP="007E1315">
            <w:pPr>
              <w:jc w:val="center"/>
            </w:pPr>
            <w:r w:rsidRPr="00DE500C">
              <w:rPr>
                <w:b/>
                <w:bCs/>
              </w:rPr>
              <w:t>Fuente</w:t>
            </w:r>
          </w:p>
        </w:tc>
        <w:tc>
          <w:tcPr>
            <w:tcW w:w="3163" w:type="dxa"/>
            <w:tcBorders>
              <w:top w:val="nil"/>
              <w:left w:val="nil"/>
              <w:bottom w:val="single" w:sz="4" w:space="0" w:color="auto"/>
              <w:right w:val="nil"/>
            </w:tcBorders>
            <w:vAlign w:val="center"/>
          </w:tcPr>
          <w:p w14:paraId="4F381DD4" w14:textId="77777777" w:rsidR="00D2297E" w:rsidRPr="00C03B64" w:rsidRDefault="00D2297E" w:rsidP="007E1315">
            <w:pPr>
              <w:jc w:val="center"/>
            </w:pPr>
            <w:r w:rsidRPr="00DE500C">
              <w:rPr>
                <w:b/>
                <w:bCs/>
              </w:rPr>
              <w:t>Descripción corta</w:t>
            </w:r>
          </w:p>
        </w:tc>
      </w:tr>
      <w:tr w:rsidR="00D2297E" w:rsidRPr="00C03B64" w14:paraId="30C916E3" w14:textId="77777777" w:rsidTr="007E1315">
        <w:tc>
          <w:tcPr>
            <w:tcW w:w="3162" w:type="dxa"/>
            <w:tcBorders>
              <w:top w:val="single" w:sz="4" w:space="0" w:color="auto"/>
            </w:tcBorders>
            <w:vAlign w:val="center"/>
          </w:tcPr>
          <w:p w14:paraId="5FD87100" w14:textId="17B1D108" w:rsidR="00D2297E" w:rsidRPr="00C03B64" w:rsidRDefault="00BB22ED" w:rsidP="007E1315">
            <w:pPr>
              <w:spacing w:before="0"/>
              <w:jc w:val="left"/>
            </w:pPr>
            <w:r w:rsidRPr="00BB22ED">
              <w:t>(1) Porcentaje de padres y madres de NN menores de 6 años con todos los estereotipos por razones de género</w:t>
            </w:r>
          </w:p>
        </w:tc>
        <w:tc>
          <w:tcPr>
            <w:tcW w:w="3162" w:type="dxa"/>
            <w:tcBorders>
              <w:top w:val="single" w:sz="4" w:space="0" w:color="auto"/>
            </w:tcBorders>
            <w:vAlign w:val="center"/>
          </w:tcPr>
          <w:p w14:paraId="0D74021E" w14:textId="4218D38B" w:rsidR="00D2297E" w:rsidRPr="00C03B64" w:rsidRDefault="004F742F" w:rsidP="007E1315">
            <w:pPr>
              <w:spacing w:before="0"/>
              <w:jc w:val="center"/>
            </w:pPr>
            <w:r>
              <w:t>EHU</w:t>
            </w:r>
          </w:p>
        </w:tc>
        <w:tc>
          <w:tcPr>
            <w:tcW w:w="3163" w:type="dxa"/>
            <w:tcBorders>
              <w:top w:val="single" w:sz="4" w:space="0" w:color="auto"/>
            </w:tcBorders>
            <w:vAlign w:val="center"/>
          </w:tcPr>
          <w:p w14:paraId="3681E8B4" w14:textId="2968E9F0" w:rsidR="00D2297E" w:rsidRPr="00C03B64" w:rsidRDefault="00BB22ED" w:rsidP="007E1315">
            <w:pPr>
              <w:spacing w:before="0"/>
              <w:jc w:val="left"/>
            </w:pPr>
            <w:r w:rsidRPr="00BB22ED">
              <w:t>Estereotipos de género (grave)</w:t>
            </w:r>
          </w:p>
        </w:tc>
      </w:tr>
    </w:tbl>
    <w:p w14:paraId="6C6ADCB5" w14:textId="0CE2896B" w:rsidR="00D2297E" w:rsidRPr="00C03B64" w:rsidRDefault="00DB6B9B" w:rsidP="00D90446">
      <w:r>
        <w:t>Este último indicador es una versión más estricta del anterior, en donde se identifica que el padre o la madre realiza todas las prácticas mencionadas anteriormente.</w:t>
      </w:r>
    </w:p>
    <w:p w14:paraId="7AEA51D1" w14:textId="77777777" w:rsidR="00801559" w:rsidRPr="00C03B64" w:rsidRDefault="00801559" w:rsidP="00801559">
      <w:pPr>
        <w:pStyle w:val="Ttulo1"/>
      </w:pPr>
      <w:bookmarkStart w:id="5" w:name="_Toc56880610"/>
      <w:bookmarkEnd w:id="5"/>
    </w:p>
    <w:p w14:paraId="0A51ACED" w14:textId="30575FF0" w:rsidR="00801559" w:rsidRPr="00C03B64" w:rsidRDefault="00D5114C" w:rsidP="00801559">
      <w:pPr>
        <w:pStyle w:val="Titulocaptulo-Econometra"/>
      </w:pPr>
      <w:r w:rsidRPr="00C03B64">
        <w:t>Criterios de validez estadística</w:t>
      </w:r>
    </w:p>
    <w:p w14:paraId="4DA1AC1B" w14:textId="4FDA1D88" w:rsidR="00883E9F" w:rsidRPr="00E603AA" w:rsidRDefault="00883E9F" w:rsidP="00883E9F">
      <w:pPr>
        <w:rPr>
          <w:rFonts w:asciiTheme="minorHAnsi" w:hAnsiTheme="minorHAnsi"/>
        </w:rPr>
      </w:pPr>
      <w:r>
        <w:t xml:space="preserve">Como se presentó en el capítulo anterior, son varios los indicadores que se calculan a partir de fuentes de información secundaria, sin embargo, estas no fueron diseñadas para cumplir los criterios estadísticos entre las desagregaciones consideradas para el análisis realizado. Es por esto </w:t>
      </w:r>
      <w:proofErr w:type="gramStart"/>
      <w:r>
        <w:t>que</w:t>
      </w:r>
      <w:proofErr w:type="gramEnd"/>
      <w:r>
        <w:t xml:space="preserve"> resulta crucial definir los criterios estadísticos bajo los cuales se va a reconocer la validez </w:t>
      </w:r>
      <w:r>
        <w:lastRenderedPageBreak/>
        <w:t>del indicador calculado. Es importante tener claro que los referentes para determinar si una estimación tiene validez inferencial son: el coeficiente de variación estimado (CVE), el error estándar (EE), el intervalo de confianza y el número de observaciones relacionadas con la estimación de la varianza asociadas a la estimación puntual, sobre estos puntos se definieron los siguientes criterios:</w:t>
      </w:r>
    </w:p>
    <w:p w14:paraId="4E546641" w14:textId="77777777" w:rsidR="00883E9F" w:rsidRDefault="00883E9F" w:rsidP="00883E9F">
      <w:pPr>
        <w:pStyle w:val="Prrafodelista"/>
        <w:numPr>
          <w:ilvl w:val="0"/>
          <w:numId w:val="32"/>
        </w:numPr>
        <w:ind w:left="720"/>
      </w:pPr>
      <w:r w:rsidRPr="2156280C">
        <w:t>En el caso de estimaciones de totales, promedios y proporciones mayores al 10 %, se tiene en cuenta el CVE. Ahora, para proporciones menores del 10% se considera el EE para determinar la validez inferencial de la estimación.</w:t>
      </w:r>
    </w:p>
    <w:p w14:paraId="16E3B710" w14:textId="0AAED3F1" w:rsidR="00883E9F" w:rsidRDefault="00883E9F" w:rsidP="00883E9F">
      <w:pPr>
        <w:pStyle w:val="Prrafodelista"/>
        <w:numPr>
          <w:ilvl w:val="0"/>
          <w:numId w:val="32"/>
        </w:numPr>
        <w:ind w:left="720"/>
      </w:pPr>
      <w:r w:rsidRPr="2156280C">
        <w:t xml:space="preserve">Los márgenes de calidad para el CVE relacionados con estimaciones precisas de totales, promedios y proporciones mayores al 10%, teniendo en cuenta el criterio de </w:t>
      </w:r>
      <w:r>
        <w:t>Unicef</w:t>
      </w:r>
      <w:r w:rsidRPr="2156280C">
        <w:t xml:space="preserve">, son: &lt; 2.5 % Excelente; 2.6 % - 5 % Muy buena; 5.1 % - 10 % Aceptable y 10.1 % - 15 % Regular. En caso contrario (CVE &gt; 15 %), </w:t>
      </w:r>
      <w:r>
        <w:t>el resultado no cuenta con validez inferencial</w:t>
      </w:r>
      <w:r w:rsidRPr="2156280C">
        <w:t>.</w:t>
      </w:r>
    </w:p>
    <w:p w14:paraId="38F2A66C" w14:textId="334EEE67" w:rsidR="00883E9F" w:rsidRDefault="00883E9F" w:rsidP="00883E9F">
      <w:pPr>
        <w:pStyle w:val="Prrafodelista"/>
        <w:numPr>
          <w:ilvl w:val="0"/>
          <w:numId w:val="32"/>
        </w:numPr>
        <w:ind w:left="720"/>
      </w:pPr>
      <w:r w:rsidRPr="2156280C">
        <w:t xml:space="preserve">Estimaciones tipo proporción menores o iguales al 10% se considerarán con calidad aceptable sí el EE es menor del 50% y en caso contrario (EE &gt; 50 %) </w:t>
      </w:r>
      <w:r>
        <w:t>el resultado no cuenta con validez inferencial</w:t>
      </w:r>
      <w:r w:rsidRPr="2156280C">
        <w:t>.</w:t>
      </w:r>
    </w:p>
    <w:p w14:paraId="4FE74D42" w14:textId="77777777" w:rsidR="00883E9F" w:rsidRDefault="00883E9F" w:rsidP="00883E9F">
      <w:pPr>
        <w:pStyle w:val="Prrafodelista"/>
        <w:numPr>
          <w:ilvl w:val="0"/>
          <w:numId w:val="32"/>
        </w:numPr>
        <w:ind w:left="720"/>
      </w:pPr>
      <w:r w:rsidRPr="2156280C">
        <w:t>Estimaciones puntuales logradas con menos del 10% de las observaciones se considerarán siempre imprecisas dado el tamaño insuficiente de muestra para inferir resultados a la población objetivo</w:t>
      </w:r>
      <w:r w:rsidRPr="00A5531C">
        <w:rPr>
          <w:vertAlign w:val="superscript"/>
        </w:rPr>
        <w:footnoteReference w:id="3"/>
      </w:r>
      <w:r w:rsidRPr="2156280C">
        <w:t>.</w:t>
      </w:r>
    </w:p>
    <w:p w14:paraId="778BB683" w14:textId="16A1AB4C" w:rsidR="00883E9F" w:rsidRDefault="00883E9F" w:rsidP="00883E9F">
      <w:pPr>
        <w:pStyle w:val="Prrafodelista"/>
        <w:numPr>
          <w:ilvl w:val="0"/>
          <w:numId w:val="32"/>
        </w:numPr>
        <w:ind w:left="720"/>
      </w:pPr>
      <w:r w:rsidRPr="2156280C">
        <w:t>Los intervalos de confianza se estimarán de manera asimétrica para los indicadores que sean proporciones.</w:t>
      </w:r>
    </w:p>
    <w:p w14:paraId="69E6A18F" w14:textId="757A9CE3" w:rsidR="00AA0326" w:rsidRDefault="00AA0326" w:rsidP="00AA0326">
      <w:r>
        <w:t xml:space="preserve">Para este último punto, es importante resaltar que la asimetría en los intervalos de confianza de los estimadores de proporción busca conservar los límites de esta entre 0% y 100%. Los estimadores de proporción representan probabilidades y su ocurrencia sigue una distribución binomial con media </w:t>
      </w:r>
      <w:r w:rsidRPr="00AA0326">
        <w:rPr>
          <w:i/>
          <w:iCs/>
        </w:rPr>
        <w:t>p</w:t>
      </w:r>
      <w:r>
        <w:t xml:space="preserve"> (la probabilidad del evento medido). La varianza de dicha probabilidad es </w:t>
      </w:r>
      <w:r w:rsidRPr="00AA0326">
        <w:rPr>
          <w:i/>
          <w:iCs/>
        </w:rPr>
        <w:t>p*(1-p)</w:t>
      </w:r>
      <w:r>
        <w:t xml:space="preserve">. Si </w:t>
      </w:r>
      <m:oMath>
        <m:acc>
          <m:accPr>
            <m:ctrlPr>
              <w:rPr>
                <w:rFonts w:ascii="Cambria Math" w:hAnsi="Cambria Math"/>
                <w:i/>
                <w:lang w:eastAsia="es-CO"/>
              </w:rPr>
            </m:ctrlPr>
          </m:accPr>
          <m:e>
            <m:r>
              <w:rPr>
                <w:rFonts w:ascii="Cambria Math" w:hAnsi="Cambria Math"/>
                <w:lang w:eastAsia="es-CO"/>
              </w:rPr>
              <m:t>p</m:t>
            </m:r>
          </m:e>
        </m:acc>
      </m:oMath>
      <w:r>
        <w:t xml:space="preserve"> es la proporci</w:t>
      </w:r>
      <w:r>
        <w:rPr>
          <w:rFonts w:cs="Garamond"/>
        </w:rPr>
        <w:t>ó</w:t>
      </w:r>
      <w:r>
        <w:t>n estimada, su error est</w:t>
      </w:r>
      <w:r>
        <w:rPr>
          <w:rFonts w:cs="Garamond"/>
        </w:rPr>
        <w:t>á</w:t>
      </w:r>
      <w:r>
        <w:t>ndar ser</w:t>
      </w:r>
      <w:r>
        <w:rPr>
          <w:rFonts w:cs="Garamond"/>
        </w:rPr>
        <w:t>á</w:t>
      </w:r>
      <w:r>
        <w:t xml:space="preserve"> </w:t>
      </w:r>
      <m:oMath>
        <m:acc>
          <m:accPr>
            <m:ctrlPr>
              <w:rPr>
                <w:rFonts w:ascii="Cambria Math" w:hAnsi="Cambria Math"/>
                <w:i/>
                <w:lang w:eastAsia="es-CO"/>
              </w:rPr>
            </m:ctrlPr>
          </m:accPr>
          <m:e>
            <m:r>
              <w:rPr>
                <w:rFonts w:ascii="Cambria Math" w:hAnsi="Cambria Math"/>
                <w:lang w:eastAsia="es-CO"/>
              </w:rPr>
              <m:t>s</m:t>
            </m:r>
          </m:e>
        </m:acc>
        <m:r>
          <w:rPr>
            <w:rFonts w:ascii="Cambria Math" w:hAnsi="Cambria Math"/>
            <w:lang w:eastAsia="es-CO"/>
          </w:rPr>
          <m:t>=</m:t>
        </m:r>
        <m:f>
          <m:fPr>
            <m:ctrlPr>
              <w:rPr>
                <w:rFonts w:ascii="Cambria Math" w:hAnsi="Cambria Math"/>
                <w:i/>
                <w:lang w:eastAsia="es-CO"/>
              </w:rPr>
            </m:ctrlPr>
          </m:fPr>
          <m:num>
            <m:r>
              <w:rPr>
                <w:rFonts w:ascii="Cambria Math" w:hAnsi="Cambria Math"/>
                <w:lang w:eastAsia="es-CO"/>
              </w:rPr>
              <m:t>p(1-p)</m:t>
            </m:r>
          </m:num>
          <m:den>
            <m:rad>
              <m:radPr>
                <m:degHide m:val="1"/>
                <m:ctrlPr>
                  <w:rPr>
                    <w:rFonts w:ascii="Cambria Math" w:hAnsi="Cambria Math"/>
                    <w:i/>
                    <w:lang w:eastAsia="es-CO"/>
                  </w:rPr>
                </m:ctrlPr>
              </m:radPr>
              <m:deg/>
              <m:e>
                <m:r>
                  <w:rPr>
                    <w:rFonts w:ascii="Cambria Math" w:hAnsi="Cambria Math"/>
                    <w:lang w:eastAsia="es-CO"/>
                  </w:rPr>
                  <m:t>n</m:t>
                </m:r>
              </m:e>
            </m:rad>
          </m:den>
        </m:f>
      </m:oMath>
      <w:r>
        <w:t xml:space="preserve"> donde </w:t>
      </w:r>
      <w:r w:rsidRPr="00AA0326">
        <w:rPr>
          <w:i/>
          <w:iCs/>
        </w:rPr>
        <w:t>n</w:t>
      </w:r>
      <w:r>
        <w:t xml:space="preserve"> es el tamaño de la muestra.</w:t>
      </w:r>
    </w:p>
    <w:p w14:paraId="459BDBAA" w14:textId="70FBD9FE" w:rsidR="00AF299B" w:rsidRDefault="00AA0326" w:rsidP="00AA0326">
      <w:r>
        <w:t xml:space="preserve">Se conoce que la transformación </w:t>
      </w:r>
      <m:oMath>
        <m:r>
          <w:rPr>
            <w:rFonts w:ascii="Cambria Math" w:hAnsi="Cambria Math"/>
            <w:lang w:eastAsia="es-CO"/>
          </w:rPr>
          <m:t>f=</m:t>
        </m:r>
        <m:func>
          <m:funcPr>
            <m:ctrlPr>
              <w:rPr>
                <w:rFonts w:ascii="Cambria Math" w:hAnsi="Cambria Math"/>
                <w:i/>
                <w:lang w:eastAsia="es-CO"/>
              </w:rPr>
            </m:ctrlPr>
          </m:funcPr>
          <m:fName>
            <m:r>
              <m:rPr>
                <m:sty m:val="p"/>
              </m:rPr>
              <w:rPr>
                <w:rFonts w:ascii="Cambria Math" w:hAnsi="Cambria Math"/>
                <w:lang w:eastAsia="es-CO"/>
              </w:rPr>
              <m:t>ln</m:t>
            </m:r>
          </m:fName>
          <m:e>
            <m:d>
              <m:dPr>
                <m:ctrlPr>
                  <w:rPr>
                    <w:rFonts w:ascii="Cambria Math" w:hAnsi="Cambria Math"/>
                    <w:i/>
                    <w:lang w:eastAsia="es-CO"/>
                  </w:rPr>
                </m:ctrlPr>
              </m:dPr>
              <m:e>
                <m:f>
                  <m:fPr>
                    <m:ctrlPr>
                      <w:rPr>
                        <w:rFonts w:ascii="Cambria Math" w:hAnsi="Cambria Math"/>
                        <w:i/>
                        <w:lang w:eastAsia="es-CO"/>
                      </w:rPr>
                    </m:ctrlPr>
                  </m:fPr>
                  <m:num>
                    <m:r>
                      <w:rPr>
                        <w:rFonts w:ascii="Cambria Math" w:hAnsi="Cambria Math"/>
                        <w:lang w:eastAsia="es-CO"/>
                      </w:rPr>
                      <m:t>p</m:t>
                    </m:r>
                  </m:num>
                  <m:den>
                    <m:r>
                      <w:rPr>
                        <w:rFonts w:ascii="Cambria Math" w:hAnsi="Cambria Math"/>
                        <w:lang w:eastAsia="es-CO"/>
                      </w:rPr>
                      <m:t>1-p</m:t>
                    </m:r>
                  </m:den>
                </m:f>
              </m:e>
            </m:d>
          </m:e>
        </m:func>
      </m:oMath>
      <w:r>
        <w:t xml:space="preserve"> sigue una densidad de distribuci</w:t>
      </w:r>
      <w:r>
        <w:rPr>
          <w:rFonts w:cs="Garamond"/>
        </w:rPr>
        <w:t>ó</w:t>
      </w:r>
      <w:r>
        <w:t>n acampanada y los valores de la transformaci</w:t>
      </w:r>
      <w:r>
        <w:rPr>
          <w:rFonts w:cs="Garamond"/>
        </w:rPr>
        <w:t>ó</w:t>
      </w:r>
      <w:r>
        <w:t>n son proporcionales a los de una variable normal. Stata 16 establece intervalos simétricos (t-</w:t>
      </w:r>
      <w:proofErr w:type="spellStart"/>
      <w:r>
        <w:t>student</w:t>
      </w:r>
      <w:proofErr w:type="spellEnd"/>
      <w:r>
        <w:t xml:space="preserve">) sobre dicha transformación y al aplicar la transformación inversa a los límites del intervalo obtenido se obtienen los límites para la proporción. Al realizar la transformación inversa para volver a un intervalo expresado en </w:t>
      </w:r>
      <w:r>
        <w:lastRenderedPageBreak/>
        <w:t>proporción, el intervalo se acorta asintóticamente al acercarse a los límites del 0% y del 100%. Así pues, estos límites solo son simétricos alrededor de una proporción de 0,5.</w:t>
      </w:r>
      <w:bookmarkStart w:id="6" w:name="_Toc56880617"/>
      <w:bookmarkEnd w:id="6"/>
    </w:p>
    <w:p w14:paraId="08E6E016" w14:textId="06A52F47" w:rsidR="00AA0326" w:rsidRDefault="00AA0326" w:rsidP="00AA0326">
      <w:r>
        <w:t xml:space="preserve">Los criterios mencionados aplican a los indicadores calculados con información de la ENDESA o la EHU, en lo referente a los indicadores que se obtienen con las Encuestas de Monitoreo y Seguimiento por medio de la metodología LQAS, son cálculos únicos y representativos del total de mancomunidades en las que se levantó la información y que están siendo intervenidas por el </w:t>
      </w:r>
      <w:proofErr w:type="spellStart"/>
      <w:r>
        <w:t>SCcA</w:t>
      </w:r>
      <w:proofErr w:type="spellEnd"/>
      <w:r>
        <w:t>. Al no contar con información al nivel de registro, no se pueden aplicar los criterios definidos en esta sección.</w:t>
      </w:r>
    </w:p>
    <w:p w14:paraId="0A137849" w14:textId="1DAC7E84" w:rsidR="00AA0326" w:rsidRPr="00C03B64" w:rsidRDefault="00AA0326" w:rsidP="00AA0326">
      <w:r>
        <w:t>En el siguiente capítulo, uso de la herramienta, se puede identificar que en cada una de las gráficas utilizadas existe un recuadro que permite identificar, a partir de los criterios definidos en este capítulo, si el resultado tiene inferencia estadística.</w:t>
      </w:r>
    </w:p>
    <w:p w14:paraId="5C84A4F6" w14:textId="77777777" w:rsidR="00AA0326" w:rsidRPr="00C03B64" w:rsidRDefault="00AA0326" w:rsidP="00AA0326">
      <w:pPr>
        <w:pStyle w:val="Ttulo1"/>
      </w:pPr>
    </w:p>
    <w:p w14:paraId="26FA644D" w14:textId="4D945A7B" w:rsidR="00D5114C" w:rsidRDefault="00AA0326" w:rsidP="00AA0326">
      <w:pPr>
        <w:pStyle w:val="Titulocaptulo-Econometra"/>
      </w:pPr>
      <w:r>
        <w:t>Uso de la herramienta</w:t>
      </w:r>
    </w:p>
    <w:p w14:paraId="4F600084" w14:textId="7E9F2407" w:rsidR="005307D6" w:rsidRDefault="003A22FD" w:rsidP="005307D6">
      <w:r>
        <w:t xml:space="preserve">La herramienta de Excel que captura todos los elementos mencionados en este manual se encuentra en el anexo 10.1, enviado junto a este documento. Es un libro que cuenta con cuatro hojas visibles, las cuales son: Contenido, Ficha, Ficha-ET y Vinculación con el Anexo 5 (IR). La primera hoja da un panorama general de la herramienta, explica en detalle el tipo de análisis que se realizo y describe en nivel de representatividad que manejan los resultados presentados. La segunda hoja es la parte central de la herramienta, en esta se presenta la información para cada indicador por medio de cinco módulos, en donde cada uno corresponde a un tipo de análisis en específico. La tercera hoja contiene información adicional del indicador desagregada por sexo y por etnia, entendida esta última como personas que se auto reconocen pertenecientes a alguna comunidad indígena. La última hoja, contiene la información detallada que vincula los indicadores propuestos desde el </w:t>
      </w:r>
      <w:proofErr w:type="spellStart"/>
      <w:r>
        <w:t>Inception</w:t>
      </w:r>
      <w:proofErr w:type="spellEnd"/>
      <w:r>
        <w:t xml:space="preserve"> </w:t>
      </w:r>
      <w:proofErr w:type="spellStart"/>
      <w:r>
        <w:t>Report</w:t>
      </w:r>
      <w:proofErr w:type="spellEnd"/>
      <w:r>
        <w:t xml:space="preserve"> y con los calculados; en esta matriz, se puede identificar también la relación década indicador con los componentes definidos en la teoría de cambio que se construyó en el marco de la presente consultoría.</w:t>
      </w:r>
    </w:p>
    <w:p w14:paraId="0D2312C2" w14:textId="54AF87E8" w:rsidR="003A22FD" w:rsidRDefault="000A0077" w:rsidP="005307D6">
      <w:r>
        <w:t>El uso de la herramienta comienza con la selección del indicador del cual se desea consultar la información, en la siguiente figura se presentan los elementos principales para esta elección.</w:t>
      </w:r>
    </w:p>
    <w:p w14:paraId="6CFDA7EB" w14:textId="5D5DCA06" w:rsidR="000A0077" w:rsidRDefault="000A0077" w:rsidP="000A0077">
      <w:pPr>
        <w:pStyle w:val="Descripcin"/>
      </w:pPr>
      <w:r>
        <w:lastRenderedPageBreak/>
        <w:t xml:space="preserve">Figura </w:t>
      </w:r>
      <w:fldSimple w:instr=" STYLEREF 1 \s ">
        <w:r w:rsidR="002A26C4">
          <w:rPr>
            <w:noProof/>
          </w:rPr>
          <w:t>3</w:t>
        </w:r>
      </w:fldSimple>
      <w:r>
        <w:t>.</w:t>
      </w:r>
      <w:fldSimple w:instr=" SEQ Figura \* ARABIC \s 1 ">
        <w:r w:rsidR="002A26C4">
          <w:rPr>
            <w:noProof/>
          </w:rPr>
          <w:t>1</w:t>
        </w:r>
      </w:fldSimple>
      <w:r>
        <w:t xml:space="preserve"> – Selección del indicador</w:t>
      </w:r>
    </w:p>
    <w:p w14:paraId="13949B1E" w14:textId="5C5340DB" w:rsidR="000A0077" w:rsidRDefault="002A26C4" w:rsidP="005307D6">
      <w:r w:rsidRPr="002A26C4">
        <w:drawing>
          <wp:inline distT="0" distB="0" distL="0" distR="0" wp14:anchorId="1E63ED94" wp14:editId="5C20E362">
            <wp:extent cx="6030595" cy="1186180"/>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0595" cy="1186180"/>
                    </a:xfrm>
                    <a:prstGeom prst="rect">
                      <a:avLst/>
                    </a:prstGeom>
                    <a:noFill/>
                    <a:ln>
                      <a:noFill/>
                    </a:ln>
                  </pic:spPr>
                </pic:pic>
              </a:graphicData>
            </a:graphic>
          </wp:inline>
        </w:drawing>
      </w:r>
    </w:p>
    <w:p w14:paraId="385637E2" w14:textId="501D817F" w:rsidR="000A0077" w:rsidRDefault="000A0077" w:rsidP="000A0077">
      <w:pPr>
        <w:pStyle w:val="PiedeCuadro"/>
      </w:pPr>
      <w:r>
        <w:t>Fuente: Elaboración propia</w:t>
      </w:r>
    </w:p>
    <w:p w14:paraId="5712688A" w14:textId="357E9EA3" w:rsidR="000A0077" w:rsidRDefault="000A0077" w:rsidP="005307D6">
      <w:r>
        <w:t>Como se puede ver en la figura son cuatro los elementos que hay que tener presente para la selección del indicador. El primer elemento corresponde a una lista desplegable en la que se escoge la categoría del indicador, la cual puede ser “impacto esperado” o “Efecto directo”. En el segundo elemento, dependiendo de la selección de la categoría se despliega una nueva lista, en donde si la elección en categoría fue “Impacto esperado”, la opción del resultado va a ser “Impacto”; por el contrario, si la selección de la categoría fue “Efecto directo”, la lista desplegable mostrara las opciones de “Atención integral” y “Entorno protector”. Una vez seleccionado el resultado, se procede a seleccionar el indicador del cual se quiere obtener información. Seleccionado el indicador, la herramienta presenta el análisis en cinco módulos, los cuales se explicarán a continuación.</w:t>
      </w:r>
      <w:r w:rsidR="002A26C4">
        <w:t xml:space="preserve"> Por último, el cuarto elemento es un botón por medio del cual se reinicia la herramienta.</w:t>
      </w:r>
    </w:p>
    <w:p w14:paraId="18DDD363" w14:textId="3B5115B1" w:rsidR="000A0077" w:rsidRDefault="005F1790" w:rsidP="005F1790">
      <w:pPr>
        <w:pStyle w:val="Ttulo2"/>
      </w:pPr>
      <w:r>
        <w:t>Análisis de línea de base</w:t>
      </w:r>
    </w:p>
    <w:p w14:paraId="30BA0D94" w14:textId="4DFE2913" w:rsidR="005F1790" w:rsidRDefault="005F1790" w:rsidP="005F1790">
      <w:r>
        <w:t>El primer módulo utiliza la ENDESA (DHS por sus siglas en ingles) de 2011-2012, y su objetivo principal</w:t>
      </w:r>
      <w:r>
        <w:t xml:space="preserve"> es realizar una comparación a nivel nacional entre los municipios que cuentan </w:t>
      </w:r>
      <w:r>
        <w:t>hoy en día</w:t>
      </w:r>
      <w:r>
        <w:t xml:space="preserve"> con el Sistema </w:t>
      </w:r>
      <w:proofErr w:type="spellStart"/>
      <w:r>
        <w:t>CcA</w:t>
      </w:r>
      <w:proofErr w:type="spellEnd"/>
      <w:r>
        <w:t xml:space="preserve"> (131 municipios)</w:t>
      </w:r>
      <w:r>
        <w:t xml:space="preserve"> contra el resto de los municipios. Este análisis tiene un alcance nacional, ya que</w:t>
      </w:r>
      <w:r>
        <w:t xml:space="preserve"> el diseño de esta encuesta</w:t>
      </w:r>
      <w:r>
        <w:t xml:space="preserve"> tiene representatividad departamental y zonal, lo que da la posibilidad de comparar estos dos grandes grupos. Esta comparación se realiza de la siguiente forma:</w:t>
      </w:r>
    </w:p>
    <w:p w14:paraId="537090A0" w14:textId="43EADE90" w:rsidR="005F1790" w:rsidRDefault="005F1790" w:rsidP="005F1790">
      <w:pPr>
        <w:pStyle w:val="Prrafodelista"/>
        <w:numPr>
          <w:ilvl w:val="0"/>
          <w:numId w:val="40"/>
        </w:numPr>
      </w:pPr>
      <w:r w:rsidRPr="005F1790">
        <w:rPr>
          <w:b/>
          <w:bCs/>
        </w:rPr>
        <w:t>Intervenidos:</w:t>
      </w:r>
      <w:r>
        <w:t xml:space="preserve"> Municipios </w:t>
      </w:r>
      <w:proofErr w:type="spellStart"/>
      <w:r>
        <w:t>CcA</w:t>
      </w:r>
      <w:proofErr w:type="spellEnd"/>
      <w:r>
        <w:t xml:space="preserve"> contra municipios sin </w:t>
      </w:r>
      <w:proofErr w:type="spellStart"/>
      <w:r>
        <w:t>CcA</w:t>
      </w:r>
      <w:proofErr w:type="spellEnd"/>
      <w:r>
        <w:t>.</w:t>
      </w:r>
    </w:p>
    <w:p w14:paraId="7C2B312F" w14:textId="2830E394" w:rsidR="005F1790" w:rsidRDefault="005F1790" w:rsidP="005F1790">
      <w:pPr>
        <w:pStyle w:val="Prrafodelista"/>
        <w:numPr>
          <w:ilvl w:val="0"/>
          <w:numId w:val="40"/>
        </w:numPr>
      </w:pPr>
      <w:r w:rsidRPr="005F1790">
        <w:rPr>
          <w:b/>
          <w:bCs/>
        </w:rPr>
        <w:t>Intervenidos 2016:</w:t>
      </w:r>
      <w:r>
        <w:t xml:space="preserve"> Municipios </w:t>
      </w:r>
      <w:proofErr w:type="spellStart"/>
      <w:r>
        <w:t>CcA</w:t>
      </w:r>
      <w:proofErr w:type="spellEnd"/>
      <w:r>
        <w:t xml:space="preserve"> que comenzaron su intervención en 2016 contra municipios sin </w:t>
      </w:r>
      <w:proofErr w:type="spellStart"/>
      <w:r>
        <w:t>CcA</w:t>
      </w:r>
      <w:proofErr w:type="spellEnd"/>
      <w:r>
        <w:t>.</w:t>
      </w:r>
    </w:p>
    <w:p w14:paraId="2A7AA887" w14:textId="45D7C952" w:rsidR="005F1790" w:rsidRDefault="005F1790" w:rsidP="005F1790">
      <w:pPr>
        <w:pStyle w:val="Prrafodelista"/>
        <w:numPr>
          <w:ilvl w:val="0"/>
          <w:numId w:val="40"/>
        </w:numPr>
      </w:pPr>
      <w:r w:rsidRPr="005F1790">
        <w:rPr>
          <w:b/>
          <w:bCs/>
        </w:rPr>
        <w:t>Intervenidos 2018:</w:t>
      </w:r>
      <w:r>
        <w:t xml:space="preserve"> Municipios </w:t>
      </w:r>
      <w:proofErr w:type="spellStart"/>
      <w:r>
        <w:t>CcA</w:t>
      </w:r>
      <w:proofErr w:type="spellEnd"/>
      <w:r>
        <w:t xml:space="preserve"> que comenzaron su intervención entre 2017 y 2018 contra municipios sin </w:t>
      </w:r>
      <w:proofErr w:type="spellStart"/>
      <w:r>
        <w:t>CcA</w:t>
      </w:r>
      <w:proofErr w:type="spellEnd"/>
      <w:r>
        <w:t>.</w:t>
      </w:r>
    </w:p>
    <w:p w14:paraId="02532C87" w14:textId="5598C51D" w:rsidR="005F1790" w:rsidRDefault="005F1790" w:rsidP="005F1790">
      <w:r>
        <w:t>En la siguiente figura se visualiza el análisis que arroja la herramienta en este primer módulo para la variable de desnutrición crónica.</w:t>
      </w:r>
    </w:p>
    <w:p w14:paraId="3F614C15" w14:textId="44C2C399" w:rsidR="005F1790" w:rsidRDefault="005F1790" w:rsidP="005F1790">
      <w:pPr>
        <w:pStyle w:val="Descripcin"/>
      </w:pPr>
      <w:r>
        <w:lastRenderedPageBreak/>
        <w:t xml:space="preserve">Figura </w:t>
      </w:r>
      <w:r>
        <w:fldChar w:fldCharType="begin"/>
      </w:r>
      <w:r>
        <w:instrText xml:space="preserve"> STYLEREF 1 \s </w:instrText>
      </w:r>
      <w:r>
        <w:fldChar w:fldCharType="separate"/>
      </w:r>
      <w:r w:rsidR="002A26C4">
        <w:rPr>
          <w:noProof/>
        </w:rPr>
        <w:t>3</w:t>
      </w:r>
      <w:r>
        <w:fldChar w:fldCharType="end"/>
      </w:r>
      <w:r>
        <w:t>.</w:t>
      </w:r>
      <w:r>
        <w:fldChar w:fldCharType="begin"/>
      </w:r>
      <w:r>
        <w:instrText xml:space="preserve"> SEQ Figura \* ARABIC \s 1 </w:instrText>
      </w:r>
      <w:r>
        <w:fldChar w:fldCharType="separate"/>
      </w:r>
      <w:r w:rsidR="002A26C4">
        <w:rPr>
          <w:noProof/>
        </w:rPr>
        <w:t>2</w:t>
      </w:r>
      <w:r>
        <w:fldChar w:fldCharType="end"/>
      </w:r>
      <w:r>
        <w:t xml:space="preserve"> – </w:t>
      </w:r>
      <w:r>
        <w:t>Análisis módulo 1 para la desnutrición crónica</w:t>
      </w:r>
    </w:p>
    <w:p w14:paraId="12B090FB" w14:textId="6B5FCD01" w:rsidR="005F1790" w:rsidRDefault="002A26C4" w:rsidP="005F1790">
      <w:r w:rsidRPr="002A26C4">
        <w:drawing>
          <wp:inline distT="0" distB="0" distL="0" distR="0" wp14:anchorId="790B1093" wp14:editId="10B739FE">
            <wp:extent cx="6030595" cy="390588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0595" cy="3905885"/>
                    </a:xfrm>
                    <a:prstGeom prst="rect">
                      <a:avLst/>
                    </a:prstGeom>
                    <a:noFill/>
                    <a:ln>
                      <a:noFill/>
                    </a:ln>
                  </pic:spPr>
                </pic:pic>
              </a:graphicData>
            </a:graphic>
          </wp:inline>
        </w:drawing>
      </w:r>
    </w:p>
    <w:p w14:paraId="1AB6AE60" w14:textId="77777777" w:rsidR="005F1790" w:rsidRDefault="005F1790" w:rsidP="005F1790">
      <w:pPr>
        <w:pStyle w:val="PiedeCuadro"/>
      </w:pPr>
      <w:r>
        <w:t>Fuente: Elaboración propia</w:t>
      </w:r>
    </w:p>
    <w:p w14:paraId="60CEDA4D" w14:textId="2355C23A" w:rsidR="005F1790" w:rsidRDefault="006C5DEA" w:rsidP="005F1790">
      <w:r>
        <w:t>En la figura se pueden ver seis elementos, estos son:</w:t>
      </w:r>
    </w:p>
    <w:p w14:paraId="2C08F3C1" w14:textId="56BD053B" w:rsidR="006C5DEA" w:rsidRDefault="006C5DEA" w:rsidP="006C5DEA">
      <w:pPr>
        <w:pStyle w:val="Prrafodelista"/>
        <w:numPr>
          <w:ilvl w:val="0"/>
          <w:numId w:val="41"/>
        </w:numPr>
      </w:pPr>
      <w:r>
        <w:t>Intervalos de confianza asimétricos al 95% de confianza.</w:t>
      </w:r>
    </w:p>
    <w:p w14:paraId="2C7E87A2" w14:textId="21D76987" w:rsidR="006C5DEA" w:rsidRDefault="006C5DEA" w:rsidP="006C5DEA">
      <w:pPr>
        <w:pStyle w:val="Prrafodelista"/>
        <w:numPr>
          <w:ilvl w:val="0"/>
          <w:numId w:val="41"/>
        </w:numPr>
      </w:pPr>
      <w:r>
        <w:t>Tasa del indicador por grupo de análisis.</w:t>
      </w:r>
    </w:p>
    <w:p w14:paraId="5FF834A3" w14:textId="31A50EF1" w:rsidR="006C5DEA" w:rsidRDefault="006C5DEA" w:rsidP="006C5DEA">
      <w:pPr>
        <w:pStyle w:val="Prrafodelista"/>
        <w:numPr>
          <w:ilvl w:val="0"/>
          <w:numId w:val="41"/>
        </w:numPr>
      </w:pPr>
      <w:r>
        <w:t>Celda que indica si la diferencia entre los grupos comparados es significativa al 95% de confianza.</w:t>
      </w:r>
    </w:p>
    <w:p w14:paraId="243AF950" w14:textId="422FC609" w:rsidR="006C5DEA" w:rsidRDefault="006C5DEA" w:rsidP="006C5DEA">
      <w:pPr>
        <w:pStyle w:val="Prrafodelista"/>
        <w:numPr>
          <w:ilvl w:val="0"/>
          <w:numId w:val="41"/>
        </w:numPr>
      </w:pPr>
      <w:r>
        <w:t>Celda que indica si el criterio de observaciones muestrales definido en el capitulo anterior se cumple o no.</w:t>
      </w:r>
    </w:p>
    <w:p w14:paraId="3DCD23BB" w14:textId="33407E86" w:rsidR="006C5DEA" w:rsidRDefault="006C5DEA" w:rsidP="006C5DEA">
      <w:pPr>
        <w:pStyle w:val="Prrafodelista"/>
        <w:numPr>
          <w:ilvl w:val="0"/>
          <w:numId w:val="41"/>
        </w:numPr>
      </w:pPr>
      <w:r>
        <w:t>Celda que indica si el criterio relacionado con el Coeficiente de Variación Estadística y/o el Error Estándar se cumple o no.</w:t>
      </w:r>
    </w:p>
    <w:p w14:paraId="4C42B977" w14:textId="31D8A5C0" w:rsidR="006C5DEA" w:rsidRDefault="006C5DEA" w:rsidP="006C5DEA">
      <w:pPr>
        <w:pStyle w:val="Prrafodelista"/>
        <w:numPr>
          <w:ilvl w:val="0"/>
          <w:numId w:val="41"/>
        </w:numPr>
      </w:pPr>
      <w:r>
        <w:t>Celda que indica si los criterios definidos para garantizar la precisión estadística se cumplen y de esta manera el estadístico calculado cuenta con validez interpretativa.</w:t>
      </w:r>
    </w:p>
    <w:p w14:paraId="733465CA" w14:textId="4539915C" w:rsidR="005F1790" w:rsidRDefault="006C5DEA" w:rsidP="005F1790">
      <w:r>
        <w:t xml:space="preserve">Como se mención al comienzo, en la figura se presentan los tres tipos de comparaciones que se consideran en este primer módulo, en cada una de ellas se incluye la tasa nacional para tener un referente de comparación. El análisis correspondiente a este indicador sería: En las gráficas se puede ver que los municipios intervenidos con </w:t>
      </w:r>
      <w:proofErr w:type="spellStart"/>
      <w:r>
        <w:t>CcA</w:t>
      </w:r>
      <w:proofErr w:type="spellEnd"/>
      <w:r>
        <w:t xml:space="preserve"> presentaban tasas de desnutrición crónica </w:t>
      </w:r>
      <w:r>
        <w:lastRenderedPageBreak/>
        <w:t xml:space="preserve">mucho más altas que aquellos municipios que no cuentan con el sistema para el 2012, inclusive, aquellos que comenzaron su intervención en 2016, tenían una tasa superior a aquellos que comenzaron su intervención entre 2017 y 2018. Este último análisis se puede dar debido a que los intervalos de confianza de los </w:t>
      </w:r>
      <w:proofErr w:type="spellStart"/>
      <w:r>
        <w:t>CcA</w:t>
      </w:r>
      <w:proofErr w:type="spellEnd"/>
      <w:r>
        <w:t xml:space="preserve"> intervenidos en 2016 y </w:t>
      </w:r>
      <w:proofErr w:type="spellStart"/>
      <w:r>
        <w:t>CcA</w:t>
      </w:r>
      <w:proofErr w:type="spellEnd"/>
      <w:r>
        <w:t xml:space="preserve"> intervenidos en 2018 no se cruzan, por lo que se puede afirmar que son diferentes, y todas las estimaciones cumplen con los criterios de precisión estadística.</w:t>
      </w:r>
    </w:p>
    <w:p w14:paraId="6201BEEE" w14:textId="18C121D9" w:rsidR="005F1790" w:rsidRDefault="00681F38" w:rsidP="00681F38">
      <w:pPr>
        <w:pStyle w:val="Ttulo2"/>
      </w:pPr>
      <w:r>
        <w:t xml:space="preserve">Encuesta de monitoreo </w:t>
      </w:r>
      <w:proofErr w:type="spellStart"/>
      <w:r>
        <w:t>CcA</w:t>
      </w:r>
      <w:proofErr w:type="spellEnd"/>
    </w:p>
    <w:p w14:paraId="443C3B9A" w14:textId="21B5CC6B" w:rsidR="00681F38" w:rsidRDefault="00681F38" w:rsidP="00681F38">
      <w:r>
        <w:t xml:space="preserve">En este módulo se muestra la información recolectada por medio de la metodología LQAS en el marco del sistema para su monitoreo y seguimiento. El análisis presentado compara los resultados de las mancomunidades con </w:t>
      </w:r>
      <w:proofErr w:type="spellStart"/>
      <w:r>
        <w:t>CcA</w:t>
      </w:r>
      <w:proofErr w:type="spellEnd"/>
      <w:r>
        <w:t xml:space="preserve"> en 2016 contra las mismas en 2018. La siguiente figura presenta las gráficas consideradas para este módulo, la cual cuenta con 2 elementos importantes: el primero hace referencia a la tasa por año del indicador, el segundo </w:t>
      </w:r>
      <w:r w:rsidR="00B45ACD">
        <w:t>es una celda que indica si cuenta con información o no. Los resultados presentados en este módulo se obtienen de las comparaciones realizadas por Unicef entre 2016 y 2018. En el ejemplo presentado con los partos institucionales se puede ver un aumento de estos para el año 2018.</w:t>
      </w:r>
    </w:p>
    <w:p w14:paraId="48200A8B" w14:textId="73C5344F" w:rsidR="00B45ACD" w:rsidRDefault="00B45ACD" w:rsidP="00B45ACD">
      <w:pPr>
        <w:pStyle w:val="Descripcin"/>
      </w:pPr>
      <w:r>
        <w:t xml:space="preserve">Figura </w:t>
      </w:r>
      <w:r>
        <w:fldChar w:fldCharType="begin"/>
      </w:r>
      <w:r>
        <w:instrText xml:space="preserve"> STYLEREF 1 \s </w:instrText>
      </w:r>
      <w:r>
        <w:fldChar w:fldCharType="separate"/>
      </w:r>
      <w:r w:rsidR="002A26C4">
        <w:rPr>
          <w:noProof/>
        </w:rPr>
        <w:t>3</w:t>
      </w:r>
      <w:r>
        <w:fldChar w:fldCharType="end"/>
      </w:r>
      <w:r>
        <w:t>.</w:t>
      </w:r>
      <w:r>
        <w:fldChar w:fldCharType="begin"/>
      </w:r>
      <w:r>
        <w:instrText xml:space="preserve"> SEQ Figura \* ARABIC \s 1 </w:instrText>
      </w:r>
      <w:r>
        <w:fldChar w:fldCharType="separate"/>
      </w:r>
      <w:r w:rsidR="002A26C4">
        <w:rPr>
          <w:noProof/>
        </w:rPr>
        <w:t>3</w:t>
      </w:r>
      <w:r>
        <w:fldChar w:fldCharType="end"/>
      </w:r>
      <w:r>
        <w:t xml:space="preserve"> – Análisis módulo </w:t>
      </w:r>
      <w:r>
        <w:t>2</w:t>
      </w:r>
      <w:r>
        <w:t xml:space="preserve"> para </w:t>
      </w:r>
      <w:r>
        <w:t>los partos institucionales</w:t>
      </w:r>
    </w:p>
    <w:p w14:paraId="10414FAA" w14:textId="48B12FF7" w:rsidR="00B45ACD" w:rsidRDefault="002A26C4" w:rsidP="002A26C4">
      <w:pPr>
        <w:jc w:val="center"/>
      </w:pPr>
      <w:r w:rsidRPr="002A26C4">
        <w:drawing>
          <wp:inline distT="0" distB="0" distL="0" distR="0" wp14:anchorId="0362D42F" wp14:editId="3558E5B4">
            <wp:extent cx="3105150" cy="2728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13379" cy="2735630"/>
                    </a:xfrm>
                    <a:prstGeom prst="rect">
                      <a:avLst/>
                    </a:prstGeom>
                    <a:noFill/>
                    <a:ln>
                      <a:noFill/>
                    </a:ln>
                  </pic:spPr>
                </pic:pic>
              </a:graphicData>
            </a:graphic>
          </wp:inline>
        </w:drawing>
      </w:r>
    </w:p>
    <w:p w14:paraId="3499E614" w14:textId="77777777" w:rsidR="00B45ACD" w:rsidRDefault="00B45ACD" w:rsidP="00B45ACD">
      <w:pPr>
        <w:pStyle w:val="PiedeCuadro"/>
      </w:pPr>
      <w:r>
        <w:t>Fuente: Elaboración propia</w:t>
      </w:r>
    </w:p>
    <w:p w14:paraId="742A2A35" w14:textId="02B12359" w:rsidR="00B45ACD" w:rsidRDefault="008D76B2" w:rsidP="008D76B2">
      <w:pPr>
        <w:pStyle w:val="Ttulo2"/>
      </w:pPr>
      <w:r>
        <w:t>Comparación temporal</w:t>
      </w:r>
    </w:p>
    <w:p w14:paraId="7635511A" w14:textId="7FDFC86C" w:rsidR="008D76B2" w:rsidRDefault="008D76B2" w:rsidP="008D76B2">
      <w:r>
        <w:t>El tercer módulo utiliza</w:t>
      </w:r>
      <w:r>
        <w:t xml:space="preserve"> como información central la </w:t>
      </w:r>
      <w:r>
        <w:t>EHU</w:t>
      </w:r>
      <w:r>
        <w:t xml:space="preserve">. Esta encuesta </w:t>
      </w:r>
      <w:r>
        <w:t>es representativa de</w:t>
      </w:r>
      <w:r>
        <w:t xml:space="preserve"> los 37 municipios donde est</w:t>
      </w:r>
      <w:r>
        <w:t>á</w:t>
      </w:r>
      <w:r>
        <w:t xml:space="preserve"> operando la organización. El análisis tuvo como principio realizar la comparación de los indicadores teniendo cuatro subdivisiones en cuenta:</w:t>
      </w:r>
    </w:p>
    <w:p w14:paraId="767543A9" w14:textId="2CA32A69" w:rsidR="008D76B2" w:rsidRDefault="008D76B2" w:rsidP="008D76B2">
      <w:pPr>
        <w:pStyle w:val="Prrafodelista"/>
        <w:numPr>
          <w:ilvl w:val="0"/>
          <w:numId w:val="44"/>
        </w:numPr>
      </w:pPr>
      <w:r w:rsidRPr="008D76B2">
        <w:rPr>
          <w:b/>
          <w:bCs/>
        </w:rPr>
        <w:lastRenderedPageBreak/>
        <w:t>Municipios intervenidos:</w:t>
      </w:r>
      <w:r>
        <w:t xml:space="preserve"> Municipios con </w:t>
      </w:r>
      <w:proofErr w:type="spellStart"/>
      <w:r>
        <w:t>CcA</w:t>
      </w:r>
      <w:proofErr w:type="spellEnd"/>
      <w:r>
        <w:t xml:space="preserve"> contra municipios sin </w:t>
      </w:r>
      <w:proofErr w:type="spellStart"/>
      <w:r>
        <w:t>CcA</w:t>
      </w:r>
      <w:proofErr w:type="spellEnd"/>
      <w:r>
        <w:t>.</w:t>
      </w:r>
    </w:p>
    <w:p w14:paraId="36D12506" w14:textId="7350855F" w:rsidR="008D76B2" w:rsidRDefault="008D76B2" w:rsidP="008D76B2">
      <w:pPr>
        <w:pStyle w:val="Prrafodelista"/>
        <w:numPr>
          <w:ilvl w:val="0"/>
          <w:numId w:val="44"/>
        </w:numPr>
      </w:pPr>
      <w:r w:rsidRPr="008D76B2">
        <w:rPr>
          <w:b/>
          <w:bCs/>
        </w:rPr>
        <w:t>Municipios intervenidos por Unicef:</w:t>
      </w:r>
      <w:r>
        <w:t xml:space="preserve"> Municipios que fueron intervenidos por Unicef contra los municipios que fueron intervenidos por el gobierno</w:t>
      </w:r>
    </w:p>
    <w:p w14:paraId="06080A85" w14:textId="53D6CC14" w:rsidR="008D76B2" w:rsidRDefault="008D76B2" w:rsidP="008D76B2">
      <w:pPr>
        <w:pStyle w:val="Prrafodelista"/>
        <w:numPr>
          <w:ilvl w:val="0"/>
          <w:numId w:val="44"/>
        </w:numPr>
      </w:pPr>
      <w:r w:rsidRPr="008D76B2">
        <w:rPr>
          <w:b/>
          <w:bCs/>
        </w:rPr>
        <w:t>Municipios intervenidos en 2016 por entidad:</w:t>
      </w:r>
      <w:r>
        <w:t xml:space="preserve"> Municipios intervenidos por Unicef en 2016 contra los municipios intervenidos por el gobierno en 2016.</w:t>
      </w:r>
    </w:p>
    <w:p w14:paraId="4E4D198A" w14:textId="3AB92089" w:rsidR="008D76B2" w:rsidRDefault="008D76B2" w:rsidP="008D76B2">
      <w:pPr>
        <w:pStyle w:val="Prrafodelista"/>
        <w:numPr>
          <w:ilvl w:val="0"/>
          <w:numId w:val="44"/>
        </w:numPr>
      </w:pPr>
      <w:r w:rsidRPr="008D76B2">
        <w:rPr>
          <w:b/>
          <w:bCs/>
        </w:rPr>
        <w:t>Municipios intervenidos por el gobierno:</w:t>
      </w:r>
      <w:r>
        <w:t xml:space="preserve"> Municipios intervenidos por el gobierno en 2016 contra los municipios intervenidos por el gobierno en 2018.</w:t>
      </w:r>
    </w:p>
    <w:p w14:paraId="384F7041" w14:textId="525351BC" w:rsidR="00B45ACD" w:rsidRDefault="008D76B2" w:rsidP="008D76B2">
      <w:r>
        <w:t xml:space="preserve">Para estos niveles de comparación se utilizó también la ENDESA, pero para que esta fuera comparable con el alcance de la EHU se limitó el análisis a los 37 municipios. </w:t>
      </w:r>
      <w:r w:rsidR="00DB50E7">
        <w:t>En este módulo las gráficas utilizadas incluyen los resultados para la ENDESA teniendo en cuenta el mismo alcance.</w:t>
      </w:r>
    </w:p>
    <w:p w14:paraId="5AB28A8E" w14:textId="5E311ABE" w:rsidR="00C34AAE" w:rsidRDefault="00C34AAE" w:rsidP="00C34AAE">
      <w:pPr>
        <w:pStyle w:val="Descripcin"/>
      </w:pPr>
      <w:r>
        <w:t xml:space="preserve">Figura </w:t>
      </w:r>
      <w:r>
        <w:fldChar w:fldCharType="begin"/>
      </w:r>
      <w:r>
        <w:instrText xml:space="preserve"> STYLEREF 1 \s </w:instrText>
      </w:r>
      <w:r>
        <w:fldChar w:fldCharType="separate"/>
      </w:r>
      <w:r w:rsidR="002A26C4">
        <w:rPr>
          <w:noProof/>
        </w:rPr>
        <w:t>3</w:t>
      </w:r>
      <w:r>
        <w:fldChar w:fldCharType="end"/>
      </w:r>
      <w:r>
        <w:t>.</w:t>
      </w:r>
      <w:r>
        <w:fldChar w:fldCharType="begin"/>
      </w:r>
      <w:r>
        <w:instrText xml:space="preserve"> SEQ Figura \* ARABIC \s 1 </w:instrText>
      </w:r>
      <w:r>
        <w:fldChar w:fldCharType="separate"/>
      </w:r>
      <w:r w:rsidR="002A26C4">
        <w:rPr>
          <w:noProof/>
        </w:rPr>
        <w:t>4</w:t>
      </w:r>
      <w:r>
        <w:fldChar w:fldCharType="end"/>
      </w:r>
      <w:r>
        <w:t xml:space="preserve"> – Análisis módulo </w:t>
      </w:r>
      <w:r w:rsidR="002A26C4">
        <w:t>3</w:t>
      </w:r>
      <w:r>
        <w:t xml:space="preserve"> para la desnutrición crónica</w:t>
      </w:r>
    </w:p>
    <w:p w14:paraId="0E7A4DEB" w14:textId="26B0EADB" w:rsidR="00C34AAE" w:rsidRDefault="002A26C4" w:rsidP="00C34AAE">
      <w:r w:rsidRPr="002A26C4">
        <w:drawing>
          <wp:inline distT="0" distB="0" distL="0" distR="0" wp14:anchorId="22D92D0D" wp14:editId="00059F76">
            <wp:extent cx="6030595" cy="4335145"/>
            <wp:effectExtent l="0" t="0" r="8255"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0595" cy="4335145"/>
                    </a:xfrm>
                    <a:prstGeom prst="rect">
                      <a:avLst/>
                    </a:prstGeom>
                    <a:noFill/>
                    <a:ln>
                      <a:noFill/>
                    </a:ln>
                  </pic:spPr>
                </pic:pic>
              </a:graphicData>
            </a:graphic>
          </wp:inline>
        </w:drawing>
      </w:r>
    </w:p>
    <w:p w14:paraId="050BEC2B" w14:textId="77777777" w:rsidR="00C34AAE" w:rsidRDefault="00C34AAE" w:rsidP="00C34AAE">
      <w:pPr>
        <w:pStyle w:val="PiedeCuadro"/>
      </w:pPr>
      <w:r>
        <w:t>Fuente: Elaboración propia</w:t>
      </w:r>
    </w:p>
    <w:p w14:paraId="61737887" w14:textId="1069C66F" w:rsidR="003C7189" w:rsidRDefault="00C34AAE" w:rsidP="008D76B2">
      <w:r>
        <w:t xml:space="preserve">En general, los seis elementos presentados en el módulo 1 aplican a este módulo, sin embargo, se pueden observar cuatro elementos adicionales que no estaban presentes en el primer módulo, </w:t>
      </w:r>
      <w:r>
        <w:lastRenderedPageBreak/>
        <w:t>y son los que hacen referencia a la encuesta. El primer elemento, asociado a el color dorado indica las tasas del indicador correspondientes a la ENDESA (DHS). El segundo elemento, con un color amarillo claro, hace referencia a las tasas del indicador correspondientes a la EHU. El tercer elemento corresponde a las celdas de verificación</w:t>
      </w:r>
      <w:r>
        <w:rPr>
          <w:rStyle w:val="Refdenotaalpie"/>
        </w:rPr>
        <w:footnoteReference w:id="4"/>
      </w:r>
      <w:r>
        <w:t xml:space="preserve"> correspondientes a las comparaciones entre cada grupo de la ENDESA. El cuarto elemento representa lo mismo que el tercero, pero en este caso para la EHU. El análisis que se puede obtener de la comparación realizada entre los intervenidos es que en ambas encuestas existe una diferencia significativa entre los municipios con </w:t>
      </w:r>
      <w:proofErr w:type="spellStart"/>
      <w:r>
        <w:t>CcA</w:t>
      </w:r>
      <w:proofErr w:type="spellEnd"/>
      <w:r>
        <w:t xml:space="preserve"> y los municipios sin </w:t>
      </w:r>
      <w:proofErr w:type="spellStart"/>
      <w:r>
        <w:t>CcA</w:t>
      </w:r>
      <w:proofErr w:type="spellEnd"/>
      <w:r>
        <w:t>, sin embargo, como se puede ver en las celdas de verificación de la ENDESA el porcentaje calculado no cumple con todos los criterios estadísticos definidos por lo que estos datos no cuentan con validez interpretativa.</w:t>
      </w:r>
    </w:p>
    <w:p w14:paraId="2F65927C" w14:textId="3B6A3DED" w:rsidR="003C7189" w:rsidRDefault="004955A7" w:rsidP="004955A7">
      <w:pPr>
        <w:pStyle w:val="Ttulo2"/>
      </w:pPr>
      <w:r>
        <w:t>Comparación temporal – Indicadores comparables</w:t>
      </w:r>
    </w:p>
    <w:p w14:paraId="75D67EFE" w14:textId="60A76769" w:rsidR="004955A7" w:rsidRDefault="004955A7" w:rsidP="004955A7">
      <w:r>
        <w:t xml:space="preserve">Este módulo corresponde a una extensión del módulo 3. Se centra en la comparación temporal entre la ENDESA (2012) y la EHU (2019) de los indicadores que en ambas encuestas tienen la misma construcción. Dada esta última condición, este análisis es solo posible realizarlo para cuatro indicadores y consiste en comparar la tendencia que hubiera tenido el indicador si se hubiera mantenido la diferencia observada en la ENDESA contra la diferencia que se observa en la EHU. La significancia de esta doble diferencia se realiza por medio de un modelo de probabilidad lineal simple con el fin de validar si esa doble diferencia (1. Entre ENDESA y EHU, y 2. Entre municipios con </w:t>
      </w:r>
      <w:proofErr w:type="spellStart"/>
      <w:r>
        <w:t>CcA</w:t>
      </w:r>
      <w:proofErr w:type="spellEnd"/>
      <w:r>
        <w:t xml:space="preserve"> y sin </w:t>
      </w:r>
      <w:proofErr w:type="spellStart"/>
      <w:r>
        <w:t>CcA</w:t>
      </w:r>
      <w:proofErr w:type="spellEnd"/>
      <w:r>
        <w:t xml:space="preserve">) es significativa; es por esto </w:t>
      </w:r>
      <w:proofErr w:type="gramStart"/>
      <w:r>
        <w:t>que</w:t>
      </w:r>
      <w:proofErr w:type="gramEnd"/>
      <w:r>
        <w:t xml:space="preserve"> las proyecciones pueden estar por encima o por debajo de cero.</w:t>
      </w:r>
    </w:p>
    <w:p w14:paraId="2075A038" w14:textId="3ACBC66D" w:rsidR="0085325D" w:rsidRDefault="0085325D" w:rsidP="0085325D">
      <w:pPr>
        <w:pStyle w:val="Descripcin"/>
      </w:pPr>
      <w:r>
        <w:t xml:space="preserve">Figura </w:t>
      </w:r>
      <w:r>
        <w:fldChar w:fldCharType="begin"/>
      </w:r>
      <w:r>
        <w:instrText xml:space="preserve"> STYLEREF 1 \s </w:instrText>
      </w:r>
      <w:r>
        <w:fldChar w:fldCharType="separate"/>
      </w:r>
      <w:r w:rsidR="002A26C4">
        <w:rPr>
          <w:noProof/>
        </w:rPr>
        <w:t>3</w:t>
      </w:r>
      <w:r>
        <w:fldChar w:fldCharType="end"/>
      </w:r>
      <w:r>
        <w:t>.</w:t>
      </w:r>
      <w:r>
        <w:fldChar w:fldCharType="begin"/>
      </w:r>
      <w:r>
        <w:instrText xml:space="preserve"> SEQ Figura \* ARABIC \s 1 </w:instrText>
      </w:r>
      <w:r>
        <w:fldChar w:fldCharType="separate"/>
      </w:r>
      <w:r w:rsidR="002A26C4">
        <w:rPr>
          <w:noProof/>
        </w:rPr>
        <w:t>5</w:t>
      </w:r>
      <w:r>
        <w:fldChar w:fldCharType="end"/>
      </w:r>
      <w:r>
        <w:t xml:space="preserve"> – Análisis módulo </w:t>
      </w:r>
      <w:r>
        <w:t>4</w:t>
      </w:r>
      <w:r>
        <w:t xml:space="preserve"> para la desnutrición crónica</w:t>
      </w:r>
    </w:p>
    <w:p w14:paraId="5B903A97" w14:textId="7F7AD644" w:rsidR="0085325D" w:rsidRDefault="002A26C4" w:rsidP="002A26C4">
      <w:pPr>
        <w:jc w:val="center"/>
      </w:pPr>
      <w:r w:rsidRPr="002A26C4">
        <w:drawing>
          <wp:inline distT="0" distB="0" distL="0" distR="0" wp14:anchorId="63A42D7D" wp14:editId="43C1EF13">
            <wp:extent cx="3619500" cy="250319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4930" cy="2520785"/>
                    </a:xfrm>
                    <a:prstGeom prst="rect">
                      <a:avLst/>
                    </a:prstGeom>
                    <a:noFill/>
                    <a:ln>
                      <a:noFill/>
                    </a:ln>
                  </pic:spPr>
                </pic:pic>
              </a:graphicData>
            </a:graphic>
          </wp:inline>
        </w:drawing>
      </w:r>
    </w:p>
    <w:p w14:paraId="4724A02D" w14:textId="7BDD8042" w:rsidR="0085325D" w:rsidRDefault="0085325D" w:rsidP="0085325D">
      <w:pPr>
        <w:pStyle w:val="PiedeCuadro"/>
      </w:pPr>
      <w:r>
        <w:t>Fuente: Elaboración propia</w:t>
      </w:r>
    </w:p>
    <w:p w14:paraId="7B8E5C62" w14:textId="6217A5C9" w:rsidR="00DE2D8E" w:rsidRDefault="00DE2D8E" w:rsidP="00DE2D8E">
      <w:r>
        <w:lastRenderedPageBreak/>
        <w:t xml:space="preserve">La gráfica se interpreta de la siguiente manera: Si bien en ambos periodos los municipios intervenidos con </w:t>
      </w:r>
      <w:proofErr w:type="spellStart"/>
      <w:r>
        <w:t>CcA</w:t>
      </w:r>
      <w:proofErr w:type="spellEnd"/>
      <w:r>
        <w:t xml:space="preserve"> tienen tasas de desnutrición crónica mayor, el crecimiento de la brecha entre los municipios intervenidos y no intervenidos en la EHU fue menor a la brecha que existía en la ENDESA. Este resultado plantea la existencia de una contribución del </w:t>
      </w:r>
      <w:proofErr w:type="spellStart"/>
      <w:r>
        <w:t>SCcA</w:t>
      </w:r>
      <w:proofErr w:type="spellEnd"/>
      <w:r>
        <w:t xml:space="preserve"> en la reducción de la tasa de desnutrición.</w:t>
      </w:r>
    </w:p>
    <w:p w14:paraId="7DFDDD88" w14:textId="7EA6B916" w:rsidR="0085325D" w:rsidRDefault="00D1582D" w:rsidP="004955A7">
      <w:pPr>
        <w:pStyle w:val="Ttulo2"/>
      </w:pPr>
      <w:r>
        <w:t>Modelo econométrico no lineal</w:t>
      </w:r>
    </w:p>
    <w:p w14:paraId="5D177E0C" w14:textId="4F1DE9B2" w:rsidR="00D1582D" w:rsidRDefault="00D1582D" w:rsidP="00D1582D">
      <w:r>
        <w:t xml:space="preserve">El último módulo contiene la información referente al modelo </w:t>
      </w:r>
      <w:proofErr w:type="spellStart"/>
      <w:r w:rsidRPr="00D1582D">
        <w:rPr>
          <w:i/>
          <w:iCs/>
        </w:rPr>
        <w:t>logit</w:t>
      </w:r>
      <w:proofErr w:type="spellEnd"/>
      <w:r>
        <w:t xml:space="preserve"> estimado con la información de la EHU. El objetivo de este modelo consiste en identificar </w:t>
      </w:r>
      <w:r w:rsidR="00DE2D8E">
        <w:t>como influyen diferentes</w:t>
      </w:r>
      <w:r>
        <w:t xml:space="preserve"> factores </w:t>
      </w:r>
      <w:r w:rsidR="00DE2D8E">
        <w:t xml:space="preserve">sobre la probabilidad de cada indicador en los municipios que están siendo intervenidos por el </w:t>
      </w:r>
      <w:proofErr w:type="spellStart"/>
      <w:r w:rsidR="00DE2D8E">
        <w:t>SCcA</w:t>
      </w:r>
      <w:proofErr w:type="spellEnd"/>
      <w:r w:rsidR="00DE2D8E">
        <w:t>. Dentro de los factores que se evalúan se encuentran:</w:t>
      </w:r>
    </w:p>
    <w:p w14:paraId="1612EBB7" w14:textId="77777777" w:rsidR="00DE2D8E" w:rsidRDefault="00DE2D8E" w:rsidP="00DE2D8E">
      <w:pPr>
        <w:pStyle w:val="Prrafodelista"/>
        <w:numPr>
          <w:ilvl w:val="0"/>
          <w:numId w:val="45"/>
        </w:numPr>
        <w:sectPr w:rsidR="00DE2D8E" w:rsidSect="00354469">
          <w:headerReference w:type="default" r:id="rId20"/>
          <w:footerReference w:type="default" r:id="rId21"/>
          <w:pgSz w:w="12240" w:h="15840"/>
          <w:pgMar w:top="1417" w:right="1325" w:bottom="1417" w:left="1418" w:header="708" w:footer="708" w:gutter="0"/>
          <w:cols w:space="708"/>
          <w:docGrid w:linePitch="360"/>
        </w:sectPr>
      </w:pPr>
    </w:p>
    <w:p w14:paraId="499B28F5" w14:textId="721B22CC" w:rsidR="00DE2D8E" w:rsidRDefault="00DE2D8E" w:rsidP="00DE2D8E">
      <w:pPr>
        <w:pStyle w:val="Prrafodelista"/>
        <w:numPr>
          <w:ilvl w:val="0"/>
          <w:numId w:val="45"/>
        </w:numPr>
      </w:pPr>
      <w:r>
        <w:t>Municipios intervenidos en 2016</w:t>
      </w:r>
    </w:p>
    <w:p w14:paraId="68338A64" w14:textId="559524C8" w:rsidR="00DE2D8E" w:rsidRDefault="00DE2D8E" w:rsidP="00DE2D8E">
      <w:pPr>
        <w:pStyle w:val="Prrafodelista"/>
        <w:numPr>
          <w:ilvl w:val="0"/>
          <w:numId w:val="45"/>
        </w:numPr>
      </w:pPr>
      <w:r>
        <w:t>Municipios intervenidos por Unicef</w:t>
      </w:r>
    </w:p>
    <w:p w14:paraId="55B0DEB4" w14:textId="0973D834" w:rsidR="00DE2D8E" w:rsidRDefault="00DE2D8E" w:rsidP="00DE2D8E">
      <w:pPr>
        <w:pStyle w:val="Prrafodelista"/>
        <w:numPr>
          <w:ilvl w:val="0"/>
          <w:numId w:val="45"/>
        </w:numPr>
      </w:pPr>
      <w:r>
        <w:t>Edad</w:t>
      </w:r>
    </w:p>
    <w:p w14:paraId="3C39FACA" w14:textId="4AF076C8" w:rsidR="00DE2D8E" w:rsidRDefault="00DE2D8E" w:rsidP="00DE2D8E">
      <w:pPr>
        <w:pStyle w:val="Prrafodelista"/>
        <w:numPr>
          <w:ilvl w:val="0"/>
          <w:numId w:val="45"/>
        </w:numPr>
      </w:pPr>
      <w:r>
        <w:t>Mujer</w:t>
      </w:r>
    </w:p>
    <w:p w14:paraId="204083A6" w14:textId="50FAA1D7" w:rsidR="00DE2D8E" w:rsidRDefault="00DE2D8E" w:rsidP="00DE2D8E">
      <w:pPr>
        <w:pStyle w:val="Prrafodelista"/>
        <w:numPr>
          <w:ilvl w:val="0"/>
          <w:numId w:val="45"/>
        </w:numPr>
      </w:pPr>
      <w:r>
        <w:t>Indígena</w:t>
      </w:r>
    </w:p>
    <w:p w14:paraId="3A1FA2E0" w14:textId="2D64BE0B" w:rsidR="00DE2D8E" w:rsidRDefault="00DE2D8E" w:rsidP="00DE2D8E">
      <w:pPr>
        <w:pStyle w:val="Prrafodelista"/>
        <w:numPr>
          <w:ilvl w:val="0"/>
          <w:numId w:val="45"/>
        </w:numPr>
      </w:pPr>
      <w:r>
        <w:t>Ubicado en la zona rural</w:t>
      </w:r>
    </w:p>
    <w:p w14:paraId="0CDB7342" w14:textId="50EC8FD1" w:rsidR="00DE2D8E" w:rsidRDefault="00DE2D8E" w:rsidP="00DE2D8E">
      <w:pPr>
        <w:pStyle w:val="Prrafodelista"/>
        <w:numPr>
          <w:ilvl w:val="0"/>
          <w:numId w:val="45"/>
        </w:numPr>
      </w:pPr>
      <w:r>
        <w:t>Hogar con jefatura femenina</w:t>
      </w:r>
    </w:p>
    <w:p w14:paraId="1E562A15" w14:textId="03673534" w:rsidR="00DE2D8E" w:rsidRDefault="00DE2D8E" w:rsidP="00DE2D8E">
      <w:pPr>
        <w:pStyle w:val="Prrafodelista"/>
        <w:numPr>
          <w:ilvl w:val="0"/>
          <w:numId w:val="45"/>
        </w:numPr>
      </w:pPr>
      <w:r>
        <w:t>Hogar que recibió Bono Vida Mejor</w:t>
      </w:r>
    </w:p>
    <w:p w14:paraId="0C94BD0D" w14:textId="47C1D512" w:rsidR="00DE2D8E" w:rsidRDefault="00DE2D8E" w:rsidP="00DE2D8E">
      <w:pPr>
        <w:pStyle w:val="Prrafodelista"/>
        <w:numPr>
          <w:ilvl w:val="0"/>
          <w:numId w:val="45"/>
        </w:numPr>
      </w:pPr>
      <w:r>
        <w:t>Número de personas en el hogar</w:t>
      </w:r>
    </w:p>
    <w:p w14:paraId="7217F8FD" w14:textId="6AC6BF4F" w:rsidR="00DE2D8E" w:rsidRDefault="00DE2D8E" w:rsidP="00DE2D8E">
      <w:pPr>
        <w:pStyle w:val="Prrafodelista"/>
        <w:numPr>
          <w:ilvl w:val="0"/>
          <w:numId w:val="45"/>
        </w:numPr>
      </w:pPr>
      <w:r>
        <w:t>Número de niños y niñas menores de seis años en el hogar</w:t>
      </w:r>
    </w:p>
    <w:p w14:paraId="65A633AE" w14:textId="505AA06C" w:rsidR="00DE2D8E" w:rsidRDefault="00DE2D8E" w:rsidP="00DE2D8E">
      <w:pPr>
        <w:pStyle w:val="Prrafodelista"/>
        <w:numPr>
          <w:ilvl w:val="0"/>
          <w:numId w:val="45"/>
        </w:numPr>
      </w:pPr>
      <w:r>
        <w:t>Educación de la madre</w:t>
      </w:r>
    </w:p>
    <w:p w14:paraId="3FC938F5" w14:textId="5AACF1C9" w:rsidR="00DE2D8E" w:rsidRDefault="00DE2D8E" w:rsidP="00DE2D8E">
      <w:pPr>
        <w:pStyle w:val="Prrafodelista"/>
        <w:numPr>
          <w:ilvl w:val="0"/>
          <w:numId w:val="45"/>
        </w:numPr>
      </w:pPr>
      <w:r>
        <w:t>Material de los pisos</w:t>
      </w:r>
    </w:p>
    <w:p w14:paraId="37C49033" w14:textId="73906747" w:rsidR="00DE2D8E" w:rsidRDefault="00DE2D8E" w:rsidP="00DE2D8E">
      <w:pPr>
        <w:pStyle w:val="Prrafodelista"/>
        <w:numPr>
          <w:ilvl w:val="0"/>
          <w:numId w:val="45"/>
        </w:numPr>
      </w:pPr>
      <w:r>
        <w:t>Material de las paredes</w:t>
      </w:r>
    </w:p>
    <w:p w14:paraId="05D704A9" w14:textId="467C5FA4" w:rsidR="00DE2D8E" w:rsidRDefault="00DE2D8E" w:rsidP="00DE2D8E">
      <w:pPr>
        <w:pStyle w:val="Prrafodelista"/>
        <w:numPr>
          <w:ilvl w:val="0"/>
          <w:numId w:val="45"/>
        </w:numPr>
      </w:pPr>
      <w:r>
        <w:t>Material del techo</w:t>
      </w:r>
    </w:p>
    <w:p w14:paraId="10A6B86F" w14:textId="77777777" w:rsidR="00DE2D8E" w:rsidRDefault="00DE2D8E" w:rsidP="00DE2D8E">
      <w:pPr>
        <w:sectPr w:rsidR="00DE2D8E" w:rsidSect="00DE2D8E">
          <w:type w:val="continuous"/>
          <w:pgSz w:w="12240" w:h="15840"/>
          <w:pgMar w:top="1417" w:right="1325" w:bottom="1417" w:left="1418" w:header="708" w:footer="708" w:gutter="0"/>
          <w:cols w:num="2" w:space="708"/>
          <w:docGrid w:linePitch="360"/>
        </w:sectPr>
      </w:pPr>
    </w:p>
    <w:p w14:paraId="2F95FE23" w14:textId="13AA0D54" w:rsidR="00DE2D8E" w:rsidRDefault="00DE2D8E" w:rsidP="00DE2D8E">
      <w:pPr>
        <w:pStyle w:val="Descripcin"/>
      </w:pPr>
      <w:r>
        <w:t xml:space="preserve">Figura </w:t>
      </w:r>
      <w:r>
        <w:fldChar w:fldCharType="begin"/>
      </w:r>
      <w:r>
        <w:instrText xml:space="preserve"> STYLEREF 1 \s </w:instrText>
      </w:r>
      <w:r>
        <w:fldChar w:fldCharType="separate"/>
      </w:r>
      <w:r w:rsidR="002A26C4">
        <w:rPr>
          <w:noProof/>
        </w:rPr>
        <w:t>3</w:t>
      </w:r>
      <w:r>
        <w:fldChar w:fldCharType="end"/>
      </w:r>
      <w:r>
        <w:t>.</w:t>
      </w:r>
      <w:r>
        <w:fldChar w:fldCharType="begin"/>
      </w:r>
      <w:r>
        <w:instrText xml:space="preserve"> SEQ Figura \* ARABIC \s 1 </w:instrText>
      </w:r>
      <w:r>
        <w:fldChar w:fldCharType="separate"/>
      </w:r>
      <w:r w:rsidR="002A26C4">
        <w:rPr>
          <w:noProof/>
        </w:rPr>
        <w:t>6</w:t>
      </w:r>
      <w:r>
        <w:fldChar w:fldCharType="end"/>
      </w:r>
      <w:r>
        <w:t xml:space="preserve"> – Análisis módulo </w:t>
      </w:r>
      <w:r>
        <w:t>5</w:t>
      </w:r>
      <w:r>
        <w:t xml:space="preserve"> para la desnutrición crónica</w:t>
      </w:r>
    </w:p>
    <w:p w14:paraId="2843477A" w14:textId="20775753" w:rsidR="00DE2D8E" w:rsidRDefault="00915962" w:rsidP="00DE2D8E">
      <w:r w:rsidRPr="00915962">
        <w:drawing>
          <wp:inline distT="0" distB="0" distL="0" distR="0" wp14:anchorId="27B5A53D" wp14:editId="705B4D57">
            <wp:extent cx="6030595" cy="2170430"/>
            <wp:effectExtent l="0" t="0" r="8255"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0595" cy="2170430"/>
                    </a:xfrm>
                    <a:prstGeom prst="rect">
                      <a:avLst/>
                    </a:prstGeom>
                    <a:noFill/>
                    <a:ln>
                      <a:noFill/>
                    </a:ln>
                  </pic:spPr>
                </pic:pic>
              </a:graphicData>
            </a:graphic>
          </wp:inline>
        </w:drawing>
      </w:r>
    </w:p>
    <w:p w14:paraId="3819E717" w14:textId="77777777" w:rsidR="00DE2D8E" w:rsidRDefault="00DE2D8E" w:rsidP="00DE2D8E">
      <w:pPr>
        <w:pStyle w:val="PiedeCuadro"/>
      </w:pPr>
      <w:r>
        <w:t>Fuente: Elaboración propia</w:t>
      </w:r>
    </w:p>
    <w:p w14:paraId="2C6DE209" w14:textId="509CADBE" w:rsidR="00DE2D8E" w:rsidRDefault="00DE2D8E" w:rsidP="00DE2D8E">
      <w:r>
        <w:t>Como se puede ver en la figura son seis elementos que se pueden observar del modelo, estos son:</w:t>
      </w:r>
    </w:p>
    <w:p w14:paraId="25C2353B" w14:textId="200136DE" w:rsidR="00DE2D8E" w:rsidRDefault="00DE2D8E" w:rsidP="00DE2D8E">
      <w:pPr>
        <w:pStyle w:val="Prrafodelista"/>
        <w:numPr>
          <w:ilvl w:val="0"/>
          <w:numId w:val="46"/>
        </w:numPr>
      </w:pPr>
      <w:r>
        <w:t>Nombre del indicador</w:t>
      </w:r>
    </w:p>
    <w:p w14:paraId="69A2B5E4" w14:textId="1E303C32" w:rsidR="00DE2D8E" w:rsidRDefault="00DE2D8E" w:rsidP="00DE2D8E">
      <w:pPr>
        <w:pStyle w:val="Prrafodelista"/>
        <w:numPr>
          <w:ilvl w:val="0"/>
          <w:numId w:val="46"/>
        </w:numPr>
      </w:pPr>
      <w:r>
        <w:lastRenderedPageBreak/>
        <w:t>Número de observaciones con la que se estiman los parámetros</w:t>
      </w:r>
    </w:p>
    <w:p w14:paraId="3B820702" w14:textId="66D6E178" w:rsidR="00DE2D8E" w:rsidRDefault="00DE2D8E" w:rsidP="00DE2D8E">
      <w:pPr>
        <w:pStyle w:val="Prrafodelista"/>
        <w:numPr>
          <w:ilvl w:val="0"/>
          <w:numId w:val="46"/>
        </w:numPr>
      </w:pPr>
      <w:r>
        <w:t>Nombre de la variable (Factor)</w:t>
      </w:r>
    </w:p>
    <w:p w14:paraId="5C94A444" w14:textId="6899A5BC" w:rsidR="00DE2D8E" w:rsidRDefault="00DE2D8E" w:rsidP="00DE2D8E">
      <w:pPr>
        <w:pStyle w:val="Prrafodelista"/>
        <w:numPr>
          <w:ilvl w:val="0"/>
          <w:numId w:val="46"/>
        </w:numPr>
      </w:pPr>
      <w:r>
        <w:t>Magnitud del efecto sobre el indicador en puntos porcentuales</w:t>
      </w:r>
    </w:p>
    <w:p w14:paraId="697806DE" w14:textId="05467A47" w:rsidR="00DE2D8E" w:rsidRDefault="00DE2D8E" w:rsidP="00DE2D8E">
      <w:pPr>
        <w:pStyle w:val="Prrafodelista"/>
        <w:numPr>
          <w:ilvl w:val="0"/>
          <w:numId w:val="46"/>
        </w:numPr>
      </w:pPr>
      <w:r>
        <w:t>Significancia del estimador al 95% de confianza</w:t>
      </w:r>
    </w:p>
    <w:p w14:paraId="7BCDB1E2" w14:textId="2C9BCEEE" w:rsidR="00DE2D8E" w:rsidRDefault="00DE2D8E" w:rsidP="00DE2D8E">
      <w:pPr>
        <w:pStyle w:val="Prrafodelista"/>
        <w:numPr>
          <w:ilvl w:val="0"/>
          <w:numId w:val="46"/>
        </w:numPr>
      </w:pPr>
      <w:r>
        <w:t>Dirección del efecto significativo</w:t>
      </w:r>
    </w:p>
    <w:p w14:paraId="705E385B" w14:textId="26AEA326" w:rsidR="00DE2D8E" w:rsidRDefault="00DE2D8E" w:rsidP="00DE2D8E">
      <w:r>
        <w:t xml:space="preserve">A partir de el ejemplo que se coloca en la figura anterior se podría decir: En los municipios intervenidos por </w:t>
      </w:r>
      <w:proofErr w:type="spellStart"/>
      <w:r>
        <w:t>CcA</w:t>
      </w:r>
      <w:proofErr w:type="spellEnd"/>
      <w:r>
        <w:t>, ser un municipio intervenido por Unicef aumenta significativamente la probabilidad del niño o niña menor de cinco años de tener desnutrición crónica en 10,55 puntos porcentuales.</w:t>
      </w:r>
    </w:p>
    <w:p w14:paraId="14B5BD1A" w14:textId="317ABD8D" w:rsidR="00DE2D8E" w:rsidRDefault="00DE2D8E" w:rsidP="00DE2D8E">
      <w:r>
        <w:t xml:space="preserve">Para finalizar, </w:t>
      </w:r>
      <w:r w:rsidR="002A26C4">
        <w:t>en la pestaña de Ficha ET se cuentan con dos módulos. En cada uno se utilizan las observaciones de cada encuesta (EDESA = Nacional | EHU = 37 municipios), para identificar si existen diferencias por sexo entre los municipios intervenidos y no intervenidos, y diferencias por reconocerse como indígena entre los municipios intervenidos y los no intervenidos.</w:t>
      </w:r>
    </w:p>
    <w:p w14:paraId="4CC69FCA" w14:textId="4C335FF8" w:rsidR="00915962" w:rsidRDefault="002A26C4" w:rsidP="00DE2D8E">
      <w:r>
        <w:t>La herramienta de Excel se encuentra protegida, tanto el libro como cada una de sus hojas, con el fin de no modificar su contenido. Sin embargo, si en un futuro es necesario intervenir la herramienta o tener acceso a los insumos que utiliza, en los cuales se puede ver el detalle de cada una de las estimaciones estadísticas utilizadas, se puede desproteger tanto el libro como las hojas con la siguiente clave: EcoCcA_2020.</w:t>
      </w:r>
    </w:p>
    <w:p w14:paraId="69F58283" w14:textId="77777777" w:rsidR="00915962" w:rsidRDefault="00915962">
      <w:pPr>
        <w:spacing w:before="0" w:after="120"/>
      </w:pPr>
      <w:r>
        <w:br w:type="page"/>
      </w:r>
    </w:p>
    <w:sdt>
      <w:sdtPr>
        <w:rPr>
          <w:lang w:val="es-ES"/>
        </w:rPr>
        <w:id w:val="-1456251478"/>
        <w:docPartObj>
          <w:docPartGallery w:val="Bibliographies"/>
          <w:docPartUnique/>
        </w:docPartObj>
      </w:sdtPr>
      <w:sdtEndPr>
        <w:rPr>
          <w:rFonts w:ascii="Garamond" w:eastAsiaTheme="minorEastAsia" w:hAnsi="Garamond" w:cstheme="minorBidi"/>
          <w:bCs w:val="0"/>
          <w:smallCaps w:val="0"/>
          <w:color w:val="auto"/>
          <w:sz w:val="26"/>
          <w:szCs w:val="26"/>
          <w:lang w:val="es-CO"/>
        </w:rPr>
      </w:sdtEndPr>
      <w:sdtContent>
        <w:p w14:paraId="3B6E24C8" w14:textId="778C18A2" w:rsidR="00915962" w:rsidRDefault="00915962">
          <w:pPr>
            <w:pStyle w:val="Ttulo1"/>
          </w:pPr>
          <w:r>
            <w:rPr>
              <w:lang w:val="es-ES"/>
            </w:rPr>
            <w:t>Referencias</w:t>
          </w:r>
        </w:p>
        <w:sdt>
          <w:sdtPr>
            <w:id w:val="-573587230"/>
            <w:bibliography/>
          </w:sdtPr>
          <w:sdtContent>
            <w:p w14:paraId="67319950" w14:textId="77777777" w:rsidR="00915962" w:rsidRDefault="00915962" w:rsidP="00915962">
              <w:pPr>
                <w:pStyle w:val="Bibliografa"/>
                <w:ind w:left="720" w:hanging="720"/>
                <w:rPr>
                  <w:noProof/>
                  <w:sz w:val="24"/>
                  <w:szCs w:val="24"/>
                  <w:lang w:val="es-ES"/>
                </w:rPr>
              </w:pPr>
              <w:r>
                <w:fldChar w:fldCharType="begin"/>
              </w:r>
              <w:r>
                <w:instrText>BIBLIOGRAPHY</w:instrText>
              </w:r>
              <w:r>
                <w:fldChar w:fldCharType="separate"/>
              </w:r>
              <w:r>
                <w:rPr>
                  <w:noProof/>
                  <w:lang w:val="es-ES"/>
                </w:rPr>
                <w:t xml:space="preserve">ANED Consultores. (2019). </w:t>
              </w:r>
              <w:r>
                <w:rPr>
                  <w:i/>
                  <w:iCs/>
                  <w:noProof/>
                  <w:lang w:val="es-ES"/>
                </w:rPr>
                <w:t>Línea de Base del Programa de Cooperación de UNICEF y el Proyecto PRONIÑEZ.</w:t>
              </w:r>
              <w:r>
                <w:rPr>
                  <w:noProof/>
                  <w:lang w:val="es-ES"/>
                </w:rPr>
                <w:t xml:space="preserve"> </w:t>
              </w:r>
            </w:p>
            <w:p w14:paraId="74D388AC" w14:textId="77777777" w:rsidR="00915962" w:rsidRDefault="00915962" w:rsidP="00915962">
              <w:pPr>
                <w:pStyle w:val="Bibliografa"/>
                <w:ind w:left="720" w:hanging="720"/>
                <w:rPr>
                  <w:noProof/>
                  <w:lang w:val="es-ES"/>
                </w:rPr>
              </w:pPr>
              <w:r w:rsidRPr="00915962">
                <w:rPr>
                  <w:noProof/>
                  <w:lang w:val="en-GB"/>
                </w:rPr>
                <w:t xml:space="preserve">Core Group. (2008). </w:t>
              </w:r>
              <w:r w:rsidRPr="00915962">
                <w:rPr>
                  <w:i/>
                  <w:iCs/>
                  <w:noProof/>
                  <w:lang w:val="en-GB"/>
                </w:rPr>
                <w:t>LQAS FREQUENTLY ASKED QUESTIONS.</w:t>
              </w:r>
              <w:r w:rsidRPr="00915962">
                <w:rPr>
                  <w:noProof/>
                  <w:lang w:val="en-GB"/>
                </w:rPr>
                <w:t xml:space="preserve"> </w:t>
              </w:r>
              <w:r>
                <w:rPr>
                  <w:noProof/>
                  <w:lang w:val="es-ES"/>
                </w:rPr>
                <w:t>Obtenido de https://www.mchip.net/sites/default/files/LQAS_FAQ.pdf</w:t>
              </w:r>
            </w:p>
            <w:p w14:paraId="0B85DC9C" w14:textId="007DDCCB" w:rsidR="00915962" w:rsidRDefault="00915962" w:rsidP="00915962">
              <w:r>
                <w:rPr>
                  <w:b/>
                  <w:bCs/>
                </w:rPr>
                <w:fldChar w:fldCharType="end"/>
              </w:r>
            </w:p>
          </w:sdtContent>
        </w:sdt>
      </w:sdtContent>
    </w:sdt>
    <w:p w14:paraId="3FDAE942" w14:textId="77777777" w:rsidR="002A26C4" w:rsidRPr="00D1582D" w:rsidRDefault="002A26C4" w:rsidP="00DE2D8E"/>
    <w:sectPr w:rsidR="002A26C4" w:rsidRPr="00D1582D" w:rsidSect="00DE2D8E">
      <w:type w:val="continuous"/>
      <w:pgSz w:w="12240" w:h="15840"/>
      <w:pgMar w:top="1417"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C8091" w14:textId="77777777" w:rsidR="0002727C" w:rsidRDefault="0002727C" w:rsidP="009022D6">
      <w:pPr>
        <w:spacing w:before="0" w:line="240" w:lineRule="auto"/>
      </w:pPr>
      <w:r>
        <w:separator/>
      </w:r>
    </w:p>
    <w:p w14:paraId="40CD132B" w14:textId="77777777" w:rsidR="0002727C" w:rsidRDefault="0002727C"/>
  </w:endnote>
  <w:endnote w:type="continuationSeparator" w:id="0">
    <w:p w14:paraId="4087AA7C" w14:textId="77777777" w:rsidR="0002727C" w:rsidRDefault="0002727C" w:rsidP="009022D6">
      <w:pPr>
        <w:spacing w:before="0" w:line="240" w:lineRule="auto"/>
      </w:pPr>
      <w:r>
        <w:continuationSeparator/>
      </w:r>
    </w:p>
    <w:p w14:paraId="2FA41E88" w14:textId="77777777" w:rsidR="0002727C" w:rsidRDefault="0002727C"/>
  </w:endnote>
  <w:endnote w:type="continuationNotice" w:id="1">
    <w:p w14:paraId="54D02EE4" w14:textId="77777777" w:rsidR="0002727C" w:rsidRDefault="0002727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Ebrima">
    <w:panose1 w:val="02000000000000000000"/>
    <w:charset w:val="00"/>
    <w:family w:val="auto"/>
    <w:pitch w:val="variable"/>
    <w:sig w:usb0="A000005F" w:usb1="02000041" w:usb2="00000800" w:usb3="00000000" w:csb0="00000093" w:csb1="00000000"/>
  </w:font>
  <w:font w:name="Lucida Grande">
    <w:altName w:val="Segoe UI"/>
    <w:charset w:val="00"/>
    <w:family w:val="auto"/>
    <w:pitch w:val="variable"/>
    <w:sig w:usb0="00000000"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96"/>
      <w:gridCol w:w="3496"/>
      <w:gridCol w:w="3496"/>
    </w:tblGrid>
    <w:tr w:rsidR="00A53ECF" w14:paraId="65A92380" w14:textId="77777777" w:rsidTr="00B6275D">
      <w:tc>
        <w:tcPr>
          <w:tcW w:w="3496" w:type="dxa"/>
        </w:tcPr>
        <w:p w14:paraId="68D4DA1F" w14:textId="77777777" w:rsidR="00A53ECF" w:rsidRDefault="00A53ECF" w:rsidP="00B6275D">
          <w:pPr>
            <w:ind w:left="-115"/>
            <w:jc w:val="left"/>
          </w:pPr>
        </w:p>
      </w:tc>
      <w:tc>
        <w:tcPr>
          <w:tcW w:w="3496" w:type="dxa"/>
        </w:tcPr>
        <w:p w14:paraId="48C0C375" w14:textId="77777777" w:rsidR="00A53ECF" w:rsidRDefault="00A53ECF" w:rsidP="00B6275D">
          <w:pPr>
            <w:jc w:val="center"/>
          </w:pPr>
        </w:p>
      </w:tc>
      <w:tc>
        <w:tcPr>
          <w:tcW w:w="3496" w:type="dxa"/>
        </w:tcPr>
        <w:p w14:paraId="2617446F" w14:textId="77777777" w:rsidR="00A53ECF" w:rsidRDefault="00A53ECF" w:rsidP="00B6275D">
          <w:pPr>
            <w:ind w:right="-115"/>
            <w:jc w:val="right"/>
          </w:pPr>
        </w:p>
      </w:tc>
    </w:tr>
  </w:tbl>
  <w:p w14:paraId="24C3C2CA" w14:textId="77777777" w:rsidR="00A53ECF" w:rsidRDefault="00A53ECF" w:rsidP="00B627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9828243"/>
      <w:docPartObj>
        <w:docPartGallery w:val="Page Numbers (Bottom of Page)"/>
        <w:docPartUnique/>
      </w:docPartObj>
    </w:sdtPr>
    <w:sdtContent>
      <w:p w14:paraId="0D97D91D" w14:textId="77777777" w:rsidR="00A53ECF" w:rsidRDefault="00A53ECF">
        <w:pPr>
          <w:pStyle w:val="Piedepgina"/>
          <w:jc w:val="center"/>
        </w:pPr>
        <w:r>
          <w:fldChar w:fldCharType="begin"/>
        </w:r>
        <w:r>
          <w:instrText>PAGE   \* MERGEFORMAT</w:instrText>
        </w:r>
        <w:r>
          <w:fldChar w:fldCharType="separate"/>
        </w:r>
        <w:r w:rsidRPr="00CD5EF1">
          <w:rPr>
            <w:noProof/>
            <w:lang w:val="es-ES"/>
          </w:rPr>
          <w:t>ii</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5CDB9" w14:textId="77777777" w:rsidR="00A53ECF" w:rsidRPr="00A560BD" w:rsidRDefault="00A53ECF" w:rsidP="00307D4C">
    <w:pPr>
      <w:pStyle w:val="Piedepgina"/>
    </w:pPr>
    <w:r w:rsidRPr="00BB3B01">
      <w:rPr>
        <w:noProof/>
        <w:lang w:val="es-ES" w:eastAsia="es-ES"/>
      </w:rPr>
      <mc:AlternateContent>
        <mc:Choice Requires="wps">
          <w:drawing>
            <wp:anchor distT="0" distB="0" distL="114300" distR="114300" simplePos="0" relativeHeight="251670534" behindDoc="0" locked="0" layoutInCell="0" allowOverlap="1" wp14:anchorId="68471BDE" wp14:editId="0B04F01D">
              <wp:simplePos x="0" y="0"/>
              <wp:positionH relativeFrom="rightMargin">
                <wp:posOffset>267335</wp:posOffset>
              </wp:positionH>
              <wp:positionV relativeFrom="margin">
                <wp:posOffset>6139180</wp:posOffset>
              </wp:positionV>
              <wp:extent cx="480695" cy="2183130"/>
              <wp:effectExtent l="0" t="0" r="381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695" cy="21831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7B40A2B" w14:textId="77777777" w:rsidR="00A53ECF" w:rsidRPr="00BB3B01" w:rsidRDefault="00A53ECF">
                          <w:pPr>
                            <w:pStyle w:val="Piedepgina"/>
                            <w:rPr>
                              <w:rFonts w:ascii="Cambria" w:eastAsiaTheme="majorEastAsia" w:hAnsi="Cambria" w:cstheme="majorBidi"/>
                              <w:sz w:val="44"/>
                              <w:szCs w:val="44"/>
                            </w:rPr>
                          </w:pPr>
                          <w:r w:rsidRPr="003F7FAF">
                            <w:rPr>
                              <w:rFonts w:ascii="Cambria" w:eastAsiaTheme="majorEastAsia" w:hAnsi="Cambria" w:cstheme="majorBidi"/>
                              <w:sz w:val="22"/>
                              <w:szCs w:val="22"/>
                              <w:lang w:val="es-ES"/>
                            </w:rPr>
                            <w:t>Página</w:t>
                          </w:r>
                          <w:r w:rsidRPr="00357775">
                            <w:rPr>
                              <w:rFonts w:ascii="Cambria" w:hAnsi="Cambria" w:cs="Times New Roman"/>
                              <w:sz w:val="40"/>
                              <w:szCs w:val="40"/>
                            </w:rPr>
                            <w:fldChar w:fldCharType="begin"/>
                          </w:r>
                          <w:r w:rsidRPr="00357775">
                            <w:rPr>
                              <w:rFonts w:ascii="Cambria" w:hAnsi="Cambria"/>
                              <w:sz w:val="40"/>
                              <w:szCs w:val="40"/>
                            </w:rPr>
                            <w:instrText>PAGE    \* MERGEFORMAT</w:instrText>
                          </w:r>
                          <w:r w:rsidRPr="00357775">
                            <w:rPr>
                              <w:rFonts w:ascii="Cambria" w:hAnsi="Cambria" w:cs="Times New Roman"/>
                              <w:sz w:val="40"/>
                              <w:szCs w:val="40"/>
                            </w:rPr>
                            <w:fldChar w:fldCharType="separate"/>
                          </w:r>
                          <w:r w:rsidRPr="00CD5EF1">
                            <w:rPr>
                              <w:rFonts w:ascii="Cambria" w:eastAsiaTheme="majorEastAsia" w:hAnsi="Cambria" w:cstheme="majorBidi"/>
                              <w:noProof/>
                              <w:sz w:val="40"/>
                              <w:szCs w:val="40"/>
                              <w:lang w:val="es-ES"/>
                            </w:rPr>
                            <w:t>126</w:t>
                          </w:r>
                          <w:r w:rsidRPr="00357775">
                            <w:rPr>
                              <w:rFonts w:ascii="Cambria" w:eastAsiaTheme="majorEastAsia" w:hAnsi="Cambria" w:cstheme="majorBidi"/>
                              <w:sz w:val="40"/>
                              <w:szCs w:val="4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8471BDE" id="Rectángulo 32" o:spid="_x0000_s1026" style="position:absolute;left:0;text-align:left;margin-left:21.05pt;margin-top:483.4pt;width:37.85pt;height:171.9pt;z-index:25167053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5ru+QEAAMYDAAAOAAAAZHJzL2Uyb0RvYy54bWysU1tu2zAQ/C/QOxD8r/WwkziC5SBI4KJA&#10;2gZNewCaoiSiEpdd0pZ8nJ6lF8uSclyn/Sv6Q2gfXM7MjlY3Y9+xvUKnwZQ8m6WcKSOh0qYp+bev&#10;m3dLzpwXphIdGFXyg3L8Zv32zWqwhcqhha5SyGiIccVgS956b4skcbJVvXAzsMpQsQbshacQm6RC&#10;MdD0vkvyNL1MBsDKIkjlHGXvpyJfx/l1raT/XNdOedaVnLD5eGI8t+FM1itRNChsq+URhvgHFL3Q&#10;hh49jboXXrAd6r9G9VoiOKj9TEKfQF1rqSIHYpOlf7B5aoVVkQuJ4+xJJvf/xspP+0dkuir5POfM&#10;iJ529IVU+/XTNLsOGGVJosG6gjqf7CMGks4+gPzumIG7VphG3SLC0CpREbAs9CevLoTA0VW2HT5C&#10;RQ+InYeo1lhjHwaSDmyMSzmclqJGzyQlF8v08vqCM0mlPFvOs3ncWiKKl9sWnX+voGfho+RI8ON0&#10;sX9wPqARxUtLeMzARnddXHxnXiWoMWQi+gB4Iu7H7XjUYAvVgXggTD4i39NHOPMrMtdANiq5+7ET&#10;qDjrPhiS4zpbLILvYrC4uMopwPPK9rwijGyB3Ck9cjYFd35y686iblp6LovcnL0lETc68gsCT9CO&#10;4MkskfbR2MGN53Hs+v37rZ8BAAD//wMAUEsDBBQABgAIAAAAIQCj9Cg13gAAAAsBAAAPAAAAZHJz&#10;L2Rvd25yZXYueG1sTI/BTsMwEETvSPyDtUjcqOOC3BLiVAiJC0KqaDn06NpLHBHbUey05u/ZnuA2&#10;o32anWk2xQ/shFPqY1AgFhUwDCbaPnQKPvevd2tgKetg9RADKvjBBJv2+qrRtY3n8IGnXe4YhYRU&#10;awUu57HmPBmHXqdFHDHQ7StOXmeyU8ftpM8U7ge+rCrJve4DfXB6xBeH5ns3ewV7WQ6mzAeB72bd&#10;GY1b59+2St3elOcnYBlL/oPhUp+qQ0udjnEONrFBwcNSEKngUUqacAHEisSRxL2oJPC24f83tL8A&#10;AAD//wMAUEsBAi0AFAAGAAgAAAAhALaDOJL+AAAA4QEAABMAAAAAAAAAAAAAAAAAAAAAAFtDb250&#10;ZW50X1R5cGVzXS54bWxQSwECLQAUAAYACAAAACEAOP0h/9YAAACUAQAACwAAAAAAAAAAAAAAAAAv&#10;AQAAX3JlbHMvLnJlbHNQSwECLQAUAAYACAAAACEAlr+a7vkBAADGAwAADgAAAAAAAAAAAAAAAAAu&#10;AgAAZHJzL2Uyb0RvYy54bWxQSwECLQAUAAYACAAAACEAo/QoNd4AAAALAQAADwAAAAAAAAAAAAAA&#10;AABTBAAAZHJzL2Rvd25yZXYueG1sUEsFBgAAAAAEAAQA8wAAAF4FAAAAAA==&#10;" o:allowincell="f" filled="f" stroked="f">
              <v:textbox style="layout-flow:vertical;mso-layout-flow-alt:bottom-to-top;mso-fit-shape-to-text:t">
                <w:txbxContent>
                  <w:p w14:paraId="67B40A2B" w14:textId="77777777" w:rsidR="00A53ECF" w:rsidRPr="00BB3B01" w:rsidRDefault="00A53ECF">
                    <w:pPr>
                      <w:pStyle w:val="Piedepgina"/>
                      <w:rPr>
                        <w:rFonts w:ascii="Cambria" w:eastAsiaTheme="majorEastAsia" w:hAnsi="Cambria" w:cstheme="majorBidi"/>
                        <w:sz w:val="44"/>
                        <w:szCs w:val="44"/>
                      </w:rPr>
                    </w:pPr>
                    <w:r w:rsidRPr="003F7FAF">
                      <w:rPr>
                        <w:rFonts w:ascii="Cambria" w:eastAsiaTheme="majorEastAsia" w:hAnsi="Cambria" w:cstheme="majorBidi"/>
                        <w:sz w:val="22"/>
                        <w:szCs w:val="22"/>
                        <w:lang w:val="es-ES"/>
                      </w:rPr>
                      <w:t>Página</w:t>
                    </w:r>
                    <w:r w:rsidRPr="00357775">
                      <w:rPr>
                        <w:rFonts w:ascii="Cambria" w:hAnsi="Cambria" w:cs="Times New Roman"/>
                        <w:sz w:val="40"/>
                        <w:szCs w:val="40"/>
                      </w:rPr>
                      <w:fldChar w:fldCharType="begin"/>
                    </w:r>
                    <w:r w:rsidRPr="00357775">
                      <w:rPr>
                        <w:rFonts w:ascii="Cambria" w:hAnsi="Cambria"/>
                        <w:sz w:val="40"/>
                        <w:szCs w:val="40"/>
                      </w:rPr>
                      <w:instrText>PAGE    \* MERGEFORMAT</w:instrText>
                    </w:r>
                    <w:r w:rsidRPr="00357775">
                      <w:rPr>
                        <w:rFonts w:ascii="Cambria" w:hAnsi="Cambria" w:cs="Times New Roman"/>
                        <w:sz w:val="40"/>
                        <w:szCs w:val="40"/>
                      </w:rPr>
                      <w:fldChar w:fldCharType="separate"/>
                    </w:r>
                    <w:r w:rsidRPr="00CD5EF1">
                      <w:rPr>
                        <w:rFonts w:ascii="Cambria" w:eastAsiaTheme="majorEastAsia" w:hAnsi="Cambria" w:cstheme="majorBidi"/>
                        <w:noProof/>
                        <w:sz w:val="40"/>
                        <w:szCs w:val="40"/>
                        <w:lang w:val="es-ES"/>
                      </w:rPr>
                      <w:t>126</w:t>
                    </w:r>
                    <w:r w:rsidRPr="00357775">
                      <w:rPr>
                        <w:rFonts w:ascii="Cambria" w:eastAsiaTheme="majorEastAsia" w:hAnsi="Cambria" w:cstheme="majorBidi"/>
                        <w:sz w:val="40"/>
                        <w:szCs w:val="40"/>
                      </w:rPr>
                      <w:fldChar w:fldCharType="end"/>
                    </w:r>
                  </w:p>
                </w:txbxContent>
              </v:textbox>
              <w10:wrap anchorx="margin" anchory="margin"/>
            </v:rect>
          </w:pict>
        </mc:Fallback>
      </mc:AlternateContent>
    </w:r>
    <w:r w:rsidRPr="00BB3B01">
      <w:rPr>
        <w:noProof/>
        <w:lang w:val="es-ES" w:eastAsia="es-ES"/>
      </w:rPr>
      <mc:AlternateContent>
        <mc:Choice Requires="wps">
          <w:drawing>
            <wp:anchor distT="0" distB="0" distL="114300" distR="114300" simplePos="0" relativeHeight="251658244" behindDoc="0" locked="0" layoutInCell="0" allowOverlap="1" wp14:anchorId="577C418E" wp14:editId="54EBC731">
              <wp:simplePos x="0" y="0"/>
              <wp:positionH relativeFrom="rightMargin">
                <wp:posOffset>267335</wp:posOffset>
              </wp:positionH>
              <wp:positionV relativeFrom="margin">
                <wp:posOffset>6139180</wp:posOffset>
              </wp:positionV>
              <wp:extent cx="480695" cy="2183130"/>
              <wp:effectExtent l="0" t="0" r="381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695" cy="21831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01CAA35" w14:textId="77777777" w:rsidR="00A53ECF" w:rsidRPr="00BB3B01" w:rsidRDefault="00A53ECF">
                          <w:pPr>
                            <w:pStyle w:val="Piedepgina"/>
                            <w:rPr>
                              <w:rFonts w:ascii="Cambria" w:eastAsiaTheme="majorEastAsia" w:hAnsi="Cambria" w:cstheme="majorBidi"/>
                              <w:sz w:val="44"/>
                              <w:szCs w:val="44"/>
                            </w:rPr>
                          </w:pPr>
                          <w:r w:rsidRPr="003F7FAF">
                            <w:rPr>
                              <w:rFonts w:ascii="Cambria" w:eastAsiaTheme="majorEastAsia" w:hAnsi="Cambria" w:cstheme="majorBidi"/>
                              <w:sz w:val="22"/>
                              <w:szCs w:val="22"/>
                              <w:lang w:val="es-ES"/>
                            </w:rPr>
                            <w:t>Página</w:t>
                          </w:r>
                          <w:r w:rsidRPr="00357775">
                            <w:rPr>
                              <w:rFonts w:ascii="Cambria" w:hAnsi="Cambria" w:cs="Times New Roman"/>
                              <w:sz w:val="40"/>
                              <w:szCs w:val="40"/>
                            </w:rPr>
                            <w:fldChar w:fldCharType="begin"/>
                          </w:r>
                          <w:r w:rsidRPr="00357775">
                            <w:rPr>
                              <w:rFonts w:ascii="Cambria" w:hAnsi="Cambria"/>
                              <w:sz w:val="40"/>
                              <w:szCs w:val="40"/>
                            </w:rPr>
                            <w:instrText>PAGE    \* MERGEFORMAT</w:instrText>
                          </w:r>
                          <w:r w:rsidRPr="00357775">
                            <w:rPr>
                              <w:rFonts w:ascii="Cambria" w:hAnsi="Cambria" w:cs="Times New Roman"/>
                              <w:sz w:val="40"/>
                              <w:szCs w:val="40"/>
                            </w:rPr>
                            <w:fldChar w:fldCharType="separate"/>
                          </w:r>
                          <w:r w:rsidRPr="00CD5EF1">
                            <w:rPr>
                              <w:rFonts w:ascii="Cambria" w:eastAsiaTheme="majorEastAsia" w:hAnsi="Cambria" w:cstheme="majorBidi"/>
                              <w:noProof/>
                              <w:sz w:val="40"/>
                              <w:szCs w:val="40"/>
                              <w:lang w:val="es-ES"/>
                            </w:rPr>
                            <w:t>126</w:t>
                          </w:r>
                          <w:r w:rsidRPr="00357775">
                            <w:rPr>
                              <w:rFonts w:ascii="Cambria" w:eastAsiaTheme="majorEastAsia" w:hAnsi="Cambria" w:cstheme="majorBidi"/>
                              <w:sz w:val="40"/>
                              <w:szCs w:val="4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77C418E" id="Rectángulo 13" o:spid="_x0000_s1027" style="position:absolute;left:0;text-align:left;margin-left:21.05pt;margin-top:483.4pt;width:37.85pt;height:171.9pt;z-index:2516582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bql+wEAAM0DAAAOAAAAZHJzL2Uyb0RvYy54bWysU1tu2zAQ/C/QOxD8ryXZTuIIloMggYsC&#10;aRs0zQFoipKISlx2SVvycXqWXixLynad9K/oD6F9cDkzO1reDF3LdgqdBlPwbJJypoyEUpu64M/f&#10;1x8WnDkvTClaMKrge+X4zer9u2VvczWFBtpSIaMhxuW9LXjjvc2TxMlGdcJNwCpDxQqwE55CrJMS&#10;RU/TuzaZpull0gOWFkEq5yh7Pxb5Ks6vKiX916pyyrO24ITNxxPjuQlnslqKvEZhGy0PMMQ/oOiE&#10;NvToadS98IJtUf81qtMSwUHlJxK6BKpKSxU5EJssfcPmqRFWRS4kjrMnmdz/Gyu/7B6R6ZJ2N+PM&#10;iI529I1U+/3L1NsWGGVJot66nDqf7CMGks4+gPzhmIG7Rpha3SJC3yhRErAs9CevLoTA0VW26T9D&#10;SQ+IrYeo1lBhFwaSDmyIS9mflqIGzyQl54v08vqCM0mlabaYZbO4tUTkx9sWnf+ooGPho+BI8ON0&#10;sXtwPqAR+bElPGZgrds2Lr41rxLUGDIRfQA8EvfDZhgVOkqxgXJPdBBGO5H96SOc0yvyWE9uKrj7&#10;uRWoOGs/GVLlOpvPg/1iML+4mlKA55XNeUUY2QCZVHrkbAzu/GjarUVdN/RcFik6e0tarnWkGXQe&#10;oR04kGci+4O/gynP49j15y9cvQAAAP//AwBQSwMEFAAGAAgAAAAhAKP0KDXeAAAACwEAAA8AAABk&#10;cnMvZG93bnJldi54bWxMj8FOwzAQRO9I/IO1SNyo44LcEuJUCIkLQqpoOfTo2kscEdtR7LTm79me&#10;4DajfZqdaTbFD+yEU+pjUCAWFTAMJto+dAo+9693a2Ap62D1EAMq+MEEm/b6qtG1jefwgadd7hiF&#10;hFRrBS7nseY8GYdep0UcMdDtK05eZ7JTx+2kzxTuB76sKsm97gN9cHrEF4fmezd7BXtZDqbMB4Hv&#10;Zt0ZjVvn37ZK3d6U5ydgGUv+g+FSn6pDS52OcQ42sUHBw1IQqeBRSppwAcSKxJHEvagk8Lbh/ze0&#10;vwAAAP//AwBQSwECLQAUAAYACAAAACEAtoM4kv4AAADhAQAAEwAAAAAAAAAAAAAAAAAAAAAAW0Nv&#10;bnRlbnRfVHlwZXNdLnhtbFBLAQItABQABgAIAAAAIQA4/SH/1gAAAJQBAAALAAAAAAAAAAAAAAAA&#10;AC8BAABfcmVscy8ucmVsc1BLAQItABQABgAIAAAAIQDnabql+wEAAM0DAAAOAAAAAAAAAAAAAAAA&#10;AC4CAABkcnMvZTJvRG9jLnhtbFBLAQItABQABgAIAAAAIQCj9Cg13gAAAAsBAAAPAAAAAAAAAAAA&#10;AAAAAFUEAABkcnMvZG93bnJldi54bWxQSwUGAAAAAAQABADzAAAAYAUAAAAA&#10;" o:allowincell="f" filled="f" stroked="f">
              <v:textbox style="layout-flow:vertical;mso-layout-flow-alt:bottom-to-top;mso-fit-shape-to-text:t">
                <w:txbxContent>
                  <w:p w14:paraId="201CAA35" w14:textId="77777777" w:rsidR="00A53ECF" w:rsidRPr="00BB3B01" w:rsidRDefault="00A53ECF">
                    <w:pPr>
                      <w:pStyle w:val="Piedepgina"/>
                      <w:rPr>
                        <w:rFonts w:ascii="Cambria" w:eastAsiaTheme="majorEastAsia" w:hAnsi="Cambria" w:cstheme="majorBidi"/>
                        <w:sz w:val="44"/>
                        <w:szCs w:val="44"/>
                      </w:rPr>
                    </w:pPr>
                    <w:r w:rsidRPr="003F7FAF">
                      <w:rPr>
                        <w:rFonts w:ascii="Cambria" w:eastAsiaTheme="majorEastAsia" w:hAnsi="Cambria" w:cstheme="majorBidi"/>
                        <w:sz w:val="22"/>
                        <w:szCs w:val="22"/>
                        <w:lang w:val="es-ES"/>
                      </w:rPr>
                      <w:t>Página</w:t>
                    </w:r>
                    <w:r w:rsidRPr="00357775">
                      <w:rPr>
                        <w:rFonts w:ascii="Cambria" w:hAnsi="Cambria" w:cs="Times New Roman"/>
                        <w:sz w:val="40"/>
                        <w:szCs w:val="40"/>
                      </w:rPr>
                      <w:fldChar w:fldCharType="begin"/>
                    </w:r>
                    <w:r w:rsidRPr="00357775">
                      <w:rPr>
                        <w:rFonts w:ascii="Cambria" w:hAnsi="Cambria"/>
                        <w:sz w:val="40"/>
                        <w:szCs w:val="40"/>
                      </w:rPr>
                      <w:instrText>PAGE    \* MERGEFORMAT</w:instrText>
                    </w:r>
                    <w:r w:rsidRPr="00357775">
                      <w:rPr>
                        <w:rFonts w:ascii="Cambria" w:hAnsi="Cambria" w:cs="Times New Roman"/>
                        <w:sz w:val="40"/>
                        <w:szCs w:val="40"/>
                      </w:rPr>
                      <w:fldChar w:fldCharType="separate"/>
                    </w:r>
                    <w:r w:rsidRPr="00CD5EF1">
                      <w:rPr>
                        <w:rFonts w:ascii="Cambria" w:eastAsiaTheme="majorEastAsia" w:hAnsi="Cambria" w:cstheme="majorBidi"/>
                        <w:noProof/>
                        <w:sz w:val="40"/>
                        <w:szCs w:val="40"/>
                        <w:lang w:val="es-ES"/>
                      </w:rPr>
                      <w:t>126</w:t>
                    </w:r>
                    <w:r w:rsidRPr="00357775">
                      <w:rPr>
                        <w:rFonts w:ascii="Cambria" w:eastAsiaTheme="majorEastAsia" w:hAnsi="Cambria" w:cstheme="majorBidi"/>
                        <w:sz w:val="40"/>
                        <w:szCs w:val="40"/>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B23DA" w14:textId="77777777" w:rsidR="0002727C" w:rsidRDefault="0002727C" w:rsidP="009022D6">
      <w:pPr>
        <w:spacing w:before="0" w:line="240" w:lineRule="auto"/>
      </w:pPr>
      <w:r>
        <w:separator/>
      </w:r>
    </w:p>
  </w:footnote>
  <w:footnote w:type="continuationSeparator" w:id="0">
    <w:p w14:paraId="420FBDED" w14:textId="77777777" w:rsidR="0002727C" w:rsidRDefault="0002727C" w:rsidP="009022D6">
      <w:pPr>
        <w:spacing w:before="0" w:line="240" w:lineRule="auto"/>
      </w:pPr>
      <w:r>
        <w:continuationSeparator/>
      </w:r>
    </w:p>
    <w:p w14:paraId="70F5FED7" w14:textId="77777777" w:rsidR="0002727C" w:rsidRDefault="0002727C"/>
  </w:footnote>
  <w:footnote w:type="continuationNotice" w:id="1">
    <w:p w14:paraId="017A8346" w14:textId="77777777" w:rsidR="0002727C" w:rsidRDefault="0002727C">
      <w:pPr>
        <w:spacing w:before="0" w:line="240" w:lineRule="auto"/>
      </w:pPr>
    </w:p>
  </w:footnote>
  <w:footnote w:id="2">
    <w:p w14:paraId="554010F3" w14:textId="77777777" w:rsidR="008C3E6F" w:rsidRPr="0035160A" w:rsidRDefault="008C3E6F" w:rsidP="008C3E6F">
      <w:pPr>
        <w:pStyle w:val="PiedePagina"/>
        <w:rPr>
          <w:lang w:val="es-MX"/>
        </w:rPr>
      </w:pPr>
      <w:r>
        <w:rPr>
          <w:rStyle w:val="Refdenotaalpie"/>
        </w:rPr>
        <w:footnoteRef/>
      </w:r>
      <w:r>
        <w:t xml:space="preserve"> </w:t>
      </w:r>
      <w:r>
        <w:rPr>
          <w:lang w:val="es-MX"/>
        </w:rPr>
        <w:t xml:space="preserve">Son cuatro los tipos de resultado definidos en la teoría del cambio. Estos se clasifican en dos categorías: La primera categoría corresponde a los impactos esperados, en donde los indicadores definidos buscan identificar el impacto final de las intervenciones en el marco del </w:t>
      </w:r>
      <w:proofErr w:type="spellStart"/>
      <w:r>
        <w:rPr>
          <w:lang w:val="es-MX"/>
        </w:rPr>
        <w:t>SCcA</w:t>
      </w:r>
      <w:proofErr w:type="spellEnd"/>
      <w:r>
        <w:rPr>
          <w:lang w:val="es-MX"/>
        </w:rPr>
        <w:t xml:space="preserve">; la segunda categoría hace referencia a los efectos directos, los cuales capturan los resultados inmediatos de las intervenciones del </w:t>
      </w:r>
      <w:proofErr w:type="spellStart"/>
      <w:r>
        <w:rPr>
          <w:lang w:val="es-MX"/>
        </w:rPr>
        <w:t>SCcA</w:t>
      </w:r>
      <w:proofErr w:type="spellEnd"/>
      <w:r>
        <w:rPr>
          <w:lang w:val="es-MX"/>
        </w:rPr>
        <w:t>. Esta última agrupa los indicadores definidos para la atención integral, la capacidad de gestión y el entorno protector. Los indicadores calculados a partir de registros administrativos contemplan los siguientes tipos de resultados: impacto, atención integral y entorno protector.</w:t>
      </w:r>
    </w:p>
  </w:footnote>
  <w:footnote w:id="3">
    <w:p w14:paraId="45E5C21D" w14:textId="77777777" w:rsidR="00A53ECF" w:rsidRDefault="00A53ECF" w:rsidP="00883E9F">
      <w:pPr>
        <w:pStyle w:val="PiedePagina"/>
      </w:pPr>
      <w:r w:rsidRPr="004A0D8F">
        <w:rPr>
          <w:vertAlign w:val="superscript"/>
        </w:rPr>
        <w:footnoteRef/>
      </w:r>
      <w:r w:rsidRPr="004A0D8F">
        <w:rPr>
          <w:vertAlign w:val="superscript"/>
        </w:rPr>
        <w:t xml:space="preserve"> </w:t>
      </w:r>
      <w:r>
        <w:t>Se toma esta medida con el fin de llamar la atención del lector o tomador de decisiones, que los resultados analizados cumplen con una serie de criterios de calidad estadística. Sin embargo, en los cuadros de salida se presentarán todas las estimaciones con sus diferentes parámetros de calidad con el interés de quien quiera profundizar en algún resultado tenga acceso a toda la información relacionada con la calidad de la estimación.</w:t>
      </w:r>
    </w:p>
  </w:footnote>
  <w:footnote w:id="4">
    <w:p w14:paraId="7ED22024" w14:textId="6F369FD0" w:rsidR="00C34AAE" w:rsidRPr="00C34AAE" w:rsidRDefault="00C34AAE">
      <w:pPr>
        <w:pStyle w:val="Textonotapie"/>
        <w:rPr>
          <w:lang w:val="es-ES"/>
        </w:rPr>
      </w:pPr>
      <w:r>
        <w:rPr>
          <w:rStyle w:val="Refdenotaalpie"/>
        </w:rPr>
        <w:footnoteRef/>
      </w:r>
      <w:r>
        <w:t xml:space="preserve"> </w:t>
      </w:r>
      <w:r>
        <w:rPr>
          <w:lang w:val="es-ES"/>
        </w:rPr>
        <w:t>Definidas como los elementos (3) a (6) en el módulo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1C2A2" w14:textId="77777777" w:rsidR="00A53ECF" w:rsidRPr="00B926EA" w:rsidRDefault="00A53ECF" w:rsidP="00B926EA">
    <w:pPr>
      <w:pStyle w:val="Encabezado1"/>
      <w:jc w:val="left"/>
      <w:rPr>
        <w:lang w:val="es-CO"/>
      </w:rPr>
    </w:pPr>
    <w:sdt>
      <w:sdtPr>
        <w:rPr>
          <w:lang w:val="es-CO"/>
        </w:rPr>
        <w:id w:val="-1092537567"/>
        <w:docPartObj>
          <w:docPartGallery w:val="Page Numbers (Margins)"/>
          <w:docPartUnique/>
        </w:docPartObj>
      </w:sdtPr>
      <w:sdtContent/>
    </w:sdt>
    <w:r w:rsidRPr="00B926EA">
      <w:rPr>
        <w:lang w:val="es-CO"/>
      </w:rPr>
      <w:t>Evaluación de la implementación de la estrategia criando con amor apoyada por UNICEF en Honduras</w:t>
    </w:r>
  </w:p>
  <w:p w14:paraId="63F46B69" w14:textId="02DD9D1C" w:rsidR="00A53ECF" w:rsidRPr="00B926EA" w:rsidRDefault="00A53ECF" w:rsidP="00B926EA">
    <w:pPr>
      <w:pStyle w:val="Encabezado1"/>
      <w:jc w:val="left"/>
      <w:rPr>
        <w:lang w:val="es-CO"/>
      </w:rPr>
    </w:pPr>
    <w:r w:rsidRPr="00B926EA">
      <w:rPr>
        <w:lang w:val="es-CO"/>
      </w:rPr>
      <w:t>Informe</w:t>
    </w:r>
    <w:r>
      <w:rPr>
        <w:lang w:val="es-CO"/>
      </w:rPr>
      <w:t xml:space="preserve"> de evaluación</w:t>
    </w:r>
  </w:p>
  <w:p w14:paraId="32C97B94" w14:textId="298770DA" w:rsidR="00A53ECF" w:rsidRPr="009022D6" w:rsidRDefault="00A53ECF" w:rsidP="00B926EA">
    <w:pPr>
      <w:pStyle w:val="Encabezado1"/>
      <w:jc w:val="left"/>
      <w:rPr>
        <w:lang w:val="es-CO"/>
      </w:rPr>
    </w:pPr>
    <w:r w:rsidRPr="00B926EA">
      <w:rPr>
        <w:lang w:val="es-CO"/>
      </w:rPr>
      <w:t xml:space="preserve">Econometría – </w:t>
    </w:r>
    <w:r>
      <w:rPr>
        <w:lang w:val="es-CO"/>
      </w:rPr>
      <w:t>noviembre</w:t>
    </w:r>
    <w:r w:rsidRPr="00B926EA">
      <w:rPr>
        <w:lang w:val="es-CO"/>
      </w:rPr>
      <w:t xml:space="preserve"> de 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DFB99" w14:textId="77777777" w:rsidR="00A53ECF" w:rsidRDefault="00A53ECF" w:rsidP="009E122A">
    <w:pPr>
      <w:pStyle w:val="Encabezado"/>
      <w:spacing w:before="0"/>
      <w:rPr>
        <w:rFonts w:ascii="Century Gothic" w:eastAsia="Calibri" w:hAnsi="Century Gothic" w:cs="Arial"/>
        <w:color w:val="7F7F7F" w:themeColor="text1" w:themeTint="80"/>
        <w:sz w:val="16"/>
        <w:szCs w:val="16"/>
        <w:lang w:eastAsia="es-ES"/>
      </w:rPr>
    </w:pPr>
    <w:r w:rsidRPr="009E122A">
      <w:rPr>
        <w:rFonts w:ascii="Century Gothic" w:eastAsia="Calibri" w:hAnsi="Century Gothic" w:cs="Arial"/>
        <w:color w:val="7F7F7F" w:themeColor="text1" w:themeTint="80"/>
        <w:sz w:val="16"/>
        <w:szCs w:val="16"/>
        <w:lang w:eastAsia="es-ES"/>
      </w:rPr>
      <w:t>Evaluación de la implementación de la estrategia criando con amor apoyada por UNICEF en Honduras</w:t>
    </w:r>
  </w:p>
  <w:p w14:paraId="3BB9F140" w14:textId="77777777" w:rsidR="00A53ECF" w:rsidRPr="009E122A" w:rsidRDefault="00A53ECF" w:rsidP="009E122A">
    <w:pPr>
      <w:pStyle w:val="Encabezado"/>
      <w:spacing w:before="0"/>
      <w:rPr>
        <w:rFonts w:ascii="Century Gothic" w:eastAsia="Calibri" w:hAnsi="Century Gothic" w:cs="Arial"/>
        <w:color w:val="7F7F7F" w:themeColor="text1" w:themeTint="80"/>
        <w:sz w:val="16"/>
        <w:szCs w:val="16"/>
        <w:lang w:eastAsia="es-ES"/>
      </w:rPr>
    </w:pPr>
    <w:r>
      <w:rPr>
        <w:rFonts w:ascii="Century Gothic" w:eastAsia="Calibri" w:hAnsi="Century Gothic" w:cs="Arial"/>
        <w:color w:val="7F7F7F" w:themeColor="text1" w:themeTint="80"/>
        <w:sz w:val="16"/>
        <w:szCs w:val="16"/>
        <w:lang w:eastAsia="es-ES"/>
      </w:rPr>
      <w:t>Informe final</w:t>
    </w:r>
  </w:p>
  <w:p w14:paraId="676907D4" w14:textId="77777777" w:rsidR="00A53ECF" w:rsidRPr="00A764ED" w:rsidRDefault="00A53ECF" w:rsidP="009E122A">
    <w:pPr>
      <w:pStyle w:val="Encabezado1"/>
      <w:jc w:val="both"/>
      <w:rPr>
        <w:lang w:val="es-CO"/>
      </w:rPr>
    </w:pPr>
    <w:r w:rsidRPr="00A764ED">
      <w:rPr>
        <w:lang w:val="es-CO"/>
      </w:rPr>
      <w:t>Econometría – 2 de octubre de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73E25"/>
    <w:multiLevelType w:val="hybridMultilevel"/>
    <w:tmpl w:val="20E455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1694215"/>
    <w:multiLevelType w:val="hybridMultilevel"/>
    <w:tmpl w:val="E1D405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A74D0"/>
    <w:multiLevelType w:val="hybridMultilevel"/>
    <w:tmpl w:val="66425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9F4D51"/>
    <w:multiLevelType w:val="hybridMultilevel"/>
    <w:tmpl w:val="E75C71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B15F16"/>
    <w:multiLevelType w:val="hybridMultilevel"/>
    <w:tmpl w:val="1C566FC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306A2"/>
    <w:multiLevelType w:val="hybridMultilevel"/>
    <w:tmpl w:val="3DD2306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 w15:restartNumberingAfterBreak="0">
    <w:nsid w:val="0ECE2DC5"/>
    <w:multiLevelType w:val="hybridMultilevel"/>
    <w:tmpl w:val="27D22B26"/>
    <w:lvl w:ilvl="0" w:tplc="C3A047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D4223B"/>
    <w:multiLevelType w:val="hybridMultilevel"/>
    <w:tmpl w:val="6110F6A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C14DCB"/>
    <w:multiLevelType w:val="hybridMultilevel"/>
    <w:tmpl w:val="7604E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D80B83"/>
    <w:multiLevelType w:val="hybridMultilevel"/>
    <w:tmpl w:val="92D463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E45539"/>
    <w:multiLevelType w:val="hybridMultilevel"/>
    <w:tmpl w:val="81F4CF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1F78CA"/>
    <w:multiLevelType w:val="hybridMultilevel"/>
    <w:tmpl w:val="62DC0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73310"/>
    <w:multiLevelType w:val="hybridMultilevel"/>
    <w:tmpl w:val="723A8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1F5945"/>
    <w:multiLevelType w:val="hybridMultilevel"/>
    <w:tmpl w:val="08CE2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9154E4"/>
    <w:multiLevelType w:val="hybridMultilevel"/>
    <w:tmpl w:val="D7988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7205CE"/>
    <w:multiLevelType w:val="hybridMultilevel"/>
    <w:tmpl w:val="49FE0D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DF4B2C"/>
    <w:multiLevelType w:val="hybridMultilevel"/>
    <w:tmpl w:val="5CB62702"/>
    <w:lvl w:ilvl="0" w:tplc="2E6EA874">
      <w:start w:val="1"/>
      <w:numFmt w:val="decimal"/>
      <w:lvlText w:val="%1."/>
      <w:lvlJc w:val="left"/>
      <w:pPr>
        <w:tabs>
          <w:tab w:val="num" w:pos="720"/>
        </w:tabs>
        <w:ind w:left="720" w:hanging="720"/>
      </w:pPr>
    </w:lvl>
    <w:lvl w:ilvl="1" w:tplc="E52A280A">
      <w:start w:val="1"/>
      <w:numFmt w:val="decimal"/>
      <w:lvlText w:val="%2."/>
      <w:lvlJc w:val="left"/>
      <w:pPr>
        <w:tabs>
          <w:tab w:val="num" w:pos="1440"/>
        </w:tabs>
        <w:ind w:left="1440" w:hanging="720"/>
      </w:pPr>
    </w:lvl>
    <w:lvl w:ilvl="2" w:tplc="62EEC604">
      <w:start w:val="1"/>
      <w:numFmt w:val="decimal"/>
      <w:lvlText w:val="%3."/>
      <w:lvlJc w:val="left"/>
      <w:pPr>
        <w:tabs>
          <w:tab w:val="num" w:pos="2160"/>
        </w:tabs>
        <w:ind w:left="2160" w:hanging="720"/>
      </w:pPr>
    </w:lvl>
    <w:lvl w:ilvl="3" w:tplc="2CECE1E6">
      <w:start w:val="1"/>
      <w:numFmt w:val="decimal"/>
      <w:lvlText w:val="%4."/>
      <w:lvlJc w:val="left"/>
      <w:pPr>
        <w:tabs>
          <w:tab w:val="num" w:pos="2880"/>
        </w:tabs>
        <w:ind w:left="2880" w:hanging="720"/>
      </w:pPr>
    </w:lvl>
    <w:lvl w:ilvl="4" w:tplc="DA28E346">
      <w:start w:val="1"/>
      <w:numFmt w:val="decimal"/>
      <w:lvlText w:val="%5."/>
      <w:lvlJc w:val="left"/>
      <w:pPr>
        <w:tabs>
          <w:tab w:val="num" w:pos="3600"/>
        </w:tabs>
        <w:ind w:left="3600" w:hanging="720"/>
      </w:pPr>
    </w:lvl>
    <w:lvl w:ilvl="5" w:tplc="6FE4DC16">
      <w:start w:val="1"/>
      <w:numFmt w:val="decimal"/>
      <w:lvlText w:val="%6."/>
      <w:lvlJc w:val="left"/>
      <w:pPr>
        <w:tabs>
          <w:tab w:val="num" w:pos="4320"/>
        </w:tabs>
        <w:ind w:left="4320" w:hanging="720"/>
      </w:pPr>
    </w:lvl>
    <w:lvl w:ilvl="6" w:tplc="F9F6166E">
      <w:start w:val="1"/>
      <w:numFmt w:val="decimal"/>
      <w:lvlText w:val="%7."/>
      <w:lvlJc w:val="left"/>
      <w:pPr>
        <w:tabs>
          <w:tab w:val="num" w:pos="5040"/>
        </w:tabs>
        <w:ind w:left="5040" w:hanging="720"/>
      </w:pPr>
    </w:lvl>
    <w:lvl w:ilvl="7" w:tplc="DA50B9AE">
      <w:start w:val="1"/>
      <w:numFmt w:val="decimal"/>
      <w:lvlText w:val="%8."/>
      <w:lvlJc w:val="left"/>
      <w:pPr>
        <w:tabs>
          <w:tab w:val="num" w:pos="5760"/>
        </w:tabs>
        <w:ind w:left="5760" w:hanging="720"/>
      </w:pPr>
    </w:lvl>
    <w:lvl w:ilvl="8" w:tplc="F398CD14">
      <w:start w:val="1"/>
      <w:numFmt w:val="decimal"/>
      <w:lvlText w:val="%9."/>
      <w:lvlJc w:val="left"/>
      <w:pPr>
        <w:tabs>
          <w:tab w:val="num" w:pos="6480"/>
        </w:tabs>
        <w:ind w:left="6480" w:hanging="720"/>
      </w:pPr>
    </w:lvl>
  </w:abstractNum>
  <w:abstractNum w:abstractNumId="17" w15:restartNumberingAfterBreak="0">
    <w:nsid w:val="241B6889"/>
    <w:multiLevelType w:val="hybridMultilevel"/>
    <w:tmpl w:val="23BC5F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F500D5"/>
    <w:multiLevelType w:val="hybridMultilevel"/>
    <w:tmpl w:val="DA50A94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0B4B8D"/>
    <w:multiLevelType w:val="hybridMultilevel"/>
    <w:tmpl w:val="638EA71E"/>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594053"/>
    <w:multiLevelType w:val="hybridMultilevel"/>
    <w:tmpl w:val="06BEFACA"/>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2724B9"/>
    <w:multiLevelType w:val="hybridMultilevel"/>
    <w:tmpl w:val="8B1C2B82"/>
    <w:lvl w:ilvl="0" w:tplc="17708924">
      <w:start w:val="3"/>
      <w:numFmt w:val="bullet"/>
      <w:lvlText w:val="•"/>
      <w:lvlJc w:val="left"/>
      <w:pPr>
        <w:ind w:left="720" w:hanging="360"/>
      </w:pPr>
      <w:rPr>
        <w:rFonts w:ascii="Garamond" w:eastAsiaTheme="minorEastAsia" w:hAnsi="Garamond"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126EA3"/>
    <w:multiLevelType w:val="hybridMultilevel"/>
    <w:tmpl w:val="7EB209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8012038"/>
    <w:multiLevelType w:val="hybridMultilevel"/>
    <w:tmpl w:val="B8E0F020"/>
    <w:lvl w:ilvl="0" w:tplc="A98859F4">
      <w:start w:val="1"/>
      <w:numFmt w:val="bullet"/>
      <w:pStyle w:val="vieta1"/>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8DC7578"/>
    <w:multiLevelType w:val="hybridMultilevel"/>
    <w:tmpl w:val="020E40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B7066C"/>
    <w:multiLevelType w:val="hybridMultilevel"/>
    <w:tmpl w:val="27123794"/>
    <w:lvl w:ilvl="0" w:tplc="75C43BA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B33D14"/>
    <w:multiLevelType w:val="hybridMultilevel"/>
    <w:tmpl w:val="C8306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54784F"/>
    <w:multiLevelType w:val="hybridMultilevel"/>
    <w:tmpl w:val="94F8526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826B17"/>
    <w:multiLevelType w:val="hybridMultilevel"/>
    <w:tmpl w:val="1A22D71A"/>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7C5FCC"/>
    <w:multiLevelType w:val="hybridMultilevel"/>
    <w:tmpl w:val="2B76A6E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hint="default"/>
      </w:rPr>
    </w:lvl>
    <w:lvl w:ilvl="2" w:tplc="240A0005">
      <w:start w:val="1"/>
      <w:numFmt w:val="bullet"/>
      <w:lvlText w:val=""/>
      <w:lvlJc w:val="left"/>
      <w:pPr>
        <w:ind w:left="2160" w:hanging="360"/>
      </w:pPr>
      <w:rPr>
        <w:rFonts w:ascii="Wingdings" w:hAnsi="Wingdings" w:hint="default"/>
      </w:rPr>
    </w:lvl>
    <w:lvl w:ilvl="3" w:tplc="937469D0">
      <w:start w:val="1"/>
      <w:numFmt w:val="decimal"/>
      <w:lvlText w:val="%4)"/>
      <w:lvlJc w:val="left"/>
      <w:pPr>
        <w:ind w:left="2880" w:hanging="360"/>
      </w:pPr>
      <w:rPr>
        <w:rFont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F7070F"/>
    <w:multiLevelType w:val="hybridMultilevel"/>
    <w:tmpl w:val="D924CD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03601F"/>
    <w:multiLevelType w:val="hybridMultilevel"/>
    <w:tmpl w:val="C6F2BD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A967B74"/>
    <w:multiLevelType w:val="hybridMultilevel"/>
    <w:tmpl w:val="DA86F4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F79BA"/>
    <w:multiLevelType w:val="hybridMultilevel"/>
    <w:tmpl w:val="4D460EC4"/>
    <w:lvl w:ilvl="0" w:tplc="C3A047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E04AC"/>
    <w:multiLevelType w:val="hybridMultilevel"/>
    <w:tmpl w:val="EEC21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1D709C"/>
    <w:multiLevelType w:val="hybridMultilevel"/>
    <w:tmpl w:val="CBC86ED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1E3234"/>
    <w:multiLevelType w:val="hybridMultilevel"/>
    <w:tmpl w:val="757A6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3B571C9"/>
    <w:multiLevelType w:val="hybridMultilevel"/>
    <w:tmpl w:val="7FB2378C"/>
    <w:lvl w:ilvl="0" w:tplc="61FEBB64">
      <w:start w:val="1"/>
      <w:numFmt w:val="bullet"/>
      <w:pStyle w:val="vieta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F74E0B"/>
    <w:multiLevelType w:val="multilevel"/>
    <w:tmpl w:val="74624744"/>
    <w:lvl w:ilvl="0">
      <w:start w:val="1"/>
      <w:numFmt w:val="decimal"/>
      <w:pStyle w:val="Ttulo1"/>
      <w:lvlText w:val="Capítulo %1 "/>
      <w:lvlJc w:val="left"/>
      <w:pPr>
        <w:ind w:left="432" w:hanging="432"/>
      </w:pPr>
      <w:rPr>
        <w:rFonts w:cs="Times New Roman" w:hint="default"/>
        <w:b w:val="0"/>
        <w:color w:val="C00000"/>
      </w:rPr>
    </w:lvl>
    <w:lvl w:ilvl="1">
      <w:start w:val="1"/>
      <w:numFmt w:val="decimal"/>
      <w:pStyle w:val="Ttulo2"/>
      <w:lvlText w:val="%1.%2 "/>
      <w:lvlJc w:val="left"/>
      <w:pPr>
        <w:ind w:left="576" w:hanging="576"/>
      </w:pPr>
      <w:rPr>
        <w:b w:val="0"/>
        <w:bCs w:val="0"/>
        <w:i w:val="0"/>
        <w:iCs w:val="0"/>
        <w:caps w:val="0"/>
        <w:smallCaps w:val="0"/>
        <w:strike w:val="0"/>
        <w:dstrike w:val="0"/>
        <w:noProof w:val="0"/>
        <w:vanish w:val="0"/>
        <w:color w:val="C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9" w15:restartNumberingAfterBreak="0">
    <w:nsid w:val="6B34040B"/>
    <w:multiLevelType w:val="hybridMultilevel"/>
    <w:tmpl w:val="BD588350"/>
    <w:lvl w:ilvl="0" w:tplc="309661C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653318"/>
    <w:multiLevelType w:val="hybridMultilevel"/>
    <w:tmpl w:val="263C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D32D3"/>
    <w:multiLevelType w:val="hybridMultilevel"/>
    <w:tmpl w:val="26E470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FB6716"/>
    <w:multiLevelType w:val="hybridMultilevel"/>
    <w:tmpl w:val="FDD4694A"/>
    <w:lvl w:ilvl="0" w:tplc="C70C9AD8">
      <w:start w:val="1"/>
      <w:numFmt w:val="bullet"/>
      <w:lvlText w:val="•"/>
      <w:lvlJc w:val="left"/>
      <w:pPr>
        <w:tabs>
          <w:tab w:val="num" w:pos="360"/>
        </w:tabs>
        <w:ind w:left="360" w:hanging="360"/>
      </w:pPr>
      <w:rPr>
        <w:rFonts w:ascii="Arial" w:hAnsi="Arial" w:hint="default"/>
      </w:rPr>
    </w:lvl>
    <w:lvl w:ilvl="1" w:tplc="BEF43EBA">
      <w:start w:val="219"/>
      <w:numFmt w:val="bullet"/>
      <w:lvlText w:val="•"/>
      <w:lvlJc w:val="left"/>
      <w:pPr>
        <w:tabs>
          <w:tab w:val="num" w:pos="1080"/>
        </w:tabs>
        <w:ind w:left="1080" w:hanging="360"/>
      </w:pPr>
      <w:rPr>
        <w:rFonts w:ascii="Arial" w:hAnsi="Arial" w:hint="default"/>
      </w:rPr>
    </w:lvl>
    <w:lvl w:ilvl="2" w:tplc="D850EC86">
      <w:start w:val="219"/>
      <w:numFmt w:val="bullet"/>
      <w:lvlText w:val="•"/>
      <w:lvlJc w:val="left"/>
      <w:pPr>
        <w:tabs>
          <w:tab w:val="num" w:pos="1800"/>
        </w:tabs>
        <w:ind w:left="1800" w:hanging="360"/>
      </w:pPr>
      <w:rPr>
        <w:rFonts w:ascii="Arial" w:hAnsi="Arial" w:hint="default"/>
      </w:rPr>
    </w:lvl>
    <w:lvl w:ilvl="3" w:tplc="50F41B40" w:tentative="1">
      <w:start w:val="1"/>
      <w:numFmt w:val="bullet"/>
      <w:lvlText w:val="•"/>
      <w:lvlJc w:val="left"/>
      <w:pPr>
        <w:tabs>
          <w:tab w:val="num" w:pos="2520"/>
        </w:tabs>
        <w:ind w:left="2520" w:hanging="360"/>
      </w:pPr>
      <w:rPr>
        <w:rFonts w:ascii="Arial" w:hAnsi="Arial" w:hint="default"/>
      </w:rPr>
    </w:lvl>
    <w:lvl w:ilvl="4" w:tplc="E6F28908" w:tentative="1">
      <w:start w:val="1"/>
      <w:numFmt w:val="bullet"/>
      <w:lvlText w:val="•"/>
      <w:lvlJc w:val="left"/>
      <w:pPr>
        <w:tabs>
          <w:tab w:val="num" w:pos="3240"/>
        </w:tabs>
        <w:ind w:left="3240" w:hanging="360"/>
      </w:pPr>
      <w:rPr>
        <w:rFonts w:ascii="Arial" w:hAnsi="Arial" w:hint="default"/>
      </w:rPr>
    </w:lvl>
    <w:lvl w:ilvl="5" w:tplc="A38CE52E" w:tentative="1">
      <w:start w:val="1"/>
      <w:numFmt w:val="bullet"/>
      <w:lvlText w:val="•"/>
      <w:lvlJc w:val="left"/>
      <w:pPr>
        <w:tabs>
          <w:tab w:val="num" w:pos="3960"/>
        </w:tabs>
        <w:ind w:left="3960" w:hanging="360"/>
      </w:pPr>
      <w:rPr>
        <w:rFonts w:ascii="Arial" w:hAnsi="Arial" w:hint="default"/>
      </w:rPr>
    </w:lvl>
    <w:lvl w:ilvl="6" w:tplc="BAC6ACB4" w:tentative="1">
      <w:start w:val="1"/>
      <w:numFmt w:val="bullet"/>
      <w:lvlText w:val="•"/>
      <w:lvlJc w:val="left"/>
      <w:pPr>
        <w:tabs>
          <w:tab w:val="num" w:pos="4680"/>
        </w:tabs>
        <w:ind w:left="4680" w:hanging="360"/>
      </w:pPr>
      <w:rPr>
        <w:rFonts w:ascii="Arial" w:hAnsi="Arial" w:hint="default"/>
      </w:rPr>
    </w:lvl>
    <w:lvl w:ilvl="7" w:tplc="FA403690" w:tentative="1">
      <w:start w:val="1"/>
      <w:numFmt w:val="bullet"/>
      <w:lvlText w:val="•"/>
      <w:lvlJc w:val="left"/>
      <w:pPr>
        <w:tabs>
          <w:tab w:val="num" w:pos="5400"/>
        </w:tabs>
        <w:ind w:left="5400" w:hanging="360"/>
      </w:pPr>
      <w:rPr>
        <w:rFonts w:ascii="Arial" w:hAnsi="Arial" w:hint="default"/>
      </w:rPr>
    </w:lvl>
    <w:lvl w:ilvl="8" w:tplc="94B69E5E"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75FF0DF2"/>
    <w:multiLevelType w:val="hybridMultilevel"/>
    <w:tmpl w:val="6054E06E"/>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A850C36"/>
    <w:multiLevelType w:val="hybridMultilevel"/>
    <w:tmpl w:val="4DD674C0"/>
    <w:lvl w:ilvl="0" w:tplc="C3A047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E37DD1"/>
    <w:multiLevelType w:val="hybridMultilevel"/>
    <w:tmpl w:val="2B246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23"/>
  </w:num>
  <w:num w:numId="3">
    <w:abstractNumId w:val="37"/>
  </w:num>
  <w:num w:numId="4">
    <w:abstractNumId w:val="21"/>
  </w:num>
  <w:num w:numId="5">
    <w:abstractNumId w:val="17"/>
  </w:num>
  <w:num w:numId="6">
    <w:abstractNumId w:val="10"/>
  </w:num>
  <w:num w:numId="7">
    <w:abstractNumId w:val="36"/>
  </w:num>
  <w:num w:numId="8">
    <w:abstractNumId w:val="18"/>
  </w:num>
  <w:num w:numId="9">
    <w:abstractNumId w:val="3"/>
  </w:num>
  <w:num w:numId="10">
    <w:abstractNumId w:val="42"/>
  </w:num>
  <w:num w:numId="11">
    <w:abstractNumId w:val="2"/>
  </w:num>
  <w:num w:numId="12">
    <w:abstractNumId w:val="19"/>
  </w:num>
  <w:num w:numId="13">
    <w:abstractNumId w:val="7"/>
  </w:num>
  <w:num w:numId="14">
    <w:abstractNumId w:val="15"/>
  </w:num>
  <w:num w:numId="15">
    <w:abstractNumId w:val="35"/>
  </w:num>
  <w:num w:numId="16">
    <w:abstractNumId w:val="25"/>
  </w:num>
  <w:num w:numId="17">
    <w:abstractNumId w:val="29"/>
  </w:num>
  <w:num w:numId="18">
    <w:abstractNumId w:val="4"/>
  </w:num>
  <w:num w:numId="19">
    <w:abstractNumId w:val="31"/>
  </w:num>
  <w:num w:numId="20">
    <w:abstractNumId w:val="22"/>
  </w:num>
  <w:num w:numId="21">
    <w:abstractNumId w:val="0"/>
  </w:num>
  <w:num w:numId="22">
    <w:abstractNumId w:val="32"/>
  </w:num>
  <w:num w:numId="23">
    <w:abstractNumId w:val="11"/>
  </w:num>
  <w:num w:numId="24">
    <w:abstractNumId w:val="24"/>
  </w:num>
  <w:num w:numId="25">
    <w:abstractNumId w:val="16"/>
  </w:num>
  <w:num w:numId="26">
    <w:abstractNumId w:val="40"/>
  </w:num>
  <w:num w:numId="27">
    <w:abstractNumId w:val="20"/>
  </w:num>
  <w:num w:numId="28">
    <w:abstractNumId w:val="27"/>
  </w:num>
  <w:num w:numId="29">
    <w:abstractNumId w:val="28"/>
  </w:num>
  <w:num w:numId="30">
    <w:abstractNumId w:val="43"/>
  </w:num>
  <w:num w:numId="31">
    <w:abstractNumId w:val="39"/>
  </w:num>
  <w:num w:numId="32">
    <w:abstractNumId w:val="5"/>
  </w:num>
  <w:num w:numId="33">
    <w:abstractNumId w:val="30"/>
  </w:num>
  <w:num w:numId="34">
    <w:abstractNumId w:val="26"/>
  </w:num>
  <w:num w:numId="35">
    <w:abstractNumId w:val="8"/>
  </w:num>
  <w:num w:numId="36">
    <w:abstractNumId w:val="13"/>
  </w:num>
  <w:num w:numId="37">
    <w:abstractNumId w:val="12"/>
  </w:num>
  <w:num w:numId="38">
    <w:abstractNumId w:val="45"/>
  </w:num>
  <w:num w:numId="39">
    <w:abstractNumId w:val="41"/>
  </w:num>
  <w:num w:numId="40">
    <w:abstractNumId w:val="9"/>
  </w:num>
  <w:num w:numId="41">
    <w:abstractNumId w:val="33"/>
  </w:num>
  <w:num w:numId="42">
    <w:abstractNumId w:val="44"/>
  </w:num>
  <w:num w:numId="43">
    <w:abstractNumId w:val="1"/>
  </w:num>
  <w:num w:numId="44">
    <w:abstractNumId w:val="14"/>
  </w:num>
  <w:num w:numId="45">
    <w:abstractNumId w:val="34"/>
  </w:num>
  <w:num w:numId="46">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yMzWwNAYyjcxMLJV0lIJTi4sz8/NACoxMawHc07+3LQAAAA=="/>
  </w:docVars>
  <w:rsids>
    <w:rsidRoot w:val="009022D6"/>
    <w:rsid w:val="00001030"/>
    <w:rsid w:val="00003E9C"/>
    <w:rsid w:val="000041F9"/>
    <w:rsid w:val="000053DB"/>
    <w:rsid w:val="00005884"/>
    <w:rsid w:val="00005EFA"/>
    <w:rsid w:val="00006229"/>
    <w:rsid w:val="00006481"/>
    <w:rsid w:val="00006634"/>
    <w:rsid w:val="000074CA"/>
    <w:rsid w:val="00007D1A"/>
    <w:rsid w:val="00011868"/>
    <w:rsid w:val="00011B3F"/>
    <w:rsid w:val="0001419B"/>
    <w:rsid w:val="00014899"/>
    <w:rsid w:val="000164A3"/>
    <w:rsid w:val="00017030"/>
    <w:rsid w:val="0002205A"/>
    <w:rsid w:val="000237B6"/>
    <w:rsid w:val="0002398B"/>
    <w:rsid w:val="000248F8"/>
    <w:rsid w:val="0002569C"/>
    <w:rsid w:val="0002727C"/>
    <w:rsid w:val="000311C0"/>
    <w:rsid w:val="00033400"/>
    <w:rsid w:val="000353E7"/>
    <w:rsid w:val="00035592"/>
    <w:rsid w:val="0003686A"/>
    <w:rsid w:val="00037127"/>
    <w:rsid w:val="0004011C"/>
    <w:rsid w:val="00040341"/>
    <w:rsid w:val="0004052A"/>
    <w:rsid w:val="00040B0C"/>
    <w:rsid w:val="00041094"/>
    <w:rsid w:val="00041FC1"/>
    <w:rsid w:val="00042755"/>
    <w:rsid w:val="00042D75"/>
    <w:rsid w:val="000432ED"/>
    <w:rsid w:val="00043752"/>
    <w:rsid w:val="00044BFD"/>
    <w:rsid w:val="00045508"/>
    <w:rsid w:val="000459CD"/>
    <w:rsid w:val="000478BF"/>
    <w:rsid w:val="00053007"/>
    <w:rsid w:val="00055988"/>
    <w:rsid w:val="00060679"/>
    <w:rsid w:val="0006085C"/>
    <w:rsid w:val="000628A5"/>
    <w:rsid w:val="00063498"/>
    <w:rsid w:val="00064B75"/>
    <w:rsid w:val="000672F6"/>
    <w:rsid w:val="000702DE"/>
    <w:rsid w:val="000704ED"/>
    <w:rsid w:val="00071AD2"/>
    <w:rsid w:val="00072377"/>
    <w:rsid w:val="00074735"/>
    <w:rsid w:val="000751CE"/>
    <w:rsid w:val="00075EDC"/>
    <w:rsid w:val="00077B61"/>
    <w:rsid w:val="0008011A"/>
    <w:rsid w:val="000801CD"/>
    <w:rsid w:val="000807DF"/>
    <w:rsid w:val="000808EF"/>
    <w:rsid w:val="00081490"/>
    <w:rsid w:val="00081BB1"/>
    <w:rsid w:val="00082BA4"/>
    <w:rsid w:val="00082EC6"/>
    <w:rsid w:val="0008337C"/>
    <w:rsid w:val="00085747"/>
    <w:rsid w:val="000859E8"/>
    <w:rsid w:val="000912B6"/>
    <w:rsid w:val="00091FA4"/>
    <w:rsid w:val="000936D9"/>
    <w:rsid w:val="00095883"/>
    <w:rsid w:val="00096824"/>
    <w:rsid w:val="0009732D"/>
    <w:rsid w:val="000A0077"/>
    <w:rsid w:val="000A1CCF"/>
    <w:rsid w:val="000A50FE"/>
    <w:rsid w:val="000B29EB"/>
    <w:rsid w:val="000B4E10"/>
    <w:rsid w:val="000B4E91"/>
    <w:rsid w:val="000B5863"/>
    <w:rsid w:val="000B59C4"/>
    <w:rsid w:val="000B63D2"/>
    <w:rsid w:val="000B66BA"/>
    <w:rsid w:val="000B72D1"/>
    <w:rsid w:val="000C0349"/>
    <w:rsid w:val="000C14C5"/>
    <w:rsid w:val="000C1876"/>
    <w:rsid w:val="000C22C2"/>
    <w:rsid w:val="000C2B04"/>
    <w:rsid w:val="000C2DDB"/>
    <w:rsid w:val="000C4BD5"/>
    <w:rsid w:val="000C768C"/>
    <w:rsid w:val="000D0298"/>
    <w:rsid w:val="000D1AA6"/>
    <w:rsid w:val="000D2A9A"/>
    <w:rsid w:val="000D3CA7"/>
    <w:rsid w:val="000D4B9B"/>
    <w:rsid w:val="000D6719"/>
    <w:rsid w:val="000D6F07"/>
    <w:rsid w:val="000D747A"/>
    <w:rsid w:val="000D76A7"/>
    <w:rsid w:val="000D7DB4"/>
    <w:rsid w:val="000E0420"/>
    <w:rsid w:val="000E07CC"/>
    <w:rsid w:val="000E0B67"/>
    <w:rsid w:val="000E37F2"/>
    <w:rsid w:val="000E5314"/>
    <w:rsid w:val="000F08AE"/>
    <w:rsid w:val="000F2994"/>
    <w:rsid w:val="000F2E3D"/>
    <w:rsid w:val="000F3E15"/>
    <w:rsid w:val="000F491B"/>
    <w:rsid w:val="000F54CB"/>
    <w:rsid w:val="000F6921"/>
    <w:rsid w:val="001008E4"/>
    <w:rsid w:val="00100BA3"/>
    <w:rsid w:val="00100FBB"/>
    <w:rsid w:val="00101A1D"/>
    <w:rsid w:val="001024FD"/>
    <w:rsid w:val="0010253B"/>
    <w:rsid w:val="00106951"/>
    <w:rsid w:val="00106F1A"/>
    <w:rsid w:val="00107AF4"/>
    <w:rsid w:val="00111BCE"/>
    <w:rsid w:val="00112849"/>
    <w:rsid w:val="001137DA"/>
    <w:rsid w:val="00113B74"/>
    <w:rsid w:val="001203A7"/>
    <w:rsid w:val="00120895"/>
    <w:rsid w:val="00120E70"/>
    <w:rsid w:val="0012290A"/>
    <w:rsid w:val="00123FB0"/>
    <w:rsid w:val="00124EAF"/>
    <w:rsid w:val="0012634F"/>
    <w:rsid w:val="0012671A"/>
    <w:rsid w:val="00130C94"/>
    <w:rsid w:val="001322CA"/>
    <w:rsid w:val="00134A25"/>
    <w:rsid w:val="00134B20"/>
    <w:rsid w:val="00134CDF"/>
    <w:rsid w:val="00135426"/>
    <w:rsid w:val="00140B39"/>
    <w:rsid w:val="00140F09"/>
    <w:rsid w:val="001431E1"/>
    <w:rsid w:val="001433FD"/>
    <w:rsid w:val="00144926"/>
    <w:rsid w:val="00144D92"/>
    <w:rsid w:val="00145B31"/>
    <w:rsid w:val="00146A98"/>
    <w:rsid w:val="0015061F"/>
    <w:rsid w:val="001513AD"/>
    <w:rsid w:val="00151CC3"/>
    <w:rsid w:val="001523FB"/>
    <w:rsid w:val="001526D7"/>
    <w:rsid w:val="0015550C"/>
    <w:rsid w:val="00156442"/>
    <w:rsid w:val="00156652"/>
    <w:rsid w:val="0015757D"/>
    <w:rsid w:val="001601B4"/>
    <w:rsid w:val="0016090B"/>
    <w:rsid w:val="00162491"/>
    <w:rsid w:val="0016294A"/>
    <w:rsid w:val="001639E4"/>
    <w:rsid w:val="00167065"/>
    <w:rsid w:val="00167D0D"/>
    <w:rsid w:val="0017123D"/>
    <w:rsid w:val="00171909"/>
    <w:rsid w:val="00172B22"/>
    <w:rsid w:val="00173F50"/>
    <w:rsid w:val="001755E7"/>
    <w:rsid w:val="00175B41"/>
    <w:rsid w:val="00175F5B"/>
    <w:rsid w:val="001760AC"/>
    <w:rsid w:val="00176563"/>
    <w:rsid w:val="001771D7"/>
    <w:rsid w:val="00177B7D"/>
    <w:rsid w:val="00177DCF"/>
    <w:rsid w:val="00180253"/>
    <w:rsid w:val="00180D06"/>
    <w:rsid w:val="00180D77"/>
    <w:rsid w:val="001821F5"/>
    <w:rsid w:val="00183764"/>
    <w:rsid w:val="00183B53"/>
    <w:rsid w:val="00184627"/>
    <w:rsid w:val="00184F77"/>
    <w:rsid w:val="001856A7"/>
    <w:rsid w:val="00186A09"/>
    <w:rsid w:val="0018740F"/>
    <w:rsid w:val="0019028B"/>
    <w:rsid w:val="00191036"/>
    <w:rsid w:val="001915E5"/>
    <w:rsid w:val="001919DA"/>
    <w:rsid w:val="00193415"/>
    <w:rsid w:val="001959E8"/>
    <w:rsid w:val="00195B38"/>
    <w:rsid w:val="00195C43"/>
    <w:rsid w:val="00196229"/>
    <w:rsid w:val="001A24DF"/>
    <w:rsid w:val="001A29F4"/>
    <w:rsid w:val="001A2C50"/>
    <w:rsid w:val="001A42CB"/>
    <w:rsid w:val="001A4600"/>
    <w:rsid w:val="001A5CA3"/>
    <w:rsid w:val="001A5CD7"/>
    <w:rsid w:val="001A61D2"/>
    <w:rsid w:val="001B1428"/>
    <w:rsid w:val="001B186D"/>
    <w:rsid w:val="001B238C"/>
    <w:rsid w:val="001B266E"/>
    <w:rsid w:val="001B28CD"/>
    <w:rsid w:val="001B5B9C"/>
    <w:rsid w:val="001B6160"/>
    <w:rsid w:val="001C0E72"/>
    <w:rsid w:val="001C24FE"/>
    <w:rsid w:val="001C27C4"/>
    <w:rsid w:val="001C2EFF"/>
    <w:rsid w:val="001C34CC"/>
    <w:rsid w:val="001C3B8A"/>
    <w:rsid w:val="001C5EF4"/>
    <w:rsid w:val="001D358B"/>
    <w:rsid w:val="001D39BF"/>
    <w:rsid w:val="001D4408"/>
    <w:rsid w:val="001D542E"/>
    <w:rsid w:val="001D5A15"/>
    <w:rsid w:val="001D645E"/>
    <w:rsid w:val="001D7010"/>
    <w:rsid w:val="001E0809"/>
    <w:rsid w:val="001E10DD"/>
    <w:rsid w:val="001E1510"/>
    <w:rsid w:val="001E4A64"/>
    <w:rsid w:val="001E736E"/>
    <w:rsid w:val="001F09D7"/>
    <w:rsid w:val="001F1100"/>
    <w:rsid w:val="001F18CD"/>
    <w:rsid w:val="001F3CE0"/>
    <w:rsid w:val="001F61C2"/>
    <w:rsid w:val="002002C4"/>
    <w:rsid w:val="0020037D"/>
    <w:rsid w:val="00201541"/>
    <w:rsid w:val="00201F4D"/>
    <w:rsid w:val="0020292F"/>
    <w:rsid w:val="00202BD3"/>
    <w:rsid w:val="002032ED"/>
    <w:rsid w:val="0020389C"/>
    <w:rsid w:val="00204704"/>
    <w:rsid w:val="002057D6"/>
    <w:rsid w:val="00206358"/>
    <w:rsid w:val="00206CEE"/>
    <w:rsid w:val="00207987"/>
    <w:rsid w:val="00210506"/>
    <w:rsid w:val="00210A14"/>
    <w:rsid w:val="00213E90"/>
    <w:rsid w:val="002148F9"/>
    <w:rsid w:val="00215FCB"/>
    <w:rsid w:val="00216896"/>
    <w:rsid w:val="00220067"/>
    <w:rsid w:val="00223271"/>
    <w:rsid w:val="002259EB"/>
    <w:rsid w:val="00226A3A"/>
    <w:rsid w:val="00226CA5"/>
    <w:rsid w:val="002278A0"/>
    <w:rsid w:val="00227943"/>
    <w:rsid w:val="00230137"/>
    <w:rsid w:val="002301E9"/>
    <w:rsid w:val="00230DFA"/>
    <w:rsid w:val="00231D52"/>
    <w:rsid w:val="00232BCF"/>
    <w:rsid w:val="00233A23"/>
    <w:rsid w:val="00234B4B"/>
    <w:rsid w:val="002423F5"/>
    <w:rsid w:val="0024281F"/>
    <w:rsid w:val="00242909"/>
    <w:rsid w:val="00242F94"/>
    <w:rsid w:val="002430B6"/>
    <w:rsid w:val="002438FD"/>
    <w:rsid w:val="00244A93"/>
    <w:rsid w:val="00245856"/>
    <w:rsid w:val="00252B0D"/>
    <w:rsid w:val="00253274"/>
    <w:rsid w:val="002532DA"/>
    <w:rsid w:val="00253309"/>
    <w:rsid w:val="00253AE8"/>
    <w:rsid w:val="00255824"/>
    <w:rsid w:val="00256BD0"/>
    <w:rsid w:val="00257566"/>
    <w:rsid w:val="0026008A"/>
    <w:rsid w:val="00260A31"/>
    <w:rsid w:val="00260C7A"/>
    <w:rsid w:val="00261266"/>
    <w:rsid w:val="002612E9"/>
    <w:rsid w:val="002622BD"/>
    <w:rsid w:val="00262BD7"/>
    <w:rsid w:val="00262FCC"/>
    <w:rsid w:val="00264163"/>
    <w:rsid w:val="00264487"/>
    <w:rsid w:val="002665E0"/>
    <w:rsid w:val="002675B4"/>
    <w:rsid w:val="002675F4"/>
    <w:rsid w:val="00267938"/>
    <w:rsid w:val="002707FE"/>
    <w:rsid w:val="00270DBD"/>
    <w:rsid w:val="00272392"/>
    <w:rsid w:val="002728A4"/>
    <w:rsid w:val="0027531E"/>
    <w:rsid w:val="0027551C"/>
    <w:rsid w:val="00276BD4"/>
    <w:rsid w:val="00277B14"/>
    <w:rsid w:val="00280CB4"/>
    <w:rsid w:val="00281E21"/>
    <w:rsid w:val="00281F13"/>
    <w:rsid w:val="00282709"/>
    <w:rsid w:val="00282E86"/>
    <w:rsid w:val="0028447F"/>
    <w:rsid w:val="00284791"/>
    <w:rsid w:val="00284CCE"/>
    <w:rsid w:val="00287251"/>
    <w:rsid w:val="00292203"/>
    <w:rsid w:val="002928A3"/>
    <w:rsid w:val="00292999"/>
    <w:rsid w:val="002933D8"/>
    <w:rsid w:val="00293611"/>
    <w:rsid w:val="00293C11"/>
    <w:rsid w:val="002948A9"/>
    <w:rsid w:val="00294DF5"/>
    <w:rsid w:val="002965E3"/>
    <w:rsid w:val="00296C00"/>
    <w:rsid w:val="00297DDE"/>
    <w:rsid w:val="002A1492"/>
    <w:rsid w:val="002A22B1"/>
    <w:rsid w:val="002A268E"/>
    <w:rsid w:val="002A26C4"/>
    <w:rsid w:val="002A52B7"/>
    <w:rsid w:val="002A5915"/>
    <w:rsid w:val="002A5BF0"/>
    <w:rsid w:val="002A62DA"/>
    <w:rsid w:val="002B0668"/>
    <w:rsid w:val="002B25F8"/>
    <w:rsid w:val="002B2B3D"/>
    <w:rsid w:val="002B2BB5"/>
    <w:rsid w:val="002B3769"/>
    <w:rsid w:val="002C23C8"/>
    <w:rsid w:val="002C2686"/>
    <w:rsid w:val="002C281B"/>
    <w:rsid w:val="002C32FD"/>
    <w:rsid w:val="002C423A"/>
    <w:rsid w:val="002C59D7"/>
    <w:rsid w:val="002C6B68"/>
    <w:rsid w:val="002C6EE8"/>
    <w:rsid w:val="002C77A1"/>
    <w:rsid w:val="002C7BAB"/>
    <w:rsid w:val="002D11F7"/>
    <w:rsid w:val="002D222C"/>
    <w:rsid w:val="002D2978"/>
    <w:rsid w:val="002D3BEC"/>
    <w:rsid w:val="002D44CF"/>
    <w:rsid w:val="002D4DE9"/>
    <w:rsid w:val="002D670E"/>
    <w:rsid w:val="002D7700"/>
    <w:rsid w:val="002E04DE"/>
    <w:rsid w:val="002E0778"/>
    <w:rsid w:val="002E1081"/>
    <w:rsid w:val="002E1406"/>
    <w:rsid w:val="002E1CF4"/>
    <w:rsid w:val="002E345E"/>
    <w:rsid w:val="002E417A"/>
    <w:rsid w:val="002E478B"/>
    <w:rsid w:val="002E53C9"/>
    <w:rsid w:val="002E55D1"/>
    <w:rsid w:val="002F21E7"/>
    <w:rsid w:val="002F39B0"/>
    <w:rsid w:val="002F4115"/>
    <w:rsid w:val="002F67EC"/>
    <w:rsid w:val="002F729E"/>
    <w:rsid w:val="0030119F"/>
    <w:rsid w:val="003013FA"/>
    <w:rsid w:val="0030480E"/>
    <w:rsid w:val="0030542B"/>
    <w:rsid w:val="00305793"/>
    <w:rsid w:val="00306CE8"/>
    <w:rsid w:val="00307D4C"/>
    <w:rsid w:val="00310E9E"/>
    <w:rsid w:val="003130EE"/>
    <w:rsid w:val="00313FE8"/>
    <w:rsid w:val="003155C2"/>
    <w:rsid w:val="00322CBC"/>
    <w:rsid w:val="00323277"/>
    <w:rsid w:val="0032337A"/>
    <w:rsid w:val="00324719"/>
    <w:rsid w:val="00326A12"/>
    <w:rsid w:val="00326C34"/>
    <w:rsid w:val="0032750C"/>
    <w:rsid w:val="0033090E"/>
    <w:rsid w:val="00330D51"/>
    <w:rsid w:val="003312D6"/>
    <w:rsid w:val="003318CF"/>
    <w:rsid w:val="003349D7"/>
    <w:rsid w:val="00335966"/>
    <w:rsid w:val="00337AA7"/>
    <w:rsid w:val="003417C4"/>
    <w:rsid w:val="003423A3"/>
    <w:rsid w:val="003434DD"/>
    <w:rsid w:val="00343D26"/>
    <w:rsid w:val="00344B3F"/>
    <w:rsid w:val="00344F1F"/>
    <w:rsid w:val="003460AE"/>
    <w:rsid w:val="003466C7"/>
    <w:rsid w:val="00347B92"/>
    <w:rsid w:val="00347C53"/>
    <w:rsid w:val="003508BD"/>
    <w:rsid w:val="003516AB"/>
    <w:rsid w:val="00351BBB"/>
    <w:rsid w:val="00351F16"/>
    <w:rsid w:val="0035203D"/>
    <w:rsid w:val="00352278"/>
    <w:rsid w:val="00354469"/>
    <w:rsid w:val="003559DA"/>
    <w:rsid w:val="00356210"/>
    <w:rsid w:val="00356484"/>
    <w:rsid w:val="00357775"/>
    <w:rsid w:val="00360222"/>
    <w:rsid w:val="00360769"/>
    <w:rsid w:val="00361E03"/>
    <w:rsid w:val="00363A58"/>
    <w:rsid w:val="00363B23"/>
    <w:rsid w:val="00363D09"/>
    <w:rsid w:val="0036438D"/>
    <w:rsid w:val="0036486D"/>
    <w:rsid w:val="0036607F"/>
    <w:rsid w:val="00366972"/>
    <w:rsid w:val="003676B4"/>
    <w:rsid w:val="00371B21"/>
    <w:rsid w:val="00372297"/>
    <w:rsid w:val="00372969"/>
    <w:rsid w:val="00376406"/>
    <w:rsid w:val="00376467"/>
    <w:rsid w:val="00376A16"/>
    <w:rsid w:val="00376A22"/>
    <w:rsid w:val="00376CB8"/>
    <w:rsid w:val="00380795"/>
    <w:rsid w:val="00380B4D"/>
    <w:rsid w:val="003819F7"/>
    <w:rsid w:val="00382774"/>
    <w:rsid w:val="00383151"/>
    <w:rsid w:val="003853CB"/>
    <w:rsid w:val="00390F97"/>
    <w:rsid w:val="00394D3C"/>
    <w:rsid w:val="0039514B"/>
    <w:rsid w:val="003A2013"/>
    <w:rsid w:val="003A22FD"/>
    <w:rsid w:val="003A5B8E"/>
    <w:rsid w:val="003A7939"/>
    <w:rsid w:val="003A7D62"/>
    <w:rsid w:val="003B09F5"/>
    <w:rsid w:val="003B0CBA"/>
    <w:rsid w:val="003B1B59"/>
    <w:rsid w:val="003B4705"/>
    <w:rsid w:val="003C17E1"/>
    <w:rsid w:val="003C1C87"/>
    <w:rsid w:val="003C2F87"/>
    <w:rsid w:val="003C424F"/>
    <w:rsid w:val="003C6555"/>
    <w:rsid w:val="003C7189"/>
    <w:rsid w:val="003C77CA"/>
    <w:rsid w:val="003C79CB"/>
    <w:rsid w:val="003C7F7E"/>
    <w:rsid w:val="003D1173"/>
    <w:rsid w:val="003D141C"/>
    <w:rsid w:val="003D1880"/>
    <w:rsid w:val="003D2051"/>
    <w:rsid w:val="003D2CA4"/>
    <w:rsid w:val="003D3244"/>
    <w:rsid w:val="003D3F36"/>
    <w:rsid w:val="003D532F"/>
    <w:rsid w:val="003D5672"/>
    <w:rsid w:val="003D56CE"/>
    <w:rsid w:val="003D5F4B"/>
    <w:rsid w:val="003D6F6C"/>
    <w:rsid w:val="003D7965"/>
    <w:rsid w:val="003E1882"/>
    <w:rsid w:val="003E20F2"/>
    <w:rsid w:val="003E70FC"/>
    <w:rsid w:val="003E7226"/>
    <w:rsid w:val="003F1469"/>
    <w:rsid w:val="003F2C05"/>
    <w:rsid w:val="003F31A0"/>
    <w:rsid w:val="003F405C"/>
    <w:rsid w:val="004001B9"/>
    <w:rsid w:val="0040190B"/>
    <w:rsid w:val="00401FF1"/>
    <w:rsid w:val="00403BD1"/>
    <w:rsid w:val="0040454B"/>
    <w:rsid w:val="004059A5"/>
    <w:rsid w:val="00405CD6"/>
    <w:rsid w:val="0040726D"/>
    <w:rsid w:val="00411719"/>
    <w:rsid w:val="00414526"/>
    <w:rsid w:val="004151C5"/>
    <w:rsid w:val="004173D4"/>
    <w:rsid w:val="00417AFF"/>
    <w:rsid w:val="00421118"/>
    <w:rsid w:val="004219BC"/>
    <w:rsid w:val="00422E3F"/>
    <w:rsid w:val="00422FAB"/>
    <w:rsid w:val="00423303"/>
    <w:rsid w:val="00423FB8"/>
    <w:rsid w:val="004269DE"/>
    <w:rsid w:val="00426A16"/>
    <w:rsid w:val="004277FD"/>
    <w:rsid w:val="00430A19"/>
    <w:rsid w:val="0043147E"/>
    <w:rsid w:val="00432771"/>
    <w:rsid w:val="004327B7"/>
    <w:rsid w:val="004335BA"/>
    <w:rsid w:val="004346DB"/>
    <w:rsid w:val="0043588B"/>
    <w:rsid w:val="0043728B"/>
    <w:rsid w:val="00437E1E"/>
    <w:rsid w:val="004408F5"/>
    <w:rsid w:val="00440A09"/>
    <w:rsid w:val="004415E7"/>
    <w:rsid w:val="00441AB0"/>
    <w:rsid w:val="004424D7"/>
    <w:rsid w:val="00442995"/>
    <w:rsid w:val="00443518"/>
    <w:rsid w:val="004442CB"/>
    <w:rsid w:val="0044432A"/>
    <w:rsid w:val="00444B28"/>
    <w:rsid w:val="0044582C"/>
    <w:rsid w:val="00451D17"/>
    <w:rsid w:val="00451DB7"/>
    <w:rsid w:val="00451E0A"/>
    <w:rsid w:val="00453D6A"/>
    <w:rsid w:val="00453E48"/>
    <w:rsid w:val="00455388"/>
    <w:rsid w:val="00455935"/>
    <w:rsid w:val="00456209"/>
    <w:rsid w:val="004562E3"/>
    <w:rsid w:val="00456585"/>
    <w:rsid w:val="00461459"/>
    <w:rsid w:val="00461474"/>
    <w:rsid w:val="00461C45"/>
    <w:rsid w:val="004620F1"/>
    <w:rsid w:val="00463F1B"/>
    <w:rsid w:val="00464E30"/>
    <w:rsid w:val="00465BA1"/>
    <w:rsid w:val="00466B64"/>
    <w:rsid w:val="0046727D"/>
    <w:rsid w:val="004703FF"/>
    <w:rsid w:val="00470F00"/>
    <w:rsid w:val="0047351D"/>
    <w:rsid w:val="00473DE1"/>
    <w:rsid w:val="00474CEB"/>
    <w:rsid w:val="004751BF"/>
    <w:rsid w:val="00475A40"/>
    <w:rsid w:val="00475DC7"/>
    <w:rsid w:val="00477E81"/>
    <w:rsid w:val="00480382"/>
    <w:rsid w:val="00480ABB"/>
    <w:rsid w:val="00480C60"/>
    <w:rsid w:val="0048129F"/>
    <w:rsid w:val="0048189C"/>
    <w:rsid w:val="00481A2D"/>
    <w:rsid w:val="00482F92"/>
    <w:rsid w:val="00483127"/>
    <w:rsid w:val="00486161"/>
    <w:rsid w:val="00486691"/>
    <w:rsid w:val="0048757E"/>
    <w:rsid w:val="0049143E"/>
    <w:rsid w:val="00491AC4"/>
    <w:rsid w:val="004935D9"/>
    <w:rsid w:val="00494BF9"/>
    <w:rsid w:val="004955A7"/>
    <w:rsid w:val="004974B9"/>
    <w:rsid w:val="00497B3A"/>
    <w:rsid w:val="004A0E02"/>
    <w:rsid w:val="004A2722"/>
    <w:rsid w:val="004A28EB"/>
    <w:rsid w:val="004A5508"/>
    <w:rsid w:val="004A5714"/>
    <w:rsid w:val="004B16DD"/>
    <w:rsid w:val="004B238C"/>
    <w:rsid w:val="004B3D4E"/>
    <w:rsid w:val="004B42D9"/>
    <w:rsid w:val="004B507D"/>
    <w:rsid w:val="004B5996"/>
    <w:rsid w:val="004B68E2"/>
    <w:rsid w:val="004B6CF7"/>
    <w:rsid w:val="004B7E49"/>
    <w:rsid w:val="004C0F3A"/>
    <w:rsid w:val="004C257D"/>
    <w:rsid w:val="004C3C6B"/>
    <w:rsid w:val="004C5C6D"/>
    <w:rsid w:val="004C6917"/>
    <w:rsid w:val="004D28D8"/>
    <w:rsid w:val="004D3B88"/>
    <w:rsid w:val="004D41F3"/>
    <w:rsid w:val="004D4C83"/>
    <w:rsid w:val="004D4DA0"/>
    <w:rsid w:val="004D6D4C"/>
    <w:rsid w:val="004E2205"/>
    <w:rsid w:val="004E2934"/>
    <w:rsid w:val="004E2D3D"/>
    <w:rsid w:val="004E3940"/>
    <w:rsid w:val="004E3CA0"/>
    <w:rsid w:val="004E47FC"/>
    <w:rsid w:val="004E50DE"/>
    <w:rsid w:val="004E6548"/>
    <w:rsid w:val="004E6844"/>
    <w:rsid w:val="004F1256"/>
    <w:rsid w:val="004F49FB"/>
    <w:rsid w:val="004F67C8"/>
    <w:rsid w:val="004F6A3D"/>
    <w:rsid w:val="004F6D0E"/>
    <w:rsid w:val="004F742F"/>
    <w:rsid w:val="00500805"/>
    <w:rsid w:val="00503537"/>
    <w:rsid w:val="00504D9D"/>
    <w:rsid w:val="0050577B"/>
    <w:rsid w:val="0050583F"/>
    <w:rsid w:val="00506728"/>
    <w:rsid w:val="005072D5"/>
    <w:rsid w:val="005079EB"/>
    <w:rsid w:val="00511DFE"/>
    <w:rsid w:val="00512DC2"/>
    <w:rsid w:val="00516D16"/>
    <w:rsid w:val="0051765D"/>
    <w:rsid w:val="00520796"/>
    <w:rsid w:val="00520F08"/>
    <w:rsid w:val="00521B42"/>
    <w:rsid w:val="00522B89"/>
    <w:rsid w:val="005231FD"/>
    <w:rsid w:val="0052381E"/>
    <w:rsid w:val="00523CC3"/>
    <w:rsid w:val="00523D23"/>
    <w:rsid w:val="00525DAC"/>
    <w:rsid w:val="005303A2"/>
    <w:rsid w:val="005307D6"/>
    <w:rsid w:val="005307F6"/>
    <w:rsid w:val="005313C1"/>
    <w:rsid w:val="00531936"/>
    <w:rsid w:val="00531D6D"/>
    <w:rsid w:val="00532B15"/>
    <w:rsid w:val="0053366C"/>
    <w:rsid w:val="00533C04"/>
    <w:rsid w:val="0053469D"/>
    <w:rsid w:val="0053477A"/>
    <w:rsid w:val="00535254"/>
    <w:rsid w:val="0053716D"/>
    <w:rsid w:val="00540EC0"/>
    <w:rsid w:val="00541AB1"/>
    <w:rsid w:val="0054555C"/>
    <w:rsid w:val="005457CB"/>
    <w:rsid w:val="00547DD1"/>
    <w:rsid w:val="00554CD1"/>
    <w:rsid w:val="00560666"/>
    <w:rsid w:val="00560B1F"/>
    <w:rsid w:val="00560C66"/>
    <w:rsid w:val="00560F2B"/>
    <w:rsid w:val="0056305B"/>
    <w:rsid w:val="00566520"/>
    <w:rsid w:val="0056652D"/>
    <w:rsid w:val="005709D5"/>
    <w:rsid w:val="00571334"/>
    <w:rsid w:val="00571555"/>
    <w:rsid w:val="00571CE8"/>
    <w:rsid w:val="005755CC"/>
    <w:rsid w:val="00580A3F"/>
    <w:rsid w:val="00581A8A"/>
    <w:rsid w:val="00581C09"/>
    <w:rsid w:val="005832C0"/>
    <w:rsid w:val="005835A9"/>
    <w:rsid w:val="00585AF6"/>
    <w:rsid w:val="00585B44"/>
    <w:rsid w:val="00585BE9"/>
    <w:rsid w:val="0058673F"/>
    <w:rsid w:val="00591EEE"/>
    <w:rsid w:val="00591F1C"/>
    <w:rsid w:val="005921CA"/>
    <w:rsid w:val="00592450"/>
    <w:rsid w:val="005934A8"/>
    <w:rsid w:val="00593CB9"/>
    <w:rsid w:val="0059699C"/>
    <w:rsid w:val="005A0485"/>
    <w:rsid w:val="005A3083"/>
    <w:rsid w:val="005A34E7"/>
    <w:rsid w:val="005A4F8E"/>
    <w:rsid w:val="005B1A29"/>
    <w:rsid w:val="005B2030"/>
    <w:rsid w:val="005B39A2"/>
    <w:rsid w:val="005B40E4"/>
    <w:rsid w:val="005B42D8"/>
    <w:rsid w:val="005B718F"/>
    <w:rsid w:val="005B7D89"/>
    <w:rsid w:val="005C0B79"/>
    <w:rsid w:val="005C1E47"/>
    <w:rsid w:val="005C31C2"/>
    <w:rsid w:val="005C3405"/>
    <w:rsid w:val="005C3AC2"/>
    <w:rsid w:val="005C45CF"/>
    <w:rsid w:val="005C4A6C"/>
    <w:rsid w:val="005D1534"/>
    <w:rsid w:val="005D1889"/>
    <w:rsid w:val="005D2087"/>
    <w:rsid w:val="005D23C1"/>
    <w:rsid w:val="005D248B"/>
    <w:rsid w:val="005D7855"/>
    <w:rsid w:val="005E1411"/>
    <w:rsid w:val="005E3B87"/>
    <w:rsid w:val="005E3F5D"/>
    <w:rsid w:val="005E56F7"/>
    <w:rsid w:val="005E66A0"/>
    <w:rsid w:val="005F1790"/>
    <w:rsid w:val="005F2BCE"/>
    <w:rsid w:val="005F333A"/>
    <w:rsid w:val="005F44AC"/>
    <w:rsid w:val="005F46F6"/>
    <w:rsid w:val="0060155B"/>
    <w:rsid w:val="0060339A"/>
    <w:rsid w:val="00603525"/>
    <w:rsid w:val="006046C3"/>
    <w:rsid w:val="00605C04"/>
    <w:rsid w:val="006062DB"/>
    <w:rsid w:val="00610280"/>
    <w:rsid w:val="00610E16"/>
    <w:rsid w:val="006114EB"/>
    <w:rsid w:val="0061183F"/>
    <w:rsid w:val="00612EC9"/>
    <w:rsid w:val="0061306F"/>
    <w:rsid w:val="00614BE9"/>
    <w:rsid w:val="00616CB1"/>
    <w:rsid w:val="00617060"/>
    <w:rsid w:val="006222F7"/>
    <w:rsid w:val="00623B80"/>
    <w:rsid w:val="006244A1"/>
    <w:rsid w:val="006250DC"/>
    <w:rsid w:val="0062669B"/>
    <w:rsid w:val="00627955"/>
    <w:rsid w:val="006279EE"/>
    <w:rsid w:val="00633C83"/>
    <w:rsid w:val="00635DF5"/>
    <w:rsid w:val="00637994"/>
    <w:rsid w:val="00637B92"/>
    <w:rsid w:val="0064547D"/>
    <w:rsid w:val="00645782"/>
    <w:rsid w:val="00645871"/>
    <w:rsid w:val="006511F7"/>
    <w:rsid w:val="00651E75"/>
    <w:rsid w:val="0065342B"/>
    <w:rsid w:val="00653506"/>
    <w:rsid w:val="0065403F"/>
    <w:rsid w:val="00654A3B"/>
    <w:rsid w:val="00655050"/>
    <w:rsid w:val="006574FD"/>
    <w:rsid w:val="0066022D"/>
    <w:rsid w:val="00662013"/>
    <w:rsid w:val="00665DBA"/>
    <w:rsid w:val="006661A6"/>
    <w:rsid w:val="00666848"/>
    <w:rsid w:val="00667B8F"/>
    <w:rsid w:val="00667D86"/>
    <w:rsid w:val="006702F2"/>
    <w:rsid w:val="00671485"/>
    <w:rsid w:val="0067361F"/>
    <w:rsid w:val="0067388D"/>
    <w:rsid w:val="00673AB8"/>
    <w:rsid w:val="00673FD5"/>
    <w:rsid w:val="006756D0"/>
    <w:rsid w:val="00675FB5"/>
    <w:rsid w:val="00677A89"/>
    <w:rsid w:val="006808FF"/>
    <w:rsid w:val="00681C6B"/>
    <w:rsid w:val="00681F38"/>
    <w:rsid w:val="00685272"/>
    <w:rsid w:val="0068578D"/>
    <w:rsid w:val="00685E18"/>
    <w:rsid w:val="00686165"/>
    <w:rsid w:val="00686685"/>
    <w:rsid w:val="00691FDE"/>
    <w:rsid w:val="00692037"/>
    <w:rsid w:val="00693376"/>
    <w:rsid w:val="006951D2"/>
    <w:rsid w:val="0069676E"/>
    <w:rsid w:val="00696F95"/>
    <w:rsid w:val="006976D5"/>
    <w:rsid w:val="006A1F72"/>
    <w:rsid w:val="006A2073"/>
    <w:rsid w:val="006A7D08"/>
    <w:rsid w:val="006B0C46"/>
    <w:rsid w:val="006B0F49"/>
    <w:rsid w:val="006B18AF"/>
    <w:rsid w:val="006B3753"/>
    <w:rsid w:val="006B46B2"/>
    <w:rsid w:val="006B69ED"/>
    <w:rsid w:val="006B7A90"/>
    <w:rsid w:val="006C041B"/>
    <w:rsid w:val="006C3A96"/>
    <w:rsid w:val="006C41CF"/>
    <w:rsid w:val="006C41D4"/>
    <w:rsid w:val="006C45F6"/>
    <w:rsid w:val="006C47AD"/>
    <w:rsid w:val="006C5DEA"/>
    <w:rsid w:val="006C7E38"/>
    <w:rsid w:val="006D1595"/>
    <w:rsid w:val="006D1A96"/>
    <w:rsid w:val="006D362E"/>
    <w:rsid w:val="006D3FAC"/>
    <w:rsid w:val="006D5A1F"/>
    <w:rsid w:val="006D6628"/>
    <w:rsid w:val="006D6632"/>
    <w:rsid w:val="006D6FC5"/>
    <w:rsid w:val="006D71B5"/>
    <w:rsid w:val="006D7364"/>
    <w:rsid w:val="006D743B"/>
    <w:rsid w:val="006E23EC"/>
    <w:rsid w:val="006E497D"/>
    <w:rsid w:val="006E5B53"/>
    <w:rsid w:val="006E6498"/>
    <w:rsid w:val="006E71BA"/>
    <w:rsid w:val="006F0546"/>
    <w:rsid w:val="006F26FF"/>
    <w:rsid w:val="006F2AD2"/>
    <w:rsid w:val="006F5467"/>
    <w:rsid w:val="006F649F"/>
    <w:rsid w:val="006F6FEE"/>
    <w:rsid w:val="006F7521"/>
    <w:rsid w:val="007003EE"/>
    <w:rsid w:val="00700421"/>
    <w:rsid w:val="007042A1"/>
    <w:rsid w:val="0070633F"/>
    <w:rsid w:val="00710D77"/>
    <w:rsid w:val="00714558"/>
    <w:rsid w:val="00714B23"/>
    <w:rsid w:val="00716E11"/>
    <w:rsid w:val="00716ED6"/>
    <w:rsid w:val="0071720A"/>
    <w:rsid w:val="007172A2"/>
    <w:rsid w:val="007205B9"/>
    <w:rsid w:val="007205FF"/>
    <w:rsid w:val="00721312"/>
    <w:rsid w:val="00721374"/>
    <w:rsid w:val="00721E04"/>
    <w:rsid w:val="007223F7"/>
    <w:rsid w:val="00723178"/>
    <w:rsid w:val="007231C0"/>
    <w:rsid w:val="0072452C"/>
    <w:rsid w:val="00725CBF"/>
    <w:rsid w:val="0072629E"/>
    <w:rsid w:val="00727F87"/>
    <w:rsid w:val="007320C1"/>
    <w:rsid w:val="007321CD"/>
    <w:rsid w:val="007324A3"/>
    <w:rsid w:val="00732E64"/>
    <w:rsid w:val="00733098"/>
    <w:rsid w:val="00733DF4"/>
    <w:rsid w:val="00734516"/>
    <w:rsid w:val="0073508E"/>
    <w:rsid w:val="0073694F"/>
    <w:rsid w:val="007370D2"/>
    <w:rsid w:val="0074140C"/>
    <w:rsid w:val="00742AD6"/>
    <w:rsid w:val="00743A7F"/>
    <w:rsid w:val="00745419"/>
    <w:rsid w:val="00751C0E"/>
    <w:rsid w:val="00753190"/>
    <w:rsid w:val="007534F0"/>
    <w:rsid w:val="00753E7D"/>
    <w:rsid w:val="007544DD"/>
    <w:rsid w:val="00755BFB"/>
    <w:rsid w:val="00756A45"/>
    <w:rsid w:val="00757057"/>
    <w:rsid w:val="00760117"/>
    <w:rsid w:val="007602DD"/>
    <w:rsid w:val="00761453"/>
    <w:rsid w:val="00761CCD"/>
    <w:rsid w:val="00762157"/>
    <w:rsid w:val="007627F0"/>
    <w:rsid w:val="0076380D"/>
    <w:rsid w:val="00763D60"/>
    <w:rsid w:val="00764890"/>
    <w:rsid w:val="007664C4"/>
    <w:rsid w:val="00766692"/>
    <w:rsid w:val="00766D2E"/>
    <w:rsid w:val="00772229"/>
    <w:rsid w:val="00772A7F"/>
    <w:rsid w:val="00772B08"/>
    <w:rsid w:val="00773889"/>
    <w:rsid w:val="00773DC7"/>
    <w:rsid w:val="007740E8"/>
    <w:rsid w:val="00777CAA"/>
    <w:rsid w:val="00777D1C"/>
    <w:rsid w:val="007805B9"/>
    <w:rsid w:val="007811AB"/>
    <w:rsid w:val="00782E51"/>
    <w:rsid w:val="007834C4"/>
    <w:rsid w:val="00783913"/>
    <w:rsid w:val="00784793"/>
    <w:rsid w:val="007856B5"/>
    <w:rsid w:val="00785A81"/>
    <w:rsid w:val="0078673F"/>
    <w:rsid w:val="00786E0C"/>
    <w:rsid w:val="00787C12"/>
    <w:rsid w:val="00790C7D"/>
    <w:rsid w:val="007930CF"/>
    <w:rsid w:val="00793D4E"/>
    <w:rsid w:val="007946BE"/>
    <w:rsid w:val="007957C6"/>
    <w:rsid w:val="0079636F"/>
    <w:rsid w:val="0079695F"/>
    <w:rsid w:val="007A04C9"/>
    <w:rsid w:val="007A2669"/>
    <w:rsid w:val="007A3E62"/>
    <w:rsid w:val="007A482F"/>
    <w:rsid w:val="007A63C0"/>
    <w:rsid w:val="007A71C1"/>
    <w:rsid w:val="007A7C8D"/>
    <w:rsid w:val="007B16AA"/>
    <w:rsid w:val="007B22D6"/>
    <w:rsid w:val="007B2B4F"/>
    <w:rsid w:val="007B2BF0"/>
    <w:rsid w:val="007B4CB8"/>
    <w:rsid w:val="007B5B3B"/>
    <w:rsid w:val="007B5EAE"/>
    <w:rsid w:val="007B5F2D"/>
    <w:rsid w:val="007B711D"/>
    <w:rsid w:val="007C0516"/>
    <w:rsid w:val="007C0A3F"/>
    <w:rsid w:val="007C0B72"/>
    <w:rsid w:val="007C0BD7"/>
    <w:rsid w:val="007C44E0"/>
    <w:rsid w:val="007C54FF"/>
    <w:rsid w:val="007C5861"/>
    <w:rsid w:val="007C5941"/>
    <w:rsid w:val="007C5E68"/>
    <w:rsid w:val="007C6550"/>
    <w:rsid w:val="007C7288"/>
    <w:rsid w:val="007C77C5"/>
    <w:rsid w:val="007C7AB3"/>
    <w:rsid w:val="007D231B"/>
    <w:rsid w:val="007D2A61"/>
    <w:rsid w:val="007D4146"/>
    <w:rsid w:val="007D512D"/>
    <w:rsid w:val="007D705B"/>
    <w:rsid w:val="007D791D"/>
    <w:rsid w:val="007E0335"/>
    <w:rsid w:val="007E1315"/>
    <w:rsid w:val="007E1F32"/>
    <w:rsid w:val="007E2A15"/>
    <w:rsid w:val="007E2A5F"/>
    <w:rsid w:val="007E4600"/>
    <w:rsid w:val="007E6AD4"/>
    <w:rsid w:val="007E73B4"/>
    <w:rsid w:val="007F0316"/>
    <w:rsid w:val="007F071A"/>
    <w:rsid w:val="007F523C"/>
    <w:rsid w:val="007F5935"/>
    <w:rsid w:val="007F5D31"/>
    <w:rsid w:val="007F607A"/>
    <w:rsid w:val="007F62A9"/>
    <w:rsid w:val="007F6893"/>
    <w:rsid w:val="00800823"/>
    <w:rsid w:val="00800A65"/>
    <w:rsid w:val="00801559"/>
    <w:rsid w:val="00803988"/>
    <w:rsid w:val="008045D4"/>
    <w:rsid w:val="00804989"/>
    <w:rsid w:val="00805439"/>
    <w:rsid w:val="00807157"/>
    <w:rsid w:val="008072F5"/>
    <w:rsid w:val="00807A65"/>
    <w:rsid w:val="008108B2"/>
    <w:rsid w:val="00811E9C"/>
    <w:rsid w:val="0081339A"/>
    <w:rsid w:val="0082186A"/>
    <w:rsid w:val="008220EA"/>
    <w:rsid w:val="008225E5"/>
    <w:rsid w:val="008230A1"/>
    <w:rsid w:val="00823292"/>
    <w:rsid w:val="0082362B"/>
    <w:rsid w:val="008236E9"/>
    <w:rsid w:val="00825D45"/>
    <w:rsid w:val="00827374"/>
    <w:rsid w:val="00830135"/>
    <w:rsid w:val="008331CE"/>
    <w:rsid w:val="008340CF"/>
    <w:rsid w:val="00834C76"/>
    <w:rsid w:val="0083656A"/>
    <w:rsid w:val="008377D5"/>
    <w:rsid w:val="00837DDF"/>
    <w:rsid w:val="008421A4"/>
    <w:rsid w:val="008448A2"/>
    <w:rsid w:val="00844C83"/>
    <w:rsid w:val="00845DA6"/>
    <w:rsid w:val="00847942"/>
    <w:rsid w:val="00850286"/>
    <w:rsid w:val="0085325D"/>
    <w:rsid w:val="00854116"/>
    <w:rsid w:val="00854635"/>
    <w:rsid w:val="0085485F"/>
    <w:rsid w:val="0085561D"/>
    <w:rsid w:val="00855FD5"/>
    <w:rsid w:val="00857980"/>
    <w:rsid w:val="00860006"/>
    <w:rsid w:val="008607C9"/>
    <w:rsid w:val="00863279"/>
    <w:rsid w:val="0086715A"/>
    <w:rsid w:val="008674A8"/>
    <w:rsid w:val="008679D1"/>
    <w:rsid w:val="008707BC"/>
    <w:rsid w:val="0087118E"/>
    <w:rsid w:val="008721B5"/>
    <w:rsid w:val="00872426"/>
    <w:rsid w:val="00872C8C"/>
    <w:rsid w:val="00873080"/>
    <w:rsid w:val="00873FB1"/>
    <w:rsid w:val="00877F49"/>
    <w:rsid w:val="00880E5E"/>
    <w:rsid w:val="00881F97"/>
    <w:rsid w:val="00883E9F"/>
    <w:rsid w:val="0088531E"/>
    <w:rsid w:val="00887483"/>
    <w:rsid w:val="00890152"/>
    <w:rsid w:val="00890AC5"/>
    <w:rsid w:val="0089163F"/>
    <w:rsid w:val="00892A6E"/>
    <w:rsid w:val="00892C89"/>
    <w:rsid w:val="008955E3"/>
    <w:rsid w:val="00896136"/>
    <w:rsid w:val="00896B2D"/>
    <w:rsid w:val="008A0A0D"/>
    <w:rsid w:val="008A12EA"/>
    <w:rsid w:val="008A18FA"/>
    <w:rsid w:val="008A2CBE"/>
    <w:rsid w:val="008A30EF"/>
    <w:rsid w:val="008A3CE5"/>
    <w:rsid w:val="008A478C"/>
    <w:rsid w:val="008A58DD"/>
    <w:rsid w:val="008A5C37"/>
    <w:rsid w:val="008A67D2"/>
    <w:rsid w:val="008B0914"/>
    <w:rsid w:val="008B1CBA"/>
    <w:rsid w:val="008B2152"/>
    <w:rsid w:val="008B333C"/>
    <w:rsid w:val="008B33E4"/>
    <w:rsid w:val="008B386A"/>
    <w:rsid w:val="008B451C"/>
    <w:rsid w:val="008B46C0"/>
    <w:rsid w:val="008C07D7"/>
    <w:rsid w:val="008C1700"/>
    <w:rsid w:val="008C1AE6"/>
    <w:rsid w:val="008C2652"/>
    <w:rsid w:val="008C3E6F"/>
    <w:rsid w:val="008C525C"/>
    <w:rsid w:val="008C6120"/>
    <w:rsid w:val="008C7080"/>
    <w:rsid w:val="008D0149"/>
    <w:rsid w:val="008D0F0A"/>
    <w:rsid w:val="008D32DE"/>
    <w:rsid w:val="008D3643"/>
    <w:rsid w:val="008D3759"/>
    <w:rsid w:val="008D4BA0"/>
    <w:rsid w:val="008D75B3"/>
    <w:rsid w:val="008D76B2"/>
    <w:rsid w:val="008E3C09"/>
    <w:rsid w:val="008E3C21"/>
    <w:rsid w:val="008E40D6"/>
    <w:rsid w:val="008E5800"/>
    <w:rsid w:val="008E63CB"/>
    <w:rsid w:val="008E667D"/>
    <w:rsid w:val="008E6B05"/>
    <w:rsid w:val="008F133A"/>
    <w:rsid w:val="008F1F9A"/>
    <w:rsid w:val="008F6F5F"/>
    <w:rsid w:val="008F7539"/>
    <w:rsid w:val="0090024F"/>
    <w:rsid w:val="0090136F"/>
    <w:rsid w:val="00901A4D"/>
    <w:rsid w:val="00901B53"/>
    <w:rsid w:val="009022D6"/>
    <w:rsid w:val="00903371"/>
    <w:rsid w:val="00904378"/>
    <w:rsid w:val="0090481E"/>
    <w:rsid w:val="00904998"/>
    <w:rsid w:val="00904B66"/>
    <w:rsid w:val="00905CE3"/>
    <w:rsid w:val="00906AD2"/>
    <w:rsid w:val="00906BB2"/>
    <w:rsid w:val="00907827"/>
    <w:rsid w:val="009103F0"/>
    <w:rsid w:val="00912061"/>
    <w:rsid w:val="00912762"/>
    <w:rsid w:val="009132B1"/>
    <w:rsid w:val="00915962"/>
    <w:rsid w:val="009163FD"/>
    <w:rsid w:val="009165F2"/>
    <w:rsid w:val="00916D18"/>
    <w:rsid w:val="0091710B"/>
    <w:rsid w:val="00917887"/>
    <w:rsid w:val="009205A0"/>
    <w:rsid w:val="009206DC"/>
    <w:rsid w:val="0092112D"/>
    <w:rsid w:val="009213F0"/>
    <w:rsid w:val="0092172A"/>
    <w:rsid w:val="009217CD"/>
    <w:rsid w:val="00927919"/>
    <w:rsid w:val="00934320"/>
    <w:rsid w:val="00934C06"/>
    <w:rsid w:val="00935C33"/>
    <w:rsid w:val="009369F4"/>
    <w:rsid w:val="00936E83"/>
    <w:rsid w:val="0094062B"/>
    <w:rsid w:val="009412CC"/>
    <w:rsid w:val="009416FC"/>
    <w:rsid w:val="0094273E"/>
    <w:rsid w:val="00945CEB"/>
    <w:rsid w:val="00946611"/>
    <w:rsid w:val="00946FCB"/>
    <w:rsid w:val="00950806"/>
    <w:rsid w:val="0095209A"/>
    <w:rsid w:val="0095527F"/>
    <w:rsid w:val="009557F2"/>
    <w:rsid w:val="00956C84"/>
    <w:rsid w:val="00957BE1"/>
    <w:rsid w:val="00960762"/>
    <w:rsid w:val="00961A37"/>
    <w:rsid w:val="00963AE6"/>
    <w:rsid w:val="00970B47"/>
    <w:rsid w:val="0097222F"/>
    <w:rsid w:val="0097223D"/>
    <w:rsid w:val="00973012"/>
    <w:rsid w:val="00973F8E"/>
    <w:rsid w:val="00974F73"/>
    <w:rsid w:val="00975502"/>
    <w:rsid w:val="00976A2A"/>
    <w:rsid w:val="00977858"/>
    <w:rsid w:val="0098092C"/>
    <w:rsid w:val="0098139F"/>
    <w:rsid w:val="00982083"/>
    <w:rsid w:val="0098347C"/>
    <w:rsid w:val="00984BA1"/>
    <w:rsid w:val="009862F6"/>
    <w:rsid w:val="0099082E"/>
    <w:rsid w:val="0099103E"/>
    <w:rsid w:val="00992443"/>
    <w:rsid w:val="0099299A"/>
    <w:rsid w:val="009945B6"/>
    <w:rsid w:val="009952E3"/>
    <w:rsid w:val="00995847"/>
    <w:rsid w:val="00995900"/>
    <w:rsid w:val="00995CF9"/>
    <w:rsid w:val="009968C9"/>
    <w:rsid w:val="00996D39"/>
    <w:rsid w:val="009A1410"/>
    <w:rsid w:val="009A26A1"/>
    <w:rsid w:val="009A47EC"/>
    <w:rsid w:val="009A4D61"/>
    <w:rsid w:val="009A58E8"/>
    <w:rsid w:val="009A712E"/>
    <w:rsid w:val="009A7284"/>
    <w:rsid w:val="009A736F"/>
    <w:rsid w:val="009B184C"/>
    <w:rsid w:val="009B3386"/>
    <w:rsid w:val="009B4882"/>
    <w:rsid w:val="009B4941"/>
    <w:rsid w:val="009B570A"/>
    <w:rsid w:val="009B673F"/>
    <w:rsid w:val="009B69DC"/>
    <w:rsid w:val="009C025B"/>
    <w:rsid w:val="009C1843"/>
    <w:rsid w:val="009C2500"/>
    <w:rsid w:val="009C2C24"/>
    <w:rsid w:val="009C3DBE"/>
    <w:rsid w:val="009C3E07"/>
    <w:rsid w:val="009C49F1"/>
    <w:rsid w:val="009C4D8C"/>
    <w:rsid w:val="009C4DE2"/>
    <w:rsid w:val="009C5114"/>
    <w:rsid w:val="009C79BE"/>
    <w:rsid w:val="009D0080"/>
    <w:rsid w:val="009D0554"/>
    <w:rsid w:val="009D1027"/>
    <w:rsid w:val="009D2854"/>
    <w:rsid w:val="009D2CCD"/>
    <w:rsid w:val="009D408C"/>
    <w:rsid w:val="009D52D5"/>
    <w:rsid w:val="009D5F85"/>
    <w:rsid w:val="009D7679"/>
    <w:rsid w:val="009E06FE"/>
    <w:rsid w:val="009E0805"/>
    <w:rsid w:val="009E122A"/>
    <w:rsid w:val="009E161D"/>
    <w:rsid w:val="009E1A20"/>
    <w:rsid w:val="009E203B"/>
    <w:rsid w:val="009E2CD7"/>
    <w:rsid w:val="009E3A8A"/>
    <w:rsid w:val="009E52D3"/>
    <w:rsid w:val="009E52FC"/>
    <w:rsid w:val="009E58FA"/>
    <w:rsid w:val="009E6AD5"/>
    <w:rsid w:val="009E7D26"/>
    <w:rsid w:val="009F1D4B"/>
    <w:rsid w:val="009F2B4F"/>
    <w:rsid w:val="009F2BE7"/>
    <w:rsid w:val="009F3357"/>
    <w:rsid w:val="009F3CEC"/>
    <w:rsid w:val="009F5116"/>
    <w:rsid w:val="009F520B"/>
    <w:rsid w:val="009F5531"/>
    <w:rsid w:val="009F595B"/>
    <w:rsid w:val="009F6802"/>
    <w:rsid w:val="009F7430"/>
    <w:rsid w:val="009F7962"/>
    <w:rsid w:val="009F7F90"/>
    <w:rsid w:val="00A001E4"/>
    <w:rsid w:val="00A01837"/>
    <w:rsid w:val="00A02E97"/>
    <w:rsid w:val="00A04E59"/>
    <w:rsid w:val="00A05020"/>
    <w:rsid w:val="00A0644F"/>
    <w:rsid w:val="00A07E8D"/>
    <w:rsid w:val="00A126EB"/>
    <w:rsid w:val="00A15C9E"/>
    <w:rsid w:val="00A16C8A"/>
    <w:rsid w:val="00A176AD"/>
    <w:rsid w:val="00A17859"/>
    <w:rsid w:val="00A17A3F"/>
    <w:rsid w:val="00A20747"/>
    <w:rsid w:val="00A22F69"/>
    <w:rsid w:val="00A232DD"/>
    <w:rsid w:val="00A262D1"/>
    <w:rsid w:val="00A2655F"/>
    <w:rsid w:val="00A27DA9"/>
    <w:rsid w:val="00A27F13"/>
    <w:rsid w:val="00A300A1"/>
    <w:rsid w:val="00A36D54"/>
    <w:rsid w:val="00A372B9"/>
    <w:rsid w:val="00A400C6"/>
    <w:rsid w:val="00A40BFF"/>
    <w:rsid w:val="00A43734"/>
    <w:rsid w:val="00A43C0A"/>
    <w:rsid w:val="00A445AD"/>
    <w:rsid w:val="00A45676"/>
    <w:rsid w:val="00A45D66"/>
    <w:rsid w:val="00A46785"/>
    <w:rsid w:val="00A47523"/>
    <w:rsid w:val="00A47EE7"/>
    <w:rsid w:val="00A52B26"/>
    <w:rsid w:val="00A53D2F"/>
    <w:rsid w:val="00A53ECF"/>
    <w:rsid w:val="00A546AD"/>
    <w:rsid w:val="00A54F5B"/>
    <w:rsid w:val="00A5548A"/>
    <w:rsid w:val="00A55C4C"/>
    <w:rsid w:val="00A564ED"/>
    <w:rsid w:val="00A62F2A"/>
    <w:rsid w:val="00A635D2"/>
    <w:rsid w:val="00A645E8"/>
    <w:rsid w:val="00A652DF"/>
    <w:rsid w:val="00A662C8"/>
    <w:rsid w:val="00A66E94"/>
    <w:rsid w:val="00A67CC6"/>
    <w:rsid w:val="00A705E7"/>
    <w:rsid w:val="00A717BD"/>
    <w:rsid w:val="00A71984"/>
    <w:rsid w:val="00A72C1B"/>
    <w:rsid w:val="00A745BC"/>
    <w:rsid w:val="00A75089"/>
    <w:rsid w:val="00A7582E"/>
    <w:rsid w:val="00A764ED"/>
    <w:rsid w:val="00A766DE"/>
    <w:rsid w:val="00A80496"/>
    <w:rsid w:val="00A81664"/>
    <w:rsid w:val="00A82A58"/>
    <w:rsid w:val="00A82B4C"/>
    <w:rsid w:val="00A86672"/>
    <w:rsid w:val="00A8682C"/>
    <w:rsid w:val="00A90095"/>
    <w:rsid w:val="00A90D1F"/>
    <w:rsid w:val="00A91327"/>
    <w:rsid w:val="00A9477F"/>
    <w:rsid w:val="00A952DE"/>
    <w:rsid w:val="00A96DC6"/>
    <w:rsid w:val="00A96FA3"/>
    <w:rsid w:val="00A9716F"/>
    <w:rsid w:val="00A97D19"/>
    <w:rsid w:val="00AA028C"/>
    <w:rsid w:val="00AA0326"/>
    <w:rsid w:val="00AA4A5F"/>
    <w:rsid w:val="00AA4CD7"/>
    <w:rsid w:val="00AA57B3"/>
    <w:rsid w:val="00AA5A8F"/>
    <w:rsid w:val="00AA7FCE"/>
    <w:rsid w:val="00AB0368"/>
    <w:rsid w:val="00AB260D"/>
    <w:rsid w:val="00AB2BBB"/>
    <w:rsid w:val="00AB3923"/>
    <w:rsid w:val="00AB5D59"/>
    <w:rsid w:val="00AB7149"/>
    <w:rsid w:val="00AB73B7"/>
    <w:rsid w:val="00AB76EC"/>
    <w:rsid w:val="00AB7730"/>
    <w:rsid w:val="00AC067F"/>
    <w:rsid w:val="00AC1687"/>
    <w:rsid w:val="00AC29C3"/>
    <w:rsid w:val="00AC3ADA"/>
    <w:rsid w:val="00AC3E7B"/>
    <w:rsid w:val="00AC49AE"/>
    <w:rsid w:val="00AC4FE6"/>
    <w:rsid w:val="00AC5E71"/>
    <w:rsid w:val="00AC64AF"/>
    <w:rsid w:val="00AD26B8"/>
    <w:rsid w:val="00AD2E28"/>
    <w:rsid w:val="00AD2EAC"/>
    <w:rsid w:val="00AD4151"/>
    <w:rsid w:val="00AD5EA0"/>
    <w:rsid w:val="00AD6950"/>
    <w:rsid w:val="00AE1443"/>
    <w:rsid w:val="00AE20E6"/>
    <w:rsid w:val="00AE529E"/>
    <w:rsid w:val="00AE53E4"/>
    <w:rsid w:val="00AE621C"/>
    <w:rsid w:val="00AF1A09"/>
    <w:rsid w:val="00AF2736"/>
    <w:rsid w:val="00AF28DB"/>
    <w:rsid w:val="00AF299B"/>
    <w:rsid w:val="00AF2DB1"/>
    <w:rsid w:val="00AF364D"/>
    <w:rsid w:val="00AF4969"/>
    <w:rsid w:val="00AF56B5"/>
    <w:rsid w:val="00AF578D"/>
    <w:rsid w:val="00AF705E"/>
    <w:rsid w:val="00B004B4"/>
    <w:rsid w:val="00B008DE"/>
    <w:rsid w:val="00B00FD7"/>
    <w:rsid w:val="00B02367"/>
    <w:rsid w:val="00B03256"/>
    <w:rsid w:val="00B03DE3"/>
    <w:rsid w:val="00B03EC9"/>
    <w:rsid w:val="00B04602"/>
    <w:rsid w:val="00B068D7"/>
    <w:rsid w:val="00B06EE8"/>
    <w:rsid w:val="00B07316"/>
    <w:rsid w:val="00B0767E"/>
    <w:rsid w:val="00B1046A"/>
    <w:rsid w:val="00B111E6"/>
    <w:rsid w:val="00B11CF5"/>
    <w:rsid w:val="00B12DF9"/>
    <w:rsid w:val="00B13B0A"/>
    <w:rsid w:val="00B15098"/>
    <w:rsid w:val="00B164D7"/>
    <w:rsid w:val="00B17630"/>
    <w:rsid w:val="00B17988"/>
    <w:rsid w:val="00B227B0"/>
    <w:rsid w:val="00B23F46"/>
    <w:rsid w:val="00B24B8C"/>
    <w:rsid w:val="00B24F84"/>
    <w:rsid w:val="00B261E0"/>
    <w:rsid w:val="00B264F5"/>
    <w:rsid w:val="00B2707F"/>
    <w:rsid w:val="00B27A97"/>
    <w:rsid w:val="00B3129A"/>
    <w:rsid w:val="00B32CC6"/>
    <w:rsid w:val="00B33C05"/>
    <w:rsid w:val="00B33D1C"/>
    <w:rsid w:val="00B3449C"/>
    <w:rsid w:val="00B35F58"/>
    <w:rsid w:val="00B3628D"/>
    <w:rsid w:val="00B365A3"/>
    <w:rsid w:val="00B3738E"/>
    <w:rsid w:val="00B40BFB"/>
    <w:rsid w:val="00B41F73"/>
    <w:rsid w:val="00B42469"/>
    <w:rsid w:val="00B427D6"/>
    <w:rsid w:val="00B4329F"/>
    <w:rsid w:val="00B43EE8"/>
    <w:rsid w:val="00B44159"/>
    <w:rsid w:val="00B45ACD"/>
    <w:rsid w:val="00B45C19"/>
    <w:rsid w:val="00B503D9"/>
    <w:rsid w:val="00B50474"/>
    <w:rsid w:val="00B523F9"/>
    <w:rsid w:val="00B5366A"/>
    <w:rsid w:val="00B55A3E"/>
    <w:rsid w:val="00B55BAA"/>
    <w:rsid w:val="00B57836"/>
    <w:rsid w:val="00B57948"/>
    <w:rsid w:val="00B57A7D"/>
    <w:rsid w:val="00B612D3"/>
    <w:rsid w:val="00B61984"/>
    <w:rsid w:val="00B6275D"/>
    <w:rsid w:val="00B64154"/>
    <w:rsid w:val="00B64625"/>
    <w:rsid w:val="00B6562B"/>
    <w:rsid w:val="00B65FC0"/>
    <w:rsid w:val="00B66C8B"/>
    <w:rsid w:val="00B701B7"/>
    <w:rsid w:val="00B70308"/>
    <w:rsid w:val="00B720BF"/>
    <w:rsid w:val="00B7309E"/>
    <w:rsid w:val="00B73CA0"/>
    <w:rsid w:val="00B74520"/>
    <w:rsid w:val="00B748CC"/>
    <w:rsid w:val="00B74A20"/>
    <w:rsid w:val="00B75D37"/>
    <w:rsid w:val="00B7602F"/>
    <w:rsid w:val="00B76795"/>
    <w:rsid w:val="00B774D0"/>
    <w:rsid w:val="00B87B07"/>
    <w:rsid w:val="00B90771"/>
    <w:rsid w:val="00B9092E"/>
    <w:rsid w:val="00B92163"/>
    <w:rsid w:val="00B926EA"/>
    <w:rsid w:val="00B931DD"/>
    <w:rsid w:val="00B940C1"/>
    <w:rsid w:val="00B9429A"/>
    <w:rsid w:val="00B94F82"/>
    <w:rsid w:val="00B95AB9"/>
    <w:rsid w:val="00B96E22"/>
    <w:rsid w:val="00B97F53"/>
    <w:rsid w:val="00BA0A34"/>
    <w:rsid w:val="00BA26AD"/>
    <w:rsid w:val="00BA44BE"/>
    <w:rsid w:val="00BA4C96"/>
    <w:rsid w:val="00BA4E51"/>
    <w:rsid w:val="00BA65CC"/>
    <w:rsid w:val="00BA7444"/>
    <w:rsid w:val="00BB22ED"/>
    <w:rsid w:val="00BB276C"/>
    <w:rsid w:val="00BB416B"/>
    <w:rsid w:val="00BB5068"/>
    <w:rsid w:val="00BB519B"/>
    <w:rsid w:val="00BB5509"/>
    <w:rsid w:val="00BC1820"/>
    <w:rsid w:val="00BC2446"/>
    <w:rsid w:val="00BC2B3C"/>
    <w:rsid w:val="00BC3231"/>
    <w:rsid w:val="00BC557D"/>
    <w:rsid w:val="00BC6AB7"/>
    <w:rsid w:val="00BC6E52"/>
    <w:rsid w:val="00BC7AE6"/>
    <w:rsid w:val="00BD00EA"/>
    <w:rsid w:val="00BD0D42"/>
    <w:rsid w:val="00BD24A8"/>
    <w:rsid w:val="00BD2600"/>
    <w:rsid w:val="00BD2FF3"/>
    <w:rsid w:val="00BD3E18"/>
    <w:rsid w:val="00BD4272"/>
    <w:rsid w:val="00BD427C"/>
    <w:rsid w:val="00BD569A"/>
    <w:rsid w:val="00BD5AA8"/>
    <w:rsid w:val="00BD7BC4"/>
    <w:rsid w:val="00BE0D55"/>
    <w:rsid w:val="00BE1F4E"/>
    <w:rsid w:val="00BE331B"/>
    <w:rsid w:val="00BF117E"/>
    <w:rsid w:val="00BF1F48"/>
    <w:rsid w:val="00BF2098"/>
    <w:rsid w:val="00BF28C1"/>
    <w:rsid w:val="00BF2C5F"/>
    <w:rsid w:val="00BF2E36"/>
    <w:rsid w:val="00BF32FC"/>
    <w:rsid w:val="00BF3BDE"/>
    <w:rsid w:val="00BF3E41"/>
    <w:rsid w:val="00BF42E2"/>
    <w:rsid w:val="00BF5AED"/>
    <w:rsid w:val="00BF6B16"/>
    <w:rsid w:val="00BF6C5E"/>
    <w:rsid w:val="00C02560"/>
    <w:rsid w:val="00C025F6"/>
    <w:rsid w:val="00C029D7"/>
    <w:rsid w:val="00C03B64"/>
    <w:rsid w:val="00C03E74"/>
    <w:rsid w:val="00C040D1"/>
    <w:rsid w:val="00C07C49"/>
    <w:rsid w:val="00C10284"/>
    <w:rsid w:val="00C10B0F"/>
    <w:rsid w:val="00C12ABB"/>
    <w:rsid w:val="00C15426"/>
    <w:rsid w:val="00C15DC5"/>
    <w:rsid w:val="00C164FB"/>
    <w:rsid w:val="00C16E68"/>
    <w:rsid w:val="00C1792F"/>
    <w:rsid w:val="00C20165"/>
    <w:rsid w:val="00C20649"/>
    <w:rsid w:val="00C20B84"/>
    <w:rsid w:val="00C2408B"/>
    <w:rsid w:val="00C2474E"/>
    <w:rsid w:val="00C253F0"/>
    <w:rsid w:val="00C26F27"/>
    <w:rsid w:val="00C27238"/>
    <w:rsid w:val="00C274D7"/>
    <w:rsid w:val="00C27903"/>
    <w:rsid w:val="00C30BAC"/>
    <w:rsid w:val="00C32B46"/>
    <w:rsid w:val="00C347B1"/>
    <w:rsid w:val="00C34AAE"/>
    <w:rsid w:val="00C354E7"/>
    <w:rsid w:val="00C35873"/>
    <w:rsid w:val="00C3649D"/>
    <w:rsid w:val="00C36538"/>
    <w:rsid w:val="00C365B1"/>
    <w:rsid w:val="00C3711A"/>
    <w:rsid w:val="00C40C6E"/>
    <w:rsid w:val="00C41F8F"/>
    <w:rsid w:val="00C4289D"/>
    <w:rsid w:val="00C443CA"/>
    <w:rsid w:val="00C44B29"/>
    <w:rsid w:val="00C4587D"/>
    <w:rsid w:val="00C459F9"/>
    <w:rsid w:val="00C45D1A"/>
    <w:rsid w:val="00C50706"/>
    <w:rsid w:val="00C50A06"/>
    <w:rsid w:val="00C50A3A"/>
    <w:rsid w:val="00C51F11"/>
    <w:rsid w:val="00C53BD3"/>
    <w:rsid w:val="00C554E5"/>
    <w:rsid w:val="00C56B0B"/>
    <w:rsid w:val="00C56B1B"/>
    <w:rsid w:val="00C56FEC"/>
    <w:rsid w:val="00C60966"/>
    <w:rsid w:val="00C61DBC"/>
    <w:rsid w:val="00C62373"/>
    <w:rsid w:val="00C64238"/>
    <w:rsid w:val="00C65DF3"/>
    <w:rsid w:val="00C701CB"/>
    <w:rsid w:val="00C706BA"/>
    <w:rsid w:val="00C70EF4"/>
    <w:rsid w:val="00C71DDA"/>
    <w:rsid w:val="00C7576E"/>
    <w:rsid w:val="00C75CCB"/>
    <w:rsid w:val="00C75FC2"/>
    <w:rsid w:val="00C768D2"/>
    <w:rsid w:val="00C770B9"/>
    <w:rsid w:val="00C8089E"/>
    <w:rsid w:val="00C81F02"/>
    <w:rsid w:val="00C826EF"/>
    <w:rsid w:val="00C82733"/>
    <w:rsid w:val="00C85CC9"/>
    <w:rsid w:val="00C9023B"/>
    <w:rsid w:val="00C95076"/>
    <w:rsid w:val="00C96AD9"/>
    <w:rsid w:val="00C96BCD"/>
    <w:rsid w:val="00C97A26"/>
    <w:rsid w:val="00CA003D"/>
    <w:rsid w:val="00CA2482"/>
    <w:rsid w:val="00CA4074"/>
    <w:rsid w:val="00CA4905"/>
    <w:rsid w:val="00CA7187"/>
    <w:rsid w:val="00CA7518"/>
    <w:rsid w:val="00CB1B15"/>
    <w:rsid w:val="00CB2CA7"/>
    <w:rsid w:val="00CB2DBC"/>
    <w:rsid w:val="00CB2E4A"/>
    <w:rsid w:val="00CB3997"/>
    <w:rsid w:val="00CB3F5E"/>
    <w:rsid w:val="00CB53C6"/>
    <w:rsid w:val="00CB687C"/>
    <w:rsid w:val="00CC0C99"/>
    <w:rsid w:val="00CC2148"/>
    <w:rsid w:val="00CC286D"/>
    <w:rsid w:val="00CC2CBE"/>
    <w:rsid w:val="00CC4550"/>
    <w:rsid w:val="00CC521E"/>
    <w:rsid w:val="00CC607B"/>
    <w:rsid w:val="00CC6920"/>
    <w:rsid w:val="00CC6FAB"/>
    <w:rsid w:val="00CC7763"/>
    <w:rsid w:val="00CC78BC"/>
    <w:rsid w:val="00CD0D49"/>
    <w:rsid w:val="00CD3468"/>
    <w:rsid w:val="00CD5439"/>
    <w:rsid w:val="00CD5A9F"/>
    <w:rsid w:val="00CD5EF1"/>
    <w:rsid w:val="00CD63D7"/>
    <w:rsid w:val="00CD7356"/>
    <w:rsid w:val="00CE09F6"/>
    <w:rsid w:val="00CE5A8F"/>
    <w:rsid w:val="00CF0213"/>
    <w:rsid w:val="00CF0433"/>
    <w:rsid w:val="00CF0CBB"/>
    <w:rsid w:val="00CF0FD8"/>
    <w:rsid w:val="00CF14D1"/>
    <w:rsid w:val="00CF244A"/>
    <w:rsid w:val="00CF322F"/>
    <w:rsid w:val="00CF38B0"/>
    <w:rsid w:val="00CF4147"/>
    <w:rsid w:val="00CF5EE9"/>
    <w:rsid w:val="00CF6761"/>
    <w:rsid w:val="00CF6961"/>
    <w:rsid w:val="00CF6E89"/>
    <w:rsid w:val="00D009C2"/>
    <w:rsid w:val="00D01354"/>
    <w:rsid w:val="00D03EDD"/>
    <w:rsid w:val="00D04EAC"/>
    <w:rsid w:val="00D05921"/>
    <w:rsid w:val="00D05A20"/>
    <w:rsid w:val="00D074D0"/>
    <w:rsid w:val="00D105FC"/>
    <w:rsid w:val="00D138E3"/>
    <w:rsid w:val="00D13BFA"/>
    <w:rsid w:val="00D14528"/>
    <w:rsid w:val="00D150A7"/>
    <w:rsid w:val="00D1582D"/>
    <w:rsid w:val="00D21995"/>
    <w:rsid w:val="00D21E93"/>
    <w:rsid w:val="00D2297E"/>
    <w:rsid w:val="00D24838"/>
    <w:rsid w:val="00D24BE4"/>
    <w:rsid w:val="00D2515B"/>
    <w:rsid w:val="00D25885"/>
    <w:rsid w:val="00D25A7D"/>
    <w:rsid w:val="00D27312"/>
    <w:rsid w:val="00D27904"/>
    <w:rsid w:val="00D307E6"/>
    <w:rsid w:val="00D3174F"/>
    <w:rsid w:val="00D3250C"/>
    <w:rsid w:val="00D32BCE"/>
    <w:rsid w:val="00D332F0"/>
    <w:rsid w:val="00D35B95"/>
    <w:rsid w:val="00D3693F"/>
    <w:rsid w:val="00D37A2F"/>
    <w:rsid w:val="00D40885"/>
    <w:rsid w:val="00D41910"/>
    <w:rsid w:val="00D42788"/>
    <w:rsid w:val="00D43134"/>
    <w:rsid w:val="00D44167"/>
    <w:rsid w:val="00D44FD3"/>
    <w:rsid w:val="00D46C67"/>
    <w:rsid w:val="00D5114C"/>
    <w:rsid w:val="00D52739"/>
    <w:rsid w:val="00D52F8F"/>
    <w:rsid w:val="00D558C2"/>
    <w:rsid w:val="00D60779"/>
    <w:rsid w:val="00D610C4"/>
    <w:rsid w:val="00D62377"/>
    <w:rsid w:val="00D64CBA"/>
    <w:rsid w:val="00D64D70"/>
    <w:rsid w:val="00D6523B"/>
    <w:rsid w:val="00D6560E"/>
    <w:rsid w:val="00D66680"/>
    <w:rsid w:val="00D6752F"/>
    <w:rsid w:val="00D678CB"/>
    <w:rsid w:val="00D67EAC"/>
    <w:rsid w:val="00D7091E"/>
    <w:rsid w:val="00D70DED"/>
    <w:rsid w:val="00D71930"/>
    <w:rsid w:val="00D71F37"/>
    <w:rsid w:val="00D72077"/>
    <w:rsid w:val="00D72C4A"/>
    <w:rsid w:val="00D755F0"/>
    <w:rsid w:val="00D75C67"/>
    <w:rsid w:val="00D76B8F"/>
    <w:rsid w:val="00D8070F"/>
    <w:rsid w:val="00D82C60"/>
    <w:rsid w:val="00D83A2F"/>
    <w:rsid w:val="00D853E0"/>
    <w:rsid w:val="00D85418"/>
    <w:rsid w:val="00D85AD3"/>
    <w:rsid w:val="00D869AC"/>
    <w:rsid w:val="00D87931"/>
    <w:rsid w:val="00D90075"/>
    <w:rsid w:val="00D90446"/>
    <w:rsid w:val="00D90935"/>
    <w:rsid w:val="00D911C9"/>
    <w:rsid w:val="00D92450"/>
    <w:rsid w:val="00D928BE"/>
    <w:rsid w:val="00D93A97"/>
    <w:rsid w:val="00D96893"/>
    <w:rsid w:val="00D96D99"/>
    <w:rsid w:val="00D970ED"/>
    <w:rsid w:val="00D97948"/>
    <w:rsid w:val="00DA0A56"/>
    <w:rsid w:val="00DA0D70"/>
    <w:rsid w:val="00DA45ED"/>
    <w:rsid w:val="00DA5A9B"/>
    <w:rsid w:val="00DA6013"/>
    <w:rsid w:val="00DA770C"/>
    <w:rsid w:val="00DB1217"/>
    <w:rsid w:val="00DB2ADF"/>
    <w:rsid w:val="00DB3E69"/>
    <w:rsid w:val="00DB44E0"/>
    <w:rsid w:val="00DB4F6C"/>
    <w:rsid w:val="00DB50E7"/>
    <w:rsid w:val="00DB670D"/>
    <w:rsid w:val="00DB6B9B"/>
    <w:rsid w:val="00DC031F"/>
    <w:rsid w:val="00DC1A2A"/>
    <w:rsid w:val="00DC247F"/>
    <w:rsid w:val="00DC2FA5"/>
    <w:rsid w:val="00DC45DE"/>
    <w:rsid w:val="00DC49B0"/>
    <w:rsid w:val="00DD072F"/>
    <w:rsid w:val="00DD0EDD"/>
    <w:rsid w:val="00DD1885"/>
    <w:rsid w:val="00DD216C"/>
    <w:rsid w:val="00DD3383"/>
    <w:rsid w:val="00DD33E3"/>
    <w:rsid w:val="00DD3A6F"/>
    <w:rsid w:val="00DD3A94"/>
    <w:rsid w:val="00DD6773"/>
    <w:rsid w:val="00DD6F03"/>
    <w:rsid w:val="00DD7109"/>
    <w:rsid w:val="00DD726C"/>
    <w:rsid w:val="00DE2736"/>
    <w:rsid w:val="00DE2D8E"/>
    <w:rsid w:val="00DE33DE"/>
    <w:rsid w:val="00DE3F97"/>
    <w:rsid w:val="00DE40D7"/>
    <w:rsid w:val="00DE4498"/>
    <w:rsid w:val="00DE500C"/>
    <w:rsid w:val="00DE6DF5"/>
    <w:rsid w:val="00DE7740"/>
    <w:rsid w:val="00DE77AF"/>
    <w:rsid w:val="00DE79F3"/>
    <w:rsid w:val="00DF01ED"/>
    <w:rsid w:val="00DF1F8F"/>
    <w:rsid w:val="00DF25D1"/>
    <w:rsid w:val="00DF2A34"/>
    <w:rsid w:val="00DF2A94"/>
    <w:rsid w:val="00DF50E8"/>
    <w:rsid w:val="00DF584F"/>
    <w:rsid w:val="00DF63D9"/>
    <w:rsid w:val="00DF6548"/>
    <w:rsid w:val="00DF786C"/>
    <w:rsid w:val="00E009EE"/>
    <w:rsid w:val="00E00E50"/>
    <w:rsid w:val="00E00FBA"/>
    <w:rsid w:val="00E01DC4"/>
    <w:rsid w:val="00E01E7B"/>
    <w:rsid w:val="00E04B2D"/>
    <w:rsid w:val="00E0605E"/>
    <w:rsid w:val="00E0659A"/>
    <w:rsid w:val="00E06AF5"/>
    <w:rsid w:val="00E06E5C"/>
    <w:rsid w:val="00E07244"/>
    <w:rsid w:val="00E073A2"/>
    <w:rsid w:val="00E1014A"/>
    <w:rsid w:val="00E1029B"/>
    <w:rsid w:val="00E10F6F"/>
    <w:rsid w:val="00E1267B"/>
    <w:rsid w:val="00E13C42"/>
    <w:rsid w:val="00E1529E"/>
    <w:rsid w:val="00E16C5A"/>
    <w:rsid w:val="00E16DF2"/>
    <w:rsid w:val="00E16EE5"/>
    <w:rsid w:val="00E20812"/>
    <w:rsid w:val="00E20DC3"/>
    <w:rsid w:val="00E20DEE"/>
    <w:rsid w:val="00E2266F"/>
    <w:rsid w:val="00E23DD3"/>
    <w:rsid w:val="00E25C5F"/>
    <w:rsid w:val="00E25E35"/>
    <w:rsid w:val="00E267E8"/>
    <w:rsid w:val="00E26831"/>
    <w:rsid w:val="00E30CCB"/>
    <w:rsid w:val="00E32563"/>
    <w:rsid w:val="00E334B1"/>
    <w:rsid w:val="00E33903"/>
    <w:rsid w:val="00E33C5E"/>
    <w:rsid w:val="00E34DAD"/>
    <w:rsid w:val="00E351AF"/>
    <w:rsid w:val="00E35EFF"/>
    <w:rsid w:val="00E364F0"/>
    <w:rsid w:val="00E368B7"/>
    <w:rsid w:val="00E37F07"/>
    <w:rsid w:val="00E40679"/>
    <w:rsid w:val="00E4252B"/>
    <w:rsid w:val="00E5146C"/>
    <w:rsid w:val="00E51900"/>
    <w:rsid w:val="00E527C7"/>
    <w:rsid w:val="00E53D71"/>
    <w:rsid w:val="00E550F4"/>
    <w:rsid w:val="00E57848"/>
    <w:rsid w:val="00E600BE"/>
    <w:rsid w:val="00E62027"/>
    <w:rsid w:val="00E62291"/>
    <w:rsid w:val="00E62FAF"/>
    <w:rsid w:val="00E65CE4"/>
    <w:rsid w:val="00E67B9A"/>
    <w:rsid w:val="00E67F17"/>
    <w:rsid w:val="00E704A5"/>
    <w:rsid w:val="00E708E4"/>
    <w:rsid w:val="00E71CDD"/>
    <w:rsid w:val="00E74699"/>
    <w:rsid w:val="00E74D94"/>
    <w:rsid w:val="00E8004E"/>
    <w:rsid w:val="00E80AE4"/>
    <w:rsid w:val="00E81D47"/>
    <w:rsid w:val="00E83706"/>
    <w:rsid w:val="00E8371D"/>
    <w:rsid w:val="00E83D0A"/>
    <w:rsid w:val="00E84789"/>
    <w:rsid w:val="00E856E3"/>
    <w:rsid w:val="00E865D8"/>
    <w:rsid w:val="00E874D8"/>
    <w:rsid w:val="00E87A3C"/>
    <w:rsid w:val="00E9146F"/>
    <w:rsid w:val="00E91898"/>
    <w:rsid w:val="00E91C94"/>
    <w:rsid w:val="00E92269"/>
    <w:rsid w:val="00E9353E"/>
    <w:rsid w:val="00E95356"/>
    <w:rsid w:val="00E977B9"/>
    <w:rsid w:val="00EA02BF"/>
    <w:rsid w:val="00EA27C2"/>
    <w:rsid w:val="00EA29B7"/>
    <w:rsid w:val="00EA46A4"/>
    <w:rsid w:val="00EA4C2C"/>
    <w:rsid w:val="00EB1896"/>
    <w:rsid w:val="00EB32FD"/>
    <w:rsid w:val="00EB381C"/>
    <w:rsid w:val="00EB58F0"/>
    <w:rsid w:val="00EB5F3F"/>
    <w:rsid w:val="00EB7906"/>
    <w:rsid w:val="00EB7DF3"/>
    <w:rsid w:val="00EC12DA"/>
    <w:rsid w:val="00EC14F0"/>
    <w:rsid w:val="00EC44F3"/>
    <w:rsid w:val="00EC4523"/>
    <w:rsid w:val="00EC523D"/>
    <w:rsid w:val="00EC6561"/>
    <w:rsid w:val="00EC69D7"/>
    <w:rsid w:val="00EC6CB3"/>
    <w:rsid w:val="00EC772A"/>
    <w:rsid w:val="00EC7CCF"/>
    <w:rsid w:val="00ED0518"/>
    <w:rsid w:val="00ED0D60"/>
    <w:rsid w:val="00ED1F20"/>
    <w:rsid w:val="00ED22B6"/>
    <w:rsid w:val="00ED2B9E"/>
    <w:rsid w:val="00ED33EC"/>
    <w:rsid w:val="00ED378F"/>
    <w:rsid w:val="00ED3A80"/>
    <w:rsid w:val="00ED4FCF"/>
    <w:rsid w:val="00ED5290"/>
    <w:rsid w:val="00ED61CE"/>
    <w:rsid w:val="00ED6633"/>
    <w:rsid w:val="00ED6C65"/>
    <w:rsid w:val="00ED7632"/>
    <w:rsid w:val="00EE0824"/>
    <w:rsid w:val="00EE0D06"/>
    <w:rsid w:val="00EE0FCB"/>
    <w:rsid w:val="00EE1050"/>
    <w:rsid w:val="00EE2D4A"/>
    <w:rsid w:val="00EE2E1E"/>
    <w:rsid w:val="00EE37F7"/>
    <w:rsid w:val="00EE4760"/>
    <w:rsid w:val="00EE4B7A"/>
    <w:rsid w:val="00EE6247"/>
    <w:rsid w:val="00EE7CAC"/>
    <w:rsid w:val="00EF1E8B"/>
    <w:rsid w:val="00EF550D"/>
    <w:rsid w:val="00EF558D"/>
    <w:rsid w:val="00EF7260"/>
    <w:rsid w:val="00EF7F2C"/>
    <w:rsid w:val="00F00479"/>
    <w:rsid w:val="00F04080"/>
    <w:rsid w:val="00F06295"/>
    <w:rsid w:val="00F10489"/>
    <w:rsid w:val="00F1083B"/>
    <w:rsid w:val="00F1187B"/>
    <w:rsid w:val="00F125E5"/>
    <w:rsid w:val="00F129AF"/>
    <w:rsid w:val="00F12AED"/>
    <w:rsid w:val="00F153DD"/>
    <w:rsid w:val="00F20BDE"/>
    <w:rsid w:val="00F22514"/>
    <w:rsid w:val="00F27237"/>
    <w:rsid w:val="00F27480"/>
    <w:rsid w:val="00F32050"/>
    <w:rsid w:val="00F346C1"/>
    <w:rsid w:val="00F3570D"/>
    <w:rsid w:val="00F35F1F"/>
    <w:rsid w:val="00F36E35"/>
    <w:rsid w:val="00F379FB"/>
    <w:rsid w:val="00F37E0F"/>
    <w:rsid w:val="00F4035A"/>
    <w:rsid w:val="00F40471"/>
    <w:rsid w:val="00F40A16"/>
    <w:rsid w:val="00F40A86"/>
    <w:rsid w:val="00F411DF"/>
    <w:rsid w:val="00F41783"/>
    <w:rsid w:val="00F430B1"/>
    <w:rsid w:val="00F43182"/>
    <w:rsid w:val="00F43C3E"/>
    <w:rsid w:val="00F51970"/>
    <w:rsid w:val="00F525B4"/>
    <w:rsid w:val="00F54405"/>
    <w:rsid w:val="00F56388"/>
    <w:rsid w:val="00F56427"/>
    <w:rsid w:val="00F56A41"/>
    <w:rsid w:val="00F56E14"/>
    <w:rsid w:val="00F57970"/>
    <w:rsid w:val="00F57BFB"/>
    <w:rsid w:val="00F57DBC"/>
    <w:rsid w:val="00F57DD3"/>
    <w:rsid w:val="00F611AB"/>
    <w:rsid w:val="00F61507"/>
    <w:rsid w:val="00F615EA"/>
    <w:rsid w:val="00F6538B"/>
    <w:rsid w:val="00F655EF"/>
    <w:rsid w:val="00F65868"/>
    <w:rsid w:val="00F65AD1"/>
    <w:rsid w:val="00F66D54"/>
    <w:rsid w:val="00F70D27"/>
    <w:rsid w:val="00F71DD1"/>
    <w:rsid w:val="00F723A2"/>
    <w:rsid w:val="00F72F5C"/>
    <w:rsid w:val="00F73781"/>
    <w:rsid w:val="00F745C9"/>
    <w:rsid w:val="00F74C08"/>
    <w:rsid w:val="00F74CFB"/>
    <w:rsid w:val="00F76CDE"/>
    <w:rsid w:val="00F77951"/>
    <w:rsid w:val="00F808C5"/>
    <w:rsid w:val="00F83C0A"/>
    <w:rsid w:val="00F83D70"/>
    <w:rsid w:val="00F8605C"/>
    <w:rsid w:val="00F87ADA"/>
    <w:rsid w:val="00F90D76"/>
    <w:rsid w:val="00F90F95"/>
    <w:rsid w:val="00F92F08"/>
    <w:rsid w:val="00F935EB"/>
    <w:rsid w:val="00F937DC"/>
    <w:rsid w:val="00F96614"/>
    <w:rsid w:val="00F97AD4"/>
    <w:rsid w:val="00F97C15"/>
    <w:rsid w:val="00FA059E"/>
    <w:rsid w:val="00FA0F48"/>
    <w:rsid w:val="00FA14DE"/>
    <w:rsid w:val="00FA2A96"/>
    <w:rsid w:val="00FA30A1"/>
    <w:rsid w:val="00FA354B"/>
    <w:rsid w:val="00FA48AC"/>
    <w:rsid w:val="00FA58AB"/>
    <w:rsid w:val="00FA76E4"/>
    <w:rsid w:val="00FB07ED"/>
    <w:rsid w:val="00FB14EE"/>
    <w:rsid w:val="00FB153A"/>
    <w:rsid w:val="00FB172B"/>
    <w:rsid w:val="00FB1BF2"/>
    <w:rsid w:val="00FB1DF4"/>
    <w:rsid w:val="00FB2E28"/>
    <w:rsid w:val="00FB2E82"/>
    <w:rsid w:val="00FB355A"/>
    <w:rsid w:val="00FB362E"/>
    <w:rsid w:val="00FB3F0F"/>
    <w:rsid w:val="00FC05C1"/>
    <w:rsid w:val="00FC13D9"/>
    <w:rsid w:val="00FC1A02"/>
    <w:rsid w:val="00FC2430"/>
    <w:rsid w:val="00FC2BAD"/>
    <w:rsid w:val="00FC7327"/>
    <w:rsid w:val="00FD111B"/>
    <w:rsid w:val="00FD370F"/>
    <w:rsid w:val="00FD403D"/>
    <w:rsid w:val="00FD48A6"/>
    <w:rsid w:val="00FD49FE"/>
    <w:rsid w:val="00FD532D"/>
    <w:rsid w:val="00FD7B86"/>
    <w:rsid w:val="00FE2DE3"/>
    <w:rsid w:val="00FE46AA"/>
    <w:rsid w:val="00FE4B66"/>
    <w:rsid w:val="00FE5164"/>
    <w:rsid w:val="00FE67E3"/>
    <w:rsid w:val="00FE6904"/>
    <w:rsid w:val="00FE6C35"/>
    <w:rsid w:val="00FE729F"/>
    <w:rsid w:val="00FE72BB"/>
    <w:rsid w:val="00FE73D6"/>
    <w:rsid w:val="00FF0A4F"/>
    <w:rsid w:val="00FF105C"/>
    <w:rsid w:val="00FF12EA"/>
    <w:rsid w:val="00FF52EB"/>
    <w:rsid w:val="0187B5D2"/>
    <w:rsid w:val="01A2E99B"/>
    <w:rsid w:val="01D523CE"/>
    <w:rsid w:val="01DC5F0A"/>
    <w:rsid w:val="01F2134E"/>
    <w:rsid w:val="021EBD52"/>
    <w:rsid w:val="03314879"/>
    <w:rsid w:val="03E5C75B"/>
    <w:rsid w:val="0422EDC8"/>
    <w:rsid w:val="04638E27"/>
    <w:rsid w:val="0490FD89"/>
    <w:rsid w:val="05AAB57B"/>
    <w:rsid w:val="063C365B"/>
    <w:rsid w:val="065D7EAE"/>
    <w:rsid w:val="06CA83E3"/>
    <w:rsid w:val="06D6D16C"/>
    <w:rsid w:val="08BF5961"/>
    <w:rsid w:val="090B7C4D"/>
    <w:rsid w:val="09181245"/>
    <w:rsid w:val="0996AD55"/>
    <w:rsid w:val="0A0E4E12"/>
    <w:rsid w:val="0A32814F"/>
    <w:rsid w:val="0A71DB49"/>
    <w:rsid w:val="0A7CB60F"/>
    <w:rsid w:val="0B59D758"/>
    <w:rsid w:val="0B67C7F9"/>
    <w:rsid w:val="0BA81A6F"/>
    <w:rsid w:val="0C24D684"/>
    <w:rsid w:val="0CA8C793"/>
    <w:rsid w:val="0D79D4CE"/>
    <w:rsid w:val="0DDF9657"/>
    <w:rsid w:val="0E248B16"/>
    <w:rsid w:val="0F059EB4"/>
    <w:rsid w:val="0F4ED31F"/>
    <w:rsid w:val="0FD20DEE"/>
    <w:rsid w:val="10131BC5"/>
    <w:rsid w:val="1082F75F"/>
    <w:rsid w:val="1177F17C"/>
    <w:rsid w:val="11899990"/>
    <w:rsid w:val="125B3174"/>
    <w:rsid w:val="12777BC0"/>
    <w:rsid w:val="12878549"/>
    <w:rsid w:val="12BF99C4"/>
    <w:rsid w:val="135544ED"/>
    <w:rsid w:val="13998441"/>
    <w:rsid w:val="13B08952"/>
    <w:rsid w:val="13D325DF"/>
    <w:rsid w:val="13D8B98B"/>
    <w:rsid w:val="144D7DBA"/>
    <w:rsid w:val="1470D316"/>
    <w:rsid w:val="14A066E7"/>
    <w:rsid w:val="14AA2D11"/>
    <w:rsid w:val="1520C0DF"/>
    <w:rsid w:val="171224A6"/>
    <w:rsid w:val="171ABF41"/>
    <w:rsid w:val="1747E083"/>
    <w:rsid w:val="182C9811"/>
    <w:rsid w:val="18B66F22"/>
    <w:rsid w:val="1907D5E5"/>
    <w:rsid w:val="192A232A"/>
    <w:rsid w:val="19D63B2C"/>
    <w:rsid w:val="19E868AF"/>
    <w:rsid w:val="1AAD51A6"/>
    <w:rsid w:val="1AB034D7"/>
    <w:rsid w:val="1AF734C8"/>
    <w:rsid w:val="1B1E29E8"/>
    <w:rsid w:val="1B330FC5"/>
    <w:rsid w:val="1B937E51"/>
    <w:rsid w:val="1BEA2438"/>
    <w:rsid w:val="1C2AB314"/>
    <w:rsid w:val="1C4ABDAE"/>
    <w:rsid w:val="1CD35E61"/>
    <w:rsid w:val="1D25475B"/>
    <w:rsid w:val="1D3A6CD5"/>
    <w:rsid w:val="1D4A327C"/>
    <w:rsid w:val="1DB6F66F"/>
    <w:rsid w:val="1E4E734A"/>
    <w:rsid w:val="1E571CE5"/>
    <w:rsid w:val="1ED044B2"/>
    <w:rsid w:val="1F2019BC"/>
    <w:rsid w:val="1F44549C"/>
    <w:rsid w:val="1F99C041"/>
    <w:rsid w:val="1FF8E7A4"/>
    <w:rsid w:val="2089BA2B"/>
    <w:rsid w:val="20C4E66D"/>
    <w:rsid w:val="2129C942"/>
    <w:rsid w:val="219FF087"/>
    <w:rsid w:val="23335196"/>
    <w:rsid w:val="25B94638"/>
    <w:rsid w:val="25DEA5DA"/>
    <w:rsid w:val="26217B3B"/>
    <w:rsid w:val="268F0095"/>
    <w:rsid w:val="2714E670"/>
    <w:rsid w:val="280083D4"/>
    <w:rsid w:val="292EE623"/>
    <w:rsid w:val="294943AB"/>
    <w:rsid w:val="29974F0A"/>
    <w:rsid w:val="2A4F25AA"/>
    <w:rsid w:val="2B0CC491"/>
    <w:rsid w:val="2B660315"/>
    <w:rsid w:val="2C17A22A"/>
    <w:rsid w:val="2C5B4B9A"/>
    <w:rsid w:val="2D08D1FF"/>
    <w:rsid w:val="2E34522A"/>
    <w:rsid w:val="2EE7FCDD"/>
    <w:rsid w:val="2F356C98"/>
    <w:rsid w:val="30144360"/>
    <w:rsid w:val="3139D4D6"/>
    <w:rsid w:val="333150FE"/>
    <w:rsid w:val="333535AF"/>
    <w:rsid w:val="335452AD"/>
    <w:rsid w:val="338535D7"/>
    <w:rsid w:val="3433001A"/>
    <w:rsid w:val="34C036DE"/>
    <w:rsid w:val="34F125BE"/>
    <w:rsid w:val="36C2261A"/>
    <w:rsid w:val="37589C17"/>
    <w:rsid w:val="380504A2"/>
    <w:rsid w:val="39A20A58"/>
    <w:rsid w:val="3A41ED8C"/>
    <w:rsid w:val="3AB70A78"/>
    <w:rsid w:val="3B2DB914"/>
    <w:rsid w:val="3BB07BE8"/>
    <w:rsid w:val="3BEA87F9"/>
    <w:rsid w:val="3C07289C"/>
    <w:rsid w:val="3CD04245"/>
    <w:rsid w:val="3D229F0B"/>
    <w:rsid w:val="3D682C66"/>
    <w:rsid w:val="3F238454"/>
    <w:rsid w:val="3F65BCEE"/>
    <w:rsid w:val="3F6623F3"/>
    <w:rsid w:val="4091A771"/>
    <w:rsid w:val="40FE22F6"/>
    <w:rsid w:val="40FFBDCB"/>
    <w:rsid w:val="418E80F6"/>
    <w:rsid w:val="41D3A1B9"/>
    <w:rsid w:val="424F0462"/>
    <w:rsid w:val="42D71EB5"/>
    <w:rsid w:val="435F401C"/>
    <w:rsid w:val="43E188EE"/>
    <w:rsid w:val="444A0E53"/>
    <w:rsid w:val="4460D953"/>
    <w:rsid w:val="4550CE92"/>
    <w:rsid w:val="455E949C"/>
    <w:rsid w:val="45E643E1"/>
    <w:rsid w:val="46765E06"/>
    <w:rsid w:val="470C147A"/>
    <w:rsid w:val="48085701"/>
    <w:rsid w:val="483CA1B8"/>
    <w:rsid w:val="49295281"/>
    <w:rsid w:val="49734769"/>
    <w:rsid w:val="4988D078"/>
    <w:rsid w:val="4B0F077B"/>
    <w:rsid w:val="4B6BD4B6"/>
    <w:rsid w:val="4B8DD9BA"/>
    <w:rsid w:val="4BB5EB11"/>
    <w:rsid w:val="4C492F48"/>
    <w:rsid w:val="4C8180A6"/>
    <w:rsid w:val="4D4055C6"/>
    <w:rsid w:val="4D6F1303"/>
    <w:rsid w:val="4D755EF2"/>
    <w:rsid w:val="4D9D4987"/>
    <w:rsid w:val="4DF11533"/>
    <w:rsid w:val="4DFF8188"/>
    <w:rsid w:val="4F43A787"/>
    <w:rsid w:val="4F5CE48B"/>
    <w:rsid w:val="507B9EEA"/>
    <w:rsid w:val="50B6711A"/>
    <w:rsid w:val="510D9737"/>
    <w:rsid w:val="5141BB5B"/>
    <w:rsid w:val="519FC452"/>
    <w:rsid w:val="5275003B"/>
    <w:rsid w:val="52DE4E7E"/>
    <w:rsid w:val="5353904F"/>
    <w:rsid w:val="536E965C"/>
    <w:rsid w:val="5420D5AC"/>
    <w:rsid w:val="5478BE00"/>
    <w:rsid w:val="55091E0D"/>
    <w:rsid w:val="5647085B"/>
    <w:rsid w:val="566F0C04"/>
    <w:rsid w:val="5758549F"/>
    <w:rsid w:val="57E2BDBF"/>
    <w:rsid w:val="58033285"/>
    <w:rsid w:val="584AA653"/>
    <w:rsid w:val="5860E406"/>
    <w:rsid w:val="589A6876"/>
    <w:rsid w:val="58A781FD"/>
    <w:rsid w:val="591AE836"/>
    <w:rsid w:val="59E3F6F9"/>
    <w:rsid w:val="59E4624B"/>
    <w:rsid w:val="5A35989A"/>
    <w:rsid w:val="5B0BADAE"/>
    <w:rsid w:val="5BAECCAC"/>
    <w:rsid w:val="5BDD7321"/>
    <w:rsid w:val="5BF2720D"/>
    <w:rsid w:val="5C6A069D"/>
    <w:rsid w:val="5CED1780"/>
    <w:rsid w:val="5D46D888"/>
    <w:rsid w:val="5ED4A858"/>
    <w:rsid w:val="5ED78480"/>
    <w:rsid w:val="5F16E483"/>
    <w:rsid w:val="5FE0ACF9"/>
    <w:rsid w:val="6002CB95"/>
    <w:rsid w:val="603AD5E8"/>
    <w:rsid w:val="6096085C"/>
    <w:rsid w:val="60AC0711"/>
    <w:rsid w:val="60FB2269"/>
    <w:rsid w:val="61718B40"/>
    <w:rsid w:val="61B24C59"/>
    <w:rsid w:val="61FAC884"/>
    <w:rsid w:val="64D936B3"/>
    <w:rsid w:val="65076788"/>
    <w:rsid w:val="655A16C8"/>
    <w:rsid w:val="6644CDFB"/>
    <w:rsid w:val="664EEC50"/>
    <w:rsid w:val="66E847F8"/>
    <w:rsid w:val="6702190A"/>
    <w:rsid w:val="67319049"/>
    <w:rsid w:val="680C2C34"/>
    <w:rsid w:val="6871DA8F"/>
    <w:rsid w:val="6964663C"/>
    <w:rsid w:val="6976EC93"/>
    <w:rsid w:val="6A6A4B9A"/>
    <w:rsid w:val="6B50E1B7"/>
    <w:rsid w:val="6C2C582A"/>
    <w:rsid w:val="6CF49690"/>
    <w:rsid w:val="6CFF3070"/>
    <w:rsid w:val="6D8B499B"/>
    <w:rsid w:val="6DE5643F"/>
    <w:rsid w:val="6E5D5569"/>
    <w:rsid w:val="6F215930"/>
    <w:rsid w:val="6FA199CD"/>
    <w:rsid w:val="6FE75914"/>
    <w:rsid w:val="702BDA17"/>
    <w:rsid w:val="702D3B7C"/>
    <w:rsid w:val="704785A4"/>
    <w:rsid w:val="70758E2A"/>
    <w:rsid w:val="715F3182"/>
    <w:rsid w:val="71E59E27"/>
    <w:rsid w:val="7359B6F3"/>
    <w:rsid w:val="75950E87"/>
    <w:rsid w:val="76B5FC48"/>
    <w:rsid w:val="76EB5D07"/>
    <w:rsid w:val="773FA696"/>
    <w:rsid w:val="780BD3D9"/>
    <w:rsid w:val="7817D22A"/>
    <w:rsid w:val="78D1D682"/>
    <w:rsid w:val="79E61AAC"/>
    <w:rsid w:val="7AA516ED"/>
    <w:rsid w:val="7B388612"/>
    <w:rsid w:val="7BCA78A8"/>
    <w:rsid w:val="7BD0A2B7"/>
    <w:rsid w:val="7C8B228C"/>
    <w:rsid w:val="7C9813FD"/>
    <w:rsid w:val="7CEC8252"/>
    <w:rsid w:val="7D18A5FD"/>
    <w:rsid w:val="7D578F8A"/>
    <w:rsid w:val="7D64FA09"/>
    <w:rsid w:val="7DCA934A"/>
    <w:rsid w:val="7E3F893D"/>
    <w:rsid w:val="7F0C9082"/>
    <w:rsid w:val="7F11BD8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CAFA0D"/>
  <w15:docId w15:val="{79B00A04-72B9-4520-83E5-F17758FD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s-CO"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o parrafo"/>
    <w:qFormat/>
    <w:rsid w:val="004A5714"/>
    <w:pPr>
      <w:spacing w:before="240" w:after="0"/>
    </w:pPr>
    <w:rPr>
      <w:rFonts w:ascii="Garamond" w:hAnsi="Garamond"/>
      <w:sz w:val="26"/>
      <w:szCs w:val="26"/>
    </w:rPr>
  </w:style>
  <w:style w:type="paragraph" w:styleId="Ttulo1">
    <w:name w:val="heading 1"/>
    <w:aliases w:val="Document Header1,H1"/>
    <w:basedOn w:val="Normal"/>
    <w:next w:val="Titulocaptulo-Econometra"/>
    <w:link w:val="Ttulo1Car"/>
    <w:uiPriority w:val="9"/>
    <w:qFormat/>
    <w:rsid w:val="009022D6"/>
    <w:pPr>
      <w:keepNext/>
      <w:keepLines/>
      <w:numPr>
        <w:numId w:val="1"/>
      </w:numPr>
      <w:spacing w:before="720"/>
      <w:jc w:val="left"/>
      <w:outlineLvl w:val="0"/>
    </w:pPr>
    <w:rPr>
      <w:rFonts w:ascii="Century Gothic" w:eastAsiaTheme="majorEastAsia" w:hAnsi="Century Gothic" w:cstheme="majorBidi"/>
      <w:bCs/>
      <w:smallCaps/>
      <w:color w:val="ED7D31" w:themeColor="accent2"/>
      <w:sz w:val="36"/>
      <w:szCs w:val="36"/>
    </w:rPr>
  </w:style>
  <w:style w:type="paragraph" w:styleId="Ttulo2">
    <w:name w:val="heading 2"/>
    <w:aliases w:val="H2"/>
    <w:basedOn w:val="Normal"/>
    <w:next w:val="Normal"/>
    <w:link w:val="Ttulo2Car"/>
    <w:uiPriority w:val="9"/>
    <w:unhideWhenUsed/>
    <w:qFormat/>
    <w:rsid w:val="00C554E5"/>
    <w:pPr>
      <w:keepNext/>
      <w:numPr>
        <w:ilvl w:val="1"/>
        <w:numId w:val="1"/>
      </w:numPr>
      <w:spacing w:after="80"/>
      <w:jc w:val="left"/>
      <w:outlineLvl w:val="1"/>
    </w:pPr>
    <w:rPr>
      <w:rFonts w:ascii="Century Gothic" w:hAnsi="Century Gothic" w:cstheme="majorBidi"/>
      <w:smallCaps/>
      <w:color w:val="C00000"/>
      <w:spacing w:val="5"/>
      <w:sz w:val="30"/>
      <w:szCs w:val="28"/>
    </w:rPr>
  </w:style>
  <w:style w:type="paragraph" w:styleId="Ttulo3">
    <w:name w:val="heading 3"/>
    <w:aliases w:val="H3"/>
    <w:basedOn w:val="Normal"/>
    <w:next w:val="Normal"/>
    <w:link w:val="Ttulo3Car"/>
    <w:uiPriority w:val="9"/>
    <w:unhideWhenUsed/>
    <w:qFormat/>
    <w:rsid w:val="00E51900"/>
    <w:pPr>
      <w:numPr>
        <w:ilvl w:val="2"/>
        <w:numId w:val="1"/>
      </w:numPr>
      <w:jc w:val="left"/>
      <w:outlineLvl w:val="2"/>
    </w:pPr>
    <w:rPr>
      <w:rFonts w:ascii="Century Gothic" w:hAnsi="Century Gothic" w:cstheme="majorBidi"/>
      <w:color w:val="404040" w:themeColor="text1" w:themeTint="BF"/>
      <w:spacing w:val="5"/>
      <w:sz w:val="24"/>
      <w:szCs w:val="24"/>
    </w:rPr>
  </w:style>
  <w:style w:type="paragraph" w:styleId="Ttulo4">
    <w:name w:val="heading 4"/>
    <w:basedOn w:val="Normal"/>
    <w:next w:val="Normal"/>
    <w:link w:val="Ttulo4Car"/>
    <w:uiPriority w:val="9"/>
    <w:unhideWhenUsed/>
    <w:qFormat/>
    <w:rsid w:val="00AA4CD7"/>
    <w:pPr>
      <w:keepNext/>
      <w:ind w:left="864" w:hanging="864"/>
      <w:jc w:val="center"/>
      <w:outlineLvl w:val="3"/>
    </w:pPr>
    <w:rPr>
      <w:rFonts w:ascii="Century Gothic" w:hAnsi="Century Gothic"/>
      <w:smallCaps/>
      <w:color w:val="C00000"/>
      <w:sz w:val="36"/>
    </w:rPr>
  </w:style>
  <w:style w:type="paragraph" w:styleId="Ttulo5">
    <w:name w:val="heading 5"/>
    <w:basedOn w:val="Normal"/>
    <w:next w:val="Normal"/>
    <w:link w:val="Ttulo5Car"/>
    <w:uiPriority w:val="9"/>
    <w:unhideWhenUsed/>
    <w:qFormat/>
    <w:rsid w:val="00AA4CD7"/>
    <w:pPr>
      <w:keepNext/>
      <w:keepLines/>
      <w:spacing w:before="200"/>
      <w:ind w:left="1008" w:hanging="1008"/>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unhideWhenUsed/>
    <w:qFormat/>
    <w:rsid w:val="00AA4CD7"/>
    <w:pPr>
      <w:keepNext/>
      <w:keepLines/>
      <w:spacing w:before="200"/>
      <w:ind w:left="1152" w:hanging="1152"/>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semiHidden/>
    <w:unhideWhenUsed/>
    <w:rsid w:val="00AA4CD7"/>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rsid w:val="00AA4CD7"/>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rsid w:val="00AA4CD7"/>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captulo-Econometra">
    <w:name w:val="Titulo capítulo - Econometría"/>
    <w:basedOn w:val="Normal"/>
    <w:next w:val="Normal"/>
    <w:link w:val="Titulocaptulo-EconometraCar"/>
    <w:qFormat/>
    <w:rsid w:val="009022D6"/>
    <w:pPr>
      <w:pBdr>
        <w:bottom w:val="single" w:sz="4" w:space="3" w:color="BFBFBF" w:themeColor="background1" w:themeShade="BF"/>
      </w:pBdr>
      <w:spacing w:after="240" w:line="240" w:lineRule="auto"/>
      <w:contextualSpacing/>
    </w:pPr>
    <w:rPr>
      <w:rFonts w:ascii="Century Gothic" w:eastAsiaTheme="majorEastAsia" w:hAnsi="Century Gothic" w:cstheme="majorBidi"/>
      <w:bCs/>
      <w:smallCaps/>
      <w:color w:val="C00000"/>
      <w:sz w:val="36"/>
      <w:szCs w:val="36"/>
    </w:rPr>
  </w:style>
  <w:style w:type="character" w:customStyle="1" w:styleId="Titulocaptulo-EconometraCar">
    <w:name w:val="Titulo capítulo - Econometría Car"/>
    <w:basedOn w:val="Ttulo1Car"/>
    <w:link w:val="Titulocaptulo-Econometra"/>
    <w:rsid w:val="009022D6"/>
    <w:rPr>
      <w:rFonts w:ascii="Century Gothic" w:eastAsiaTheme="majorEastAsia" w:hAnsi="Century Gothic" w:cstheme="majorBidi"/>
      <w:bCs/>
      <w:smallCaps/>
      <w:color w:val="C00000"/>
      <w:sz w:val="36"/>
      <w:szCs w:val="36"/>
      <w:lang w:val="es-ES_tradnl"/>
    </w:rPr>
  </w:style>
  <w:style w:type="character" w:customStyle="1" w:styleId="Ttulo1Car">
    <w:name w:val="Título 1 Car"/>
    <w:aliases w:val="Document Header1 Car,H1 Car"/>
    <w:basedOn w:val="Fuentedeprrafopredeter"/>
    <w:link w:val="Ttulo1"/>
    <w:uiPriority w:val="9"/>
    <w:rsid w:val="009022D6"/>
    <w:rPr>
      <w:rFonts w:ascii="Century Gothic" w:eastAsiaTheme="majorEastAsia" w:hAnsi="Century Gothic" w:cstheme="majorBidi"/>
      <w:bCs/>
      <w:smallCaps/>
      <w:color w:val="ED7D31" w:themeColor="accent2"/>
      <w:sz w:val="36"/>
      <w:szCs w:val="36"/>
    </w:rPr>
  </w:style>
  <w:style w:type="character" w:customStyle="1" w:styleId="Ttulo2Car">
    <w:name w:val="Título 2 Car"/>
    <w:aliases w:val="H2 Car"/>
    <w:basedOn w:val="Fuentedeprrafopredeter"/>
    <w:link w:val="Ttulo2"/>
    <w:uiPriority w:val="9"/>
    <w:rsid w:val="00C554E5"/>
    <w:rPr>
      <w:rFonts w:ascii="Century Gothic" w:hAnsi="Century Gothic" w:cstheme="majorBidi"/>
      <w:smallCaps/>
      <w:color w:val="C00000"/>
      <w:spacing w:val="5"/>
      <w:sz w:val="30"/>
      <w:szCs w:val="28"/>
    </w:rPr>
  </w:style>
  <w:style w:type="character" w:customStyle="1" w:styleId="Ttulo3Car">
    <w:name w:val="Título 3 Car"/>
    <w:aliases w:val="H3 Car"/>
    <w:basedOn w:val="Fuentedeprrafopredeter"/>
    <w:link w:val="Ttulo3"/>
    <w:uiPriority w:val="9"/>
    <w:rsid w:val="00E51900"/>
    <w:rPr>
      <w:rFonts w:ascii="Century Gothic" w:hAnsi="Century Gothic" w:cstheme="majorBidi"/>
      <w:color w:val="404040" w:themeColor="text1" w:themeTint="BF"/>
      <w:spacing w:val="5"/>
      <w:sz w:val="24"/>
      <w:szCs w:val="24"/>
    </w:rPr>
  </w:style>
  <w:style w:type="character" w:customStyle="1" w:styleId="Ttulo4Car">
    <w:name w:val="Título 4 Car"/>
    <w:basedOn w:val="Fuentedeprrafopredeter"/>
    <w:link w:val="Ttulo4"/>
    <w:uiPriority w:val="9"/>
    <w:rsid w:val="00AA4CD7"/>
    <w:rPr>
      <w:rFonts w:ascii="Century Gothic" w:hAnsi="Century Gothic"/>
      <w:smallCaps/>
      <w:color w:val="C00000"/>
      <w:sz w:val="36"/>
      <w:szCs w:val="26"/>
      <w:lang w:val="es-ES_tradnl"/>
    </w:rPr>
  </w:style>
  <w:style w:type="character" w:customStyle="1" w:styleId="Ttulo5Car">
    <w:name w:val="Título 5 Car"/>
    <w:basedOn w:val="Fuentedeprrafopredeter"/>
    <w:link w:val="Ttulo5"/>
    <w:uiPriority w:val="9"/>
    <w:rsid w:val="00AA4CD7"/>
    <w:rPr>
      <w:rFonts w:asciiTheme="majorHAnsi" w:eastAsiaTheme="majorEastAsia" w:hAnsiTheme="majorHAnsi" w:cstheme="majorBidi"/>
      <w:color w:val="1F4D78" w:themeColor="accent1" w:themeShade="7F"/>
      <w:sz w:val="26"/>
      <w:szCs w:val="26"/>
      <w:lang w:val="es-ES_tradnl"/>
    </w:rPr>
  </w:style>
  <w:style w:type="character" w:customStyle="1" w:styleId="Ttulo6Car">
    <w:name w:val="Título 6 Car"/>
    <w:basedOn w:val="Fuentedeprrafopredeter"/>
    <w:link w:val="Ttulo6"/>
    <w:uiPriority w:val="9"/>
    <w:rsid w:val="00AA4CD7"/>
    <w:rPr>
      <w:rFonts w:asciiTheme="majorHAnsi" w:eastAsiaTheme="majorEastAsia" w:hAnsiTheme="majorHAnsi" w:cstheme="majorBidi"/>
      <w:i/>
      <w:iCs/>
      <w:color w:val="1F4D78" w:themeColor="accent1" w:themeShade="7F"/>
      <w:sz w:val="26"/>
      <w:szCs w:val="26"/>
      <w:lang w:val="es-ES_tradnl"/>
    </w:rPr>
  </w:style>
  <w:style w:type="character" w:customStyle="1" w:styleId="Ttulo7Car">
    <w:name w:val="Título 7 Car"/>
    <w:basedOn w:val="Fuentedeprrafopredeter"/>
    <w:link w:val="Ttulo7"/>
    <w:uiPriority w:val="9"/>
    <w:semiHidden/>
    <w:rsid w:val="00AA4CD7"/>
    <w:rPr>
      <w:rFonts w:asciiTheme="majorHAnsi" w:eastAsiaTheme="majorEastAsia" w:hAnsiTheme="majorHAnsi" w:cstheme="majorBidi"/>
      <w:i/>
      <w:iCs/>
      <w:color w:val="404040" w:themeColor="text1" w:themeTint="BF"/>
      <w:sz w:val="26"/>
      <w:szCs w:val="26"/>
      <w:lang w:val="es-ES_tradnl"/>
    </w:rPr>
  </w:style>
  <w:style w:type="character" w:customStyle="1" w:styleId="Ttulo8Car">
    <w:name w:val="Título 8 Car"/>
    <w:basedOn w:val="Fuentedeprrafopredeter"/>
    <w:link w:val="Ttulo8"/>
    <w:uiPriority w:val="9"/>
    <w:semiHidden/>
    <w:rsid w:val="00AA4CD7"/>
    <w:rPr>
      <w:rFonts w:asciiTheme="majorHAnsi" w:eastAsiaTheme="majorEastAsia" w:hAnsiTheme="majorHAnsi" w:cstheme="majorBidi"/>
      <w:color w:val="404040" w:themeColor="text1" w:themeTint="BF"/>
      <w:lang w:val="es-ES_tradnl"/>
    </w:rPr>
  </w:style>
  <w:style w:type="character" w:customStyle="1" w:styleId="Ttulo9Car">
    <w:name w:val="Título 9 Car"/>
    <w:basedOn w:val="Fuentedeprrafopredeter"/>
    <w:link w:val="Ttulo9"/>
    <w:uiPriority w:val="9"/>
    <w:semiHidden/>
    <w:rsid w:val="00AA4CD7"/>
    <w:rPr>
      <w:rFonts w:asciiTheme="majorHAnsi" w:eastAsiaTheme="majorEastAsia" w:hAnsiTheme="majorHAnsi" w:cstheme="majorBidi"/>
      <w:i/>
      <w:iCs/>
      <w:color w:val="404040" w:themeColor="text1" w:themeTint="BF"/>
      <w:lang w:val="es-ES_tradnl"/>
    </w:rPr>
  </w:style>
  <w:style w:type="table" w:customStyle="1" w:styleId="Tablaconcuadrcula1">
    <w:name w:val="Tabla con cuadrícula1"/>
    <w:basedOn w:val="Tablanormal"/>
    <w:uiPriority w:val="39"/>
    <w:rsid w:val="00F97C15"/>
    <w:pPr>
      <w:spacing w:after="0" w:line="240" w:lineRule="auto"/>
      <w:jc w:val="center"/>
    </w:pPr>
    <w:rPr>
      <w:rFonts w:ascii="Arial Narrow" w:eastAsia="Times New Roman" w:hAnsi="Arial Narrow"/>
      <w:lang w:val="es-ES"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vAlign w:val="center"/>
    </w:tcPr>
    <w:tblStylePr w:type="firstRow">
      <w:pPr>
        <w:wordWrap/>
        <w:spacing w:beforeLines="0" w:before="0" w:beforeAutospacing="0" w:afterLines="0" w:after="0" w:afterAutospacing="0" w:line="240" w:lineRule="auto"/>
        <w:jc w:val="center"/>
      </w:pPr>
      <w:rPr>
        <w:b/>
        <w:bCs/>
        <w:caps/>
        <w:smallCaps w:val="0"/>
        <w:vanish w:val="0"/>
      </w:rPr>
      <w:tblPr/>
      <w:tcPr>
        <w:tcBorders>
          <w:top w:val="nil"/>
          <w:bottom w:val="single" w:sz="8" w:space="0" w:color="7F7F7F" w:themeColor="text1" w:themeTint="80"/>
        </w:tcBorders>
        <w:shd w:val="clear" w:color="auto" w:fill="BFBFBF" w:themeFill="background1" w:themeFillShade="BF"/>
      </w:tcPr>
    </w:tblStylePr>
    <w:tblStylePr w:type="lastRow">
      <w:rPr>
        <w:b w:val="0"/>
        <w:bCs/>
      </w:rPr>
      <w:tblPr/>
      <w:tcPr>
        <w:tcBorders>
          <w:top w:val="single" w:sz="4" w:space="0" w:color="7F7F7F" w:themeColor="text1" w:themeTint="80"/>
        </w:tcBorders>
      </w:tcPr>
    </w:tblStylePr>
    <w:tblStylePr w:type="firstCol">
      <w:pPr>
        <w:jc w:val="left"/>
      </w:pPr>
      <w:rPr>
        <w:b w:val="0"/>
        <w:bCs/>
      </w:rPr>
      <w:tblPr/>
      <w:tcPr>
        <w:vAlign w:val="top"/>
      </w:tcPr>
    </w:tblStylePr>
    <w:tblStylePr w:type="lastCol">
      <w:rPr>
        <w:b w:val="0"/>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Figura">
    <w:name w:val="T-Figura"/>
    <w:basedOn w:val="Normal"/>
    <w:link w:val="T-FiguraCar"/>
    <w:qFormat/>
    <w:rsid w:val="009C025B"/>
    <w:pPr>
      <w:keepNext/>
      <w:keepLines/>
      <w:spacing w:after="120"/>
      <w:ind w:left="851" w:right="851"/>
      <w:jc w:val="center"/>
      <w:outlineLvl w:val="0"/>
    </w:pPr>
    <w:rPr>
      <w:rFonts w:ascii="Century Gothic" w:eastAsiaTheme="majorEastAsia" w:hAnsi="Century Gothic" w:cstheme="majorBidi"/>
      <w:b/>
      <w:bCs/>
      <w:color w:val="C00000"/>
      <w:sz w:val="20"/>
      <w:szCs w:val="20"/>
    </w:rPr>
  </w:style>
  <w:style w:type="character" w:customStyle="1" w:styleId="T-FiguraCar">
    <w:name w:val="T-Figura Car"/>
    <w:basedOn w:val="Fuentedeprrafopredeter"/>
    <w:link w:val="T-Figura"/>
    <w:rsid w:val="009C025B"/>
    <w:rPr>
      <w:rFonts w:ascii="Century Gothic" w:eastAsiaTheme="majorEastAsia" w:hAnsi="Century Gothic" w:cstheme="majorBidi"/>
      <w:b/>
      <w:bCs/>
      <w:color w:val="C00000"/>
    </w:rPr>
  </w:style>
  <w:style w:type="paragraph" w:customStyle="1" w:styleId="vieta1">
    <w:name w:val="viñeta 1"/>
    <w:basedOn w:val="Prrafodelista"/>
    <w:link w:val="vieta1Car"/>
    <w:qFormat/>
    <w:rsid w:val="00E51900"/>
    <w:pPr>
      <w:numPr>
        <w:numId w:val="2"/>
      </w:numPr>
      <w:spacing w:after="120"/>
    </w:pPr>
    <w:rPr>
      <w:rFonts w:ascii="Century Gothic" w:hAnsi="Century Gothic"/>
      <w:color w:val="262626" w:themeColor="text1" w:themeTint="D9"/>
      <w:sz w:val="24"/>
    </w:rPr>
  </w:style>
  <w:style w:type="paragraph" w:styleId="Prrafodelista">
    <w:name w:val="List Paragraph"/>
    <w:aliases w:val="titulo 3,Bolita,BOLA,BOLADEF,Liste 1,Bullets,References,Lista vistosa - Énfasis 11,Antes de enumeración,Párrafo de lista2,Suntítulo 4,Fluvial1,Num Bullet 1,lp1,List Paragraph11,Numbered Paragraph,titulo 5,Titulo 4,Ha,HOJA,List Paragraph"/>
    <w:basedOn w:val="Normal"/>
    <w:link w:val="PrrafodelistaCar"/>
    <w:uiPriority w:val="34"/>
    <w:qFormat/>
    <w:rsid w:val="009022D6"/>
    <w:pPr>
      <w:ind w:left="720"/>
      <w:contextualSpacing/>
    </w:pPr>
  </w:style>
  <w:style w:type="character" w:customStyle="1" w:styleId="PrrafodelistaCar">
    <w:name w:val="Párrafo de lista Car"/>
    <w:aliases w:val="titulo 3 Car,Bolita Car,BOLA Car,BOLADEF Car,Liste 1 Car,Bullets Car,References Car,Lista vistosa - Énfasis 11 Car,Antes de enumeración Car,Párrafo de lista2 Car,Suntítulo 4 Car,Fluvial1 Car,Num Bullet 1 Car,lp1 Car,titulo 5 Car"/>
    <w:basedOn w:val="Fuentedeprrafopredeter"/>
    <w:link w:val="Prrafodelista"/>
    <w:uiPriority w:val="34"/>
    <w:qFormat/>
    <w:rsid w:val="009022D6"/>
    <w:rPr>
      <w:rFonts w:ascii="Garamond" w:hAnsi="Garamond"/>
      <w:sz w:val="26"/>
      <w:szCs w:val="26"/>
      <w:lang w:val="es-ES_tradnl"/>
    </w:rPr>
  </w:style>
  <w:style w:type="character" w:customStyle="1" w:styleId="vieta1Car">
    <w:name w:val="viñeta 1 Car"/>
    <w:basedOn w:val="Fuentedeprrafopredeter"/>
    <w:link w:val="vieta1"/>
    <w:rsid w:val="00E51900"/>
    <w:rPr>
      <w:rFonts w:ascii="Century Gothic" w:hAnsi="Century Gothic"/>
      <w:color w:val="262626" w:themeColor="text1" w:themeTint="D9"/>
      <w:sz w:val="24"/>
      <w:szCs w:val="26"/>
    </w:rPr>
  </w:style>
  <w:style w:type="paragraph" w:customStyle="1" w:styleId="vieta2">
    <w:name w:val="viñeta2"/>
    <w:basedOn w:val="Prrafodelista"/>
    <w:link w:val="vieta2Car"/>
    <w:qFormat/>
    <w:rsid w:val="00E51900"/>
    <w:pPr>
      <w:numPr>
        <w:numId w:val="3"/>
      </w:numPr>
    </w:pPr>
    <w:rPr>
      <w:u w:val="single"/>
    </w:rPr>
  </w:style>
  <w:style w:type="character" w:customStyle="1" w:styleId="vieta2Car">
    <w:name w:val="viñeta2 Car"/>
    <w:basedOn w:val="Fuentedeprrafopredeter"/>
    <w:link w:val="vieta2"/>
    <w:rsid w:val="00E51900"/>
    <w:rPr>
      <w:rFonts w:ascii="Garamond" w:hAnsi="Garamond"/>
      <w:sz w:val="26"/>
      <w:szCs w:val="26"/>
      <w:u w:val="single"/>
    </w:rPr>
  </w:style>
  <w:style w:type="paragraph" w:customStyle="1" w:styleId="TextCuadro">
    <w:name w:val="TextCuadro"/>
    <w:basedOn w:val="Normal"/>
    <w:link w:val="TextCuadroCar"/>
    <w:qFormat/>
    <w:rsid w:val="009022D6"/>
    <w:pPr>
      <w:spacing w:before="0"/>
    </w:pPr>
    <w:rPr>
      <w:rFonts w:ascii="Arial Narrow" w:eastAsia="Times New Roman" w:hAnsi="Arial Narrow" w:cs="Times New Roman"/>
      <w:sz w:val="20"/>
      <w:szCs w:val="20"/>
    </w:rPr>
  </w:style>
  <w:style w:type="character" w:customStyle="1" w:styleId="TextCuadroCar">
    <w:name w:val="TextCuadro Car"/>
    <w:basedOn w:val="Fuentedeprrafopredeter"/>
    <w:link w:val="TextCuadro"/>
    <w:rsid w:val="009022D6"/>
    <w:rPr>
      <w:rFonts w:ascii="Arial Narrow" w:eastAsia="Times New Roman" w:hAnsi="Arial Narrow" w:cs="Times New Roman"/>
      <w:lang w:val="es-ES_tradnl"/>
    </w:rPr>
  </w:style>
  <w:style w:type="paragraph" w:customStyle="1" w:styleId="PiedePagina">
    <w:name w:val="Pie de Pagina"/>
    <w:basedOn w:val="Normal"/>
    <w:link w:val="PiedePaginaCar"/>
    <w:qFormat/>
    <w:rsid w:val="00FD49FE"/>
    <w:pPr>
      <w:spacing w:before="0" w:line="240" w:lineRule="auto"/>
    </w:pPr>
    <w:rPr>
      <w:rFonts w:cs="Times New Roman"/>
      <w:sz w:val="18"/>
      <w:szCs w:val="18"/>
    </w:rPr>
  </w:style>
  <w:style w:type="character" w:customStyle="1" w:styleId="PiedePaginaCar">
    <w:name w:val="Pie de Pagina Car"/>
    <w:basedOn w:val="Fuentedeprrafopredeter"/>
    <w:link w:val="PiedePagina"/>
    <w:rsid w:val="00FD49FE"/>
    <w:rPr>
      <w:rFonts w:ascii="Garamond" w:hAnsi="Garamond" w:cs="Times New Roman"/>
      <w:sz w:val="18"/>
      <w:szCs w:val="18"/>
    </w:rPr>
  </w:style>
  <w:style w:type="paragraph" w:customStyle="1" w:styleId="PiedeCuadro">
    <w:name w:val="Pie de Cuadro"/>
    <w:basedOn w:val="PiedePagina"/>
    <w:link w:val="PiedeCuadroCar"/>
    <w:qFormat/>
    <w:rsid w:val="00E51900"/>
    <w:pPr>
      <w:spacing w:before="180"/>
      <w:ind w:left="1134" w:right="1134"/>
      <w:jc w:val="center"/>
    </w:pPr>
    <w:rPr>
      <w:rFonts w:ascii="Century Gothic" w:hAnsi="Century Gothic" w:cs="Arial"/>
      <w:color w:val="262626" w:themeColor="text1" w:themeTint="D9"/>
    </w:rPr>
  </w:style>
  <w:style w:type="character" w:customStyle="1" w:styleId="PiedeCuadroCar">
    <w:name w:val="Pie de Cuadro Car"/>
    <w:basedOn w:val="PiedePaginaCar"/>
    <w:link w:val="PiedeCuadro"/>
    <w:rsid w:val="00E51900"/>
    <w:rPr>
      <w:rFonts w:ascii="Century Gothic" w:hAnsi="Century Gothic" w:cs="Arial"/>
      <w:color w:val="262626" w:themeColor="text1" w:themeTint="D9"/>
      <w:sz w:val="18"/>
      <w:szCs w:val="18"/>
      <w:lang w:val="es-ES_tradnl"/>
    </w:rPr>
  </w:style>
  <w:style w:type="paragraph" w:customStyle="1" w:styleId="Encabezado1">
    <w:name w:val="Encabezado1"/>
    <w:basedOn w:val="Encabezado"/>
    <w:link w:val="Encabezado1Car"/>
    <w:qFormat/>
    <w:rsid w:val="009022D6"/>
    <w:pPr>
      <w:pBdr>
        <w:bottom w:val="single" w:sz="4" w:space="1" w:color="BFBFBF" w:themeColor="background1" w:themeShade="BF"/>
      </w:pBdr>
      <w:shd w:val="clear" w:color="auto" w:fill="FFFFFF" w:themeFill="background1"/>
      <w:tabs>
        <w:tab w:val="clear" w:pos="4419"/>
        <w:tab w:val="clear" w:pos="8838"/>
        <w:tab w:val="left" w:pos="993"/>
        <w:tab w:val="center" w:pos="4252"/>
        <w:tab w:val="right" w:pos="8504"/>
      </w:tabs>
      <w:spacing w:before="0"/>
      <w:jc w:val="right"/>
    </w:pPr>
    <w:rPr>
      <w:rFonts w:ascii="Century Gothic" w:eastAsia="Calibri" w:hAnsi="Century Gothic" w:cs="Arial"/>
      <w:color w:val="7F7F7F" w:themeColor="text1" w:themeTint="80"/>
      <w:sz w:val="16"/>
      <w:szCs w:val="16"/>
      <w:lang w:val="en-US" w:eastAsia="es-ES"/>
    </w:rPr>
  </w:style>
  <w:style w:type="paragraph" w:styleId="Encabezado">
    <w:name w:val="header"/>
    <w:aliases w:val="Encabezado de tabla,encabezado,Module+LSNameHeadr,ITT i,LetterHeader,Cover Page,En-tête SQ,ContentsHeader,aria,*Header,encabezado Car Car,h,base"/>
    <w:basedOn w:val="Normal"/>
    <w:link w:val="EncabezadoCar"/>
    <w:unhideWhenUsed/>
    <w:rsid w:val="009022D6"/>
    <w:pPr>
      <w:tabs>
        <w:tab w:val="center" w:pos="4419"/>
        <w:tab w:val="right" w:pos="8838"/>
      </w:tabs>
      <w:spacing w:line="240" w:lineRule="auto"/>
    </w:pPr>
  </w:style>
  <w:style w:type="character" w:customStyle="1" w:styleId="EncabezadoCar">
    <w:name w:val="Encabezado Car"/>
    <w:aliases w:val="Encabezado de tabla Car,encabezado Car,Module+LSNameHeadr Car,ITT i Car,LetterHeader Car,Cover Page Car,En-tête SQ Car,ContentsHeader Car,aria Car,*Header Car,encabezado Car Car Car,h Car,base Car"/>
    <w:basedOn w:val="Fuentedeprrafopredeter"/>
    <w:link w:val="Encabezado"/>
    <w:rsid w:val="009022D6"/>
  </w:style>
  <w:style w:type="character" w:customStyle="1" w:styleId="Encabezado1Car">
    <w:name w:val="Encabezado1 Car"/>
    <w:basedOn w:val="EncabezadoCar"/>
    <w:link w:val="Encabezado1"/>
    <w:rsid w:val="009022D6"/>
    <w:rPr>
      <w:rFonts w:ascii="Century Gothic" w:eastAsia="Calibri" w:hAnsi="Century Gothic" w:cs="Arial"/>
      <w:color w:val="7F7F7F" w:themeColor="text1" w:themeTint="80"/>
      <w:sz w:val="16"/>
      <w:szCs w:val="16"/>
      <w:shd w:val="clear" w:color="auto" w:fill="FFFFFF" w:themeFill="background1"/>
      <w:lang w:val="en-US" w:eastAsia="es-ES"/>
    </w:rPr>
  </w:style>
  <w:style w:type="paragraph" w:customStyle="1" w:styleId="PargrafodaLista">
    <w:name w:val="Parágrafo da Lista"/>
    <w:basedOn w:val="Normal"/>
    <w:qFormat/>
    <w:rsid w:val="009022D6"/>
    <w:pPr>
      <w:ind w:left="680" w:right="680"/>
      <w:contextualSpacing/>
    </w:pPr>
    <w:rPr>
      <w:rFonts w:ascii="Times New Roman" w:eastAsia="Calibri" w:hAnsi="Times New Roman" w:cs="Times New Roman"/>
      <w:i/>
      <w:sz w:val="20"/>
      <w:szCs w:val="24"/>
      <w:lang w:val="en-GB"/>
    </w:rPr>
  </w:style>
  <w:style w:type="paragraph" w:customStyle="1" w:styleId="TituloINTRO">
    <w:name w:val="TituloINTRO"/>
    <w:basedOn w:val="Normal"/>
    <w:next w:val="Normal"/>
    <w:qFormat/>
    <w:rsid w:val="009022D6"/>
    <w:pPr>
      <w:pBdr>
        <w:bottom w:val="single" w:sz="12" w:space="12" w:color="808080" w:themeColor="background1" w:themeShade="80"/>
      </w:pBdr>
      <w:spacing w:before="720" w:line="240" w:lineRule="auto"/>
      <w:contextualSpacing/>
      <w:jc w:val="left"/>
    </w:pPr>
    <w:rPr>
      <w:rFonts w:ascii="Century Gothic" w:hAnsi="Century Gothic"/>
      <w:smallCaps/>
      <w:color w:val="C00000"/>
      <w:sz w:val="36"/>
    </w:rPr>
  </w:style>
  <w:style w:type="paragraph" w:customStyle="1" w:styleId="IdeaCentral">
    <w:name w:val="IdeaCentral"/>
    <w:basedOn w:val="Normal"/>
    <w:link w:val="IdeaCentralCar"/>
    <w:qFormat/>
    <w:rsid w:val="009022D6"/>
    <w:pPr>
      <w:framePr w:w="3969" w:h="57" w:wrap="around" w:vAnchor="text" w:hAnchor="margin" w:xAlign="right" w:y="1"/>
      <w:pBdr>
        <w:top w:val="single" w:sz="12" w:space="12" w:color="808080" w:themeColor="background1" w:themeShade="80"/>
        <w:bottom w:val="single" w:sz="12" w:space="12" w:color="808080" w:themeColor="background1" w:themeShade="80"/>
      </w:pBdr>
      <w:spacing w:line="240" w:lineRule="auto"/>
      <w:ind w:left="284" w:right="284"/>
      <w:jc w:val="center"/>
    </w:pPr>
    <w:rPr>
      <w:rFonts w:ascii="Century Gothic" w:hAnsi="Century Gothic"/>
      <w:b/>
      <w:color w:val="C00000"/>
      <w:sz w:val="28"/>
      <w:szCs w:val="28"/>
    </w:rPr>
  </w:style>
  <w:style w:type="character" w:customStyle="1" w:styleId="IdeaCentralCar">
    <w:name w:val="IdeaCentral Car"/>
    <w:basedOn w:val="Fuentedeprrafopredeter"/>
    <w:link w:val="IdeaCentral"/>
    <w:rsid w:val="009022D6"/>
    <w:rPr>
      <w:rFonts w:ascii="Century Gothic" w:hAnsi="Century Gothic"/>
      <w:b/>
      <w:color w:val="C00000"/>
      <w:sz w:val="28"/>
      <w:szCs w:val="28"/>
      <w:lang w:val="es-ES_tradnl"/>
    </w:rPr>
  </w:style>
  <w:style w:type="paragraph" w:customStyle="1" w:styleId="Testimonio">
    <w:name w:val="Testimonio"/>
    <w:basedOn w:val="IdeaCentral"/>
    <w:link w:val="TestimonioCar"/>
    <w:qFormat/>
    <w:rsid w:val="009022D6"/>
    <w:pPr>
      <w:framePr w:w="4471" w:wrap="around" w:vAnchor="margin" w:hAnchor="page" w:x="6331" w:y="2"/>
    </w:pPr>
    <w:rPr>
      <w:rFonts w:ascii="Garamond" w:hAnsi="Garamond"/>
      <w:b w:val="0"/>
      <w:i/>
      <w:sz w:val="24"/>
      <w:szCs w:val="24"/>
    </w:rPr>
  </w:style>
  <w:style w:type="character" w:customStyle="1" w:styleId="TestimonioCar">
    <w:name w:val="Testimonio Car"/>
    <w:basedOn w:val="IdeaCentralCar"/>
    <w:link w:val="Testimonio"/>
    <w:rsid w:val="009022D6"/>
    <w:rPr>
      <w:rFonts w:ascii="Garamond" w:hAnsi="Garamond"/>
      <w:b w:val="0"/>
      <w:i/>
      <w:color w:val="C00000"/>
      <w:sz w:val="24"/>
      <w:szCs w:val="24"/>
      <w:lang w:val="es-ES_tradnl"/>
    </w:rPr>
  </w:style>
  <w:style w:type="paragraph" w:customStyle="1" w:styleId="TITcuadro">
    <w:name w:val="TIT cuadro"/>
    <w:basedOn w:val="Normal"/>
    <w:link w:val="TITcuadroCar"/>
    <w:qFormat/>
    <w:rsid w:val="00E51900"/>
    <w:pPr>
      <w:spacing w:before="0" w:line="240" w:lineRule="auto"/>
      <w:jc w:val="center"/>
    </w:pPr>
    <w:rPr>
      <w:rFonts w:ascii="Arial Narrow" w:eastAsia="Calibri" w:hAnsi="Arial Narrow" w:cs="Arial"/>
      <w:b/>
      <w:caps/>
      <w:sz w:val="20"/>
      <w:szCs w:val="18"/>
    </w:rPr>
  </w:style>
  <w:style w:type="character" w:customStyle="1" w:styleId="TITcuadroCar">
    <w:name w:val="TIT cuadro Car"/>
    <w:link w:val="TITcuadro"/>
    <w:rsid w:val="00E51900"/>
    <w:rPr>
      <w:rFonts w:ascii="Arial Narrow" w:eastAsia="Calibri" w:hAnsi="Arial Narrow" w:cs="Arial"/>
      <w:b/>
      <w:caps/>
      <w:szCs w:val="18"/>
    </w:rPr>
  </w:style>
  <w:style w:type="paragraph" w:styleId="TDC1">
    <w:name w:val="toc 1"/>
    <w:basedOn w:val="Normal"/>
    <w:next w:val="Normal"/>
    <w:uiPriority w:val="39"/>
    <w:qFormat/>
    <w:rsid w:val="00064B75"/>
    <w:pPr>
      <w:spacing w:before="0" w:after="120" w:line="240" w:lineRule="auto"/>
    </w:pPr>
    <w:rPr>
      <w:rFonts w:ascii="Century Gothic" w:hAnsi="Century Gothic"/>
      <w:smallCaps/>
      <w:color w:val="C00000"/>
      <w:sz w:val="22"/>
      <w:szCs w:val="20"/>
    </w:rPr>
  </w:style>
  <w:style w:type="paragraph" w:styleId="TDC2">
    <w:name w:val="toc 2"/>
    <w:basedOn w:val="Normal"/>
    <w:next w:val="Normal"/>
    <w:autoRedefine/>
    <w:uiPriority w:val="39"/>
    <w:qFormat/>
    <w:rsid w:val="00064B75"/>
    <w:pPr>
      <w:spacing w:before="0" w:after="120" w:line="240" w:lineRule="auto"/>
    </w:pPr>
    <w:rPr>
      <w:rFonts w:ascii="Century Gothic" w:hAnsi="Century Gothic"/>
      <w:sz w:val="22"/>
    </w:rPr>
  </w:style>
  <w:style w:type="paragraph" w:styleId="TDC3">
    <w:name w:val="toc 3"/>
    <w:basedOn w:val="Normal"/>
    <w:next w:val="Normal"/>
    <w:autoRedefine/>
    <w:uiPriority w:val="39"/>
    <w:qFormat/>
    <w:rsid w:val="00064B75"/>
    <w:pPr>
      <w:spacing w:before="0" w:after="120" w:line="240" w:lineRule="auto"/>
      <w:jc w:val="left"/>
    </w:pPr>
    <w:rPr>
      <w:rFonts w:ascii="Century Gothic" w:hAnsi="Century Gothic"/>
      <w:sz w:val="20"/>
    </w:rPr>
  </w:style>
  <w:style w:type="paragraph" w:styleId="TtuloTDC">
    <w:name w:val="TOC Heading"/>
    <w:basedOn w:val="Ttulo1"/>
    <w:next w:val="Normal"/>
    <w:uiPriority w:val="39"/>
    <w:unhideWhenUsed/>
    <w:qFormat/>
    <w:rsid w:val="009022D6"/>
    <w:pPr>
      <w:numPr>
        <w:numId w:val="0"/>
      </w:numPr>
      <w:outlineLvl w:val="9"/>
    </w:pPr>
    <w:rPr>
      <w:lang w:bidi="en-US"/>
    </w:rPr>
  </w:style>
  <w:style w:type="table" w:styleId="Tablaconcuadrcula">
    <w:name w:val="Table Grid"/>
    <w:aliases w:val="Ecotabla-3"/>
    <w:basedOn w:val="Tablanormal"/>
    <w:uiPriority w:val="39"/>
    <w:rsid w:val="00902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9022D6"/>
    <w:pPr>
      <w:tabs>
        <w:tab w:val="center" w:pos="4419"/>
        <w:tab w:val="right" w:pos="8838"/>
      </w:tabs>
      <w:spacing w:before="0" w:line="240" w:lineRule="auto"/>
    </w:pPr>
  </w:style>
  <w:style w:type="character" w:customStyle="1" w:styleId="PiedepginaCar">
    <w:name w:val="Pie de página Car"/>
    <w:basedOn w:val="Fuentedeprrafopredeter"/>
    <w:link w:val="Piedepgina"/>
    <w:uiPriority w:val="99"/>
    <w:rsid w:val="009022D6"/>
    <w:rPr>
      <w:rFonts w:ascii="Garamond" w:hAnsi="Garamond"/>
      <w:sz w:val="26"/>
      <w:szCs w:val="26"/>
      <w:lang w:val="es-ES_tradnl"/>
    </w:rPr>
  </w:style>
  <w:style w:type="table" w:customStyle="1" w:styleId="Ecotabla-3111">
    <w:name w:val="Ecotabla-3111"/>
    <w:basedOn w:val="Tablanormal"/>
    <w:next w:val="Tablaconcuadrcula"/>
    <w:uiPriority w:val="39"/>
    <w:rsid w:val="00305793"/>
    <w:rPr>
      <w:rFonts w:ascii="Arial Narrow" w:eastAsia="Times New Roman" w:hAnsi="Arial Narrow"/>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Col">
      <w:pPr>
        <w:jc w:val="left"/>
      </w:pPr>
      <w:rPr>
        <w:rFonts w:ascii="Ebrima" w:hAnsi="Ebrima"/>
        <w:b/>
        <w:sz w:val="20"/>
      </w:rPr>
      <w:tblPr/>
      <w:tcPr>
        <w:tcBorders>
          <w:top w:val="nil"/>
          <w:left w:val="nil"/>
          <w:bottom w:val="nil"/>
          <w:right w:val="nil"/>
          <w:insideH w:val="nil"/>
          <w:insideV w:val="nil"/>
          <w:tl2br w:val="nil"/>
          <w:tr2bl w:val="nil"/>
        </w:tcBorders>
        <w:shd w:val="pct25" w:color="auto" w:fill="auto"/>
        <w:vAlign w:val="center"/>
      </w:tcPr>
    </w:tblStylePr>
  </w:style>
  <w:style w:type="paragraph" w:styleId="Textonotapie">
    <w:name w:val="footnote text"/>
    <w:aliases w:val=" Car3 Car Car, Car3 Car, Car3 Car Car Car Car Car Car Car Car Car Car, Car3 Car Car Car Car Car Car Car Car Car Car Car Car,ft,Footnote Text Char Char,Footnote Text1 Char,Footnote Text Char Char Char Char,Footnote Text Char,fn,Car,Car1"/>
    <w:basedOn w:val="Normal"/>
    <w:link w:val="TextonotapieCar"/>
    <w:uiPriority w:val="99"/>
    <w:unhideWhenUsed/>
    <w:qFormat/>
    <w:rsid w:val="00CD0D49"/>
    <w:pPr>
      <w:spacing w:before="0" w:line="240" w:lineRule="auto"/>
    </w:pPr>
    <w:rPr>
      <w:sz w:val="20"/>
      <w:szCs w:val="20"/>
    </w:rPr>
  </w:style>
  <w:style w:type="character" w:customStyle="1" w:styleId="TextonotapieCar">
    <w:name w:val="Texto nota pie Car"/>
    <w:aliases w:val=" Car3 Car Car Car, Car3 Car Car1, Car3 Car Car Car Car Car Car Car Car Car Car Car, Car3 Car Car Car Car Car Car Car Car Car Car Car Car Car,ft Car,Footnote Text Char Char Car,Footnote Text1 Char Car,Footnote Text Char Car,fn Car"/>
    <w:basedOn w:val="Fuentedeprrafopredeter"/>
    <w:link w:val="Textonotapie"/>
    <w:uiPriority w:val="99"/>
    <w:rsid w:val="00CD0D49"/>
    <w:rPr>
      <w:rFonts w:ascii="Garamond" w:hAnsi="Garamond"/>
      <w:lang w:val="es-ES_tradnl"/>
    </w:rPr>
  </w:style>
  <w:style w:type="character" w:styleId="Refdenotaalpie">
    <w:name w:val="footnote reference"/>
    <w:aliases w:val="referencia nota al pie,Texto de nota al pie,BVI fnr,Ref. de nota al pie2,Nota de pie,Ref,de nota al pie,Footnote symbol,Footnote,Pie de pagina,Appel note de bas de page,Footnotes refss,Footnote Text Char1 Car Car Car Car,f,Nota a pie"/>
    <w:basedOn w:val="Fuentedeprrafopredeter"/>
    <w:link w:val="BVIfnrCharCharChar1CharCharCharCharCharCharChar1CharCharChar1Char"/>
    <w:uiPriority w:val="99"/>
    <w:unhideWhenUsed/>
    <w:qFormat/>
    <w:rsid w:val="00CD0D49"/>
    <w:rPr>
      <w:vertAlign w:val="superscript"/>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Refdenotaalpie"/>
    <w:uiPriority w:val="99"/>
    <w:rsid w:val="005B40E4"/>
    <w:pPr>
      <w:spacing w:before="0" w:after="160" w:line="240" w:lineRule="exact"/>
      <w:jc w:val="left"/>
    </w:pPr>
    <w:rPr>
      <w:rFonts w:asciiTheme="minorHAnsi" w:hAnsiTheme="minorHAnsi"/>
      <w:sz w:val="20"/>
      <w:szCs w:val="20"/>
      <w:vertAlign w:val="superscript"/>
    </w:rPr>
  </w:style>
  <w:style w:type="paragraph" w:styleId="Bibliografa">
    <w:name w:val="Bibliography"/>
    <w:basedOn w:val="Normal"/>
    <w:next w:val="Normal"/>
    <w:uiPriority w:val="37"/>
    <w:unhideWhenUsed/>
    <w:rsid w:val="0030119F"/>
  </w:style>
  <w:style w:type="character" w:styleId="Hipervnculo">
    <w:name w:val="Hyperlink"/>
    <w:basedOn w:val="Fuentedeprrafopredeter"/>
    <w:uiPriority w:val="99"/>
    <w:unhideWhenUsed/>
    <w:rsid w:val="00DE4498"/>
    <w:rPr>
      <w:color w:val="0563C1" w:themeColor="hyperlink"/>
      <w:u w:val="single"/>
    </w:rPr>
  </w:style>
  <w:style w:type="paragraph" w:styleId="Descripcin">
    <w:name w:val="caption"/>
    <w:basedOn w:val="Normal"/>
    <w:next w:val="Normal"/>
    <w:link w:val="DescripcinCar"/>
    <w:uiPriority w:val="35"/>
    <w:unhideWhenUsed/>
    <w:qFormat/>
    <w:rsid w:val="00665DBA"/>
    <w:pPr>
      <w:keepNext/>
      <w:spacing w:before="120" w:after="120" w:line="240" w:lineRule="auto"/>
      <w:jc w:val="center"/>
    </w:pPr>
    <w:rPr>
      <w:rFonts w:ascii="Century Gothic" w:hAnsi="Century Gothic"/>
      <w:b/>
      <w:iCs/>
      <w:color w:val="C00000"/>
      <w:sz w:val="20"/>
      <w:szCs w:val="18"/>
    </w:rPr>
  </w:style>
  <w:style w:type="character" w:customStyle="1" w:styleId="DescripcinCar">
    <w:name w:val="Descripción Car"/>
    <w:basedOn w:val="Fuentedeprrafopredeter"/>
    <w:link w:val="Descripcin"/>
    <w:uiPriority w:val="35"/>
    <w:rsid w:val="00585BE9"/>
    <w:rPr>
      <w:rFonts w:ascii="Century Gothic" w:hAnsi="Century Gothic"/>
      <w:b/>
      <w:iCs/>
      <w:color w:val="C00000"/>
      <w:szCs w:val="18"/>
    </w:rPr>
  </w:style>
  <w:style w:type="paragraph" w:styleId="Textonotaalfinal">
    <w:name w:val="endnote text"/>
    <w:basedOn w:val="Normal"/>
    <w:link w:val="TextonotaalfinalCar"/>
    <w:uiPriority w:val="99"/>
    <w:semiHidden/>
    <w:unhideWhenUsed/>
    <w:rsid w:val="00E9146F"/>
    <w:pPr>
      <w:spacing w:before="0" w:line="240" w:lineRule="auto"/>
    </w:pPr>
    <w:rPr>
      <w:sz w:val="20"/>
      <w:szCs w:val="20"/>
    </w:rPr>
  </w:style>
  <w:style w:type="character" w:customStyle="1" w:styleId="TextonotaalfinalCar">
    <w:name w:val="Texto nota al final Car"/>
    <w:basedOn w:val="Fuentedeprrafopredeter"/>
    <w:link w:val="Textonotaalfinal"/>
    <w:uiPriority w:val="99"/>
    <w:semiHidden/>
    <w:rsid w:val="00E9146F"/>
    <w:rPr>
      <w:rFonts w:ascii="Garamond" w:hAnsi="Garamond"/>
      <w:lang w:val="es-ES_tradnl"/>
    </w:rPr>
  </w:style>
  <w:style w:type="character" w:styleId="Refdenotaalfinal">
    <w:name w:val="endnote reference"/>
    <w:basedOn w:val="Fuentedeprrafopredeter"/>
    <w:uiPriority w:val="99"/>
    <w:semiHidden/>
    <w:unhideWhenUsed/>
    <w:rsid w:val="00E9146F"/>
    <w:rPr>
      <w:vertAlign w:val="superscript"/>
    </w:rPr>
  </w:style>
  <w:style w:type="table" w:customStyle="1" w:styleId="Tablaconcuadrcula2">
    <w:name w:val="Tabla con cuadrícula2"/>
    <w:basedOn w:val="Tablanormal"/>
    <w:next w:val="Tablaconcuadrcula"/>
    <w:uiPriority w:val="39"/>
    <w:rsid w:val="00EB5F3F"/>
    <w:pPr>
      <w:spacing w:after="0" w:line="240" w:lineRule="auto"/>
      <w:jc w:val="left"/>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6294A"/>
    <w:pPr>
      <w:spacing w:before="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16294A"/>
    <w:rPr>
      <w:rFonts w:ascii="Lucida Grande" w:hAnsi="Lucida Grande"/>
      <w:sz w:val="18"/>
      <w:szCs w:val="18"/>
      <w:lang w:val="es-ES_tradnl"/>
    </w:rPr>
  </w:style>
  <w:style w:type="paragraph" w:customStyle="1" w:styleId="Default">
    <w:name w:val="Default"/>
    <w:rsid w:val="00201F4D"/>
    <w:pPr>
      <w:autoSpaceDE w:val="0"/>
      <w:autoSpaceDN w:val="0"/>
      <w:adjustRightInd w:val="0"/>
      <w:spacing w:after="0" w:line="240" w:lineRule="auto"/>
      <w:jc w:val="left"/>
    </w:pPr>
    <w:rPr>
      <w:rFonts w:ascii="Arial" w:eastAsiaTheme="minorHAnsi" w:hAnsi="Arial" w:cs="Arial"/>
      <w:color w:val="000000"/>
      <w:sz w:val="24"/>
      <w:szCs w:val="24"/>
    </w:rPr>
  </w:style>
  <w:style w:type="character" w:styleId="Refdecomentario">
    <w:name w:val="annotation reference"/>
    <w:basedOn w:val="Fuentedeprrafopredeter"/>
    <w:uiPriority w:val="99"/>
    <w:semiHidden/>
    <w:unhideWhenUsed/>
    <w:rsid w:val="00790C7D"/>
    <w:rPr>
      <w:sz w:val="18"/>
      <w:szCs w:val="18"/>
    </w:rPr>
  </w:style>
  <w:style w:type="paragraph" w:styleId="Textocomentario">
    <w:name w:val="annotation text"/>
    <w:basedOn w:val="Normal"/>
    <w:link w:val="TextocomentarioCar"/>
    <w:uiPriority w:val="99"/>
    <w:unhideWhenUsed/>
    <w:rsid w:val="00790C7D"/>
    <w:pPr>
      <w:spacing w:line="240" w:lineRule="auto"/>
    </w:pPr>
    <w:rPr>
      <w:sz w:val="24"/>
      <w:szCs w:val="24"/>
    </w:rPr>
  </w:style>
  <w:style w:type="character" w:customStyle="1" w:styleId="TextocomentarioCar">
    <w:name w:val="Texto comentario Car"/>
    <w:basedOn w:val="Fuentedeprrafopredeter"/>
    <w:link w:val="Textocomentario"/>
    <w:uiPriority w:val="99"/>
    <w:rsid w:val="00790C7D"/>
    <w:rPr>
      <w:rFonts w:ascii="Garamond" w:hAnsi="Garamond"/>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790C7D"/>
    <w:rPr>
      <w:b/>
      <w:bCs/>
      <w:sz w:val="20"/>
      <w:szCs w:val="20"/>
    </w:rPr>
  </w:style>
  <w:style w:type="character" w:customStyle="1" w:styleId="AsuntodelcomentarioCar">
    <w:name w:val="Asunto del comentario Car"/>
    <w:basedOn w:val="TextocomentarioCar"/>
    <w:link w:val="Asuntodelcomentario"/>
    <w:uiPriority w:val="99"/>
    <w:semiHidden/>
    <w:rsid w:val="00790C7D"/>
    <w:rPr>
      <w:rFonts w:ascii="Garamond" w:hAnsi="Garamond"/>
      <w:b/>
      <w:bCs/>
      <w:sz w:val="24"/>
      <w:szCs w:val="24"/>
      <w:lang w:val="es-ES_tradnl"/>
    </w:rPr>
  </w:style>
  <w:style w:type="table" w:customStyle="1" w:styleId="Tablanormal11">
    <w:name w:val="Tabla normal 11"/>
    <w:basedOn w:val="Tablanormal"/>
    <w:uiPriority w:val="99"/>
    <w:rsid w:val="00787C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99"/>
    <w:rsid w:val="00787C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parrafoCar">
    <w:name w:val="Texto parrafo Car"/>
    <w:basedOn w:val="Fuentedeprrafopredeter"/>
    <w:rsid w:val="000B4E10"/>
    <w:rPr>
      <w:rFonts w:ascii="Garamond" w:hAnsi="Garamond"/>
      <w:sz w:val="26"/>
      <w:szCs w:val="22"/>
      <w:lang w:val="es-MX" w:eastAsia="es-ES"/>
    </w:rPr>
  </w:style>
  <w:style w:type="character" w:styleId="Textoennegrita">
    <w:name w:val="Strong"/>
    <w:basedOn w:val="Fuentedeprrafopredeter"/>
    <w:uiPriority w:val="22"/>
    <w:qFormat/>
    <w:rsid w:val="000B4E10"/>
    <w:rPr>
      <w:b/>
      <w:bCs/>
    </w:rPr>
  </w:style>
  <w:style w:type="paragraph" w:styleId="NormalWeb">
    <w:name w:val="Normal (Web)"/>
    <w:basedOn w:val="Normal"/>
    <w:uiPriority w:val="99"/>
    <w:unhideWhenUsed/>
    <w:rsid w:val="00C3649D"/>
    <w:pPr>
      <w:spacing w:before="100"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Citalarga">
    <w:name w:val="Citalarga"/>
    <w:basedOn w:val="Normal"/>
    <w:link w:val="CitalargaCar"/>
    <w:qFormat/>
    <w:rsid w:val="00AD2EAC"/>
    <w:pPr>
      <w:spacing w:before="100" w:after="200" w:line="240" w:lineRule="auto"/>
      <w:ind w:left="851" w:right="284"/>
    </w:pPr>
    <w:rPr>
      <w:sz w:val="24"/>
      <w:lang w:eastAsia="es-ES"/>
    </w:rPr>
  </w:style>
  <w:style w:type="character" w:customStyle="1" w:styleId="CitalargaCar">
    <w:name w:val="Citalarga Car"/>
    <w:basedOn w:val="Fuentedeprrafopredeter"/>
    <w:link w:val="Citalarga"/>
    <w:rsid w:val="00AD2EAC"/>
    <w:rPr>
      <w:rFonts w:ascii="Garamond" w:hAnsi="Garamond"/>
      <w:sz w:val="24"/>
      <w:szCs w:val="26"/>
      <w:lang w:val="es-ES_tradnl" w:eastAsia="es-ES"/>
    </w:rPr>
  </w:style>
  <w:style w:type="paragraph" w:customStyle="1" w:styleId="Textocuadros">
    <w:name w:val="Texto cuadros"/>
    <w:basedOn w:val="Normal"/>
    <w:link w:val="TextocuadrosCar"/>
    <w:qFormat/>
    <w:rsid w:val="00927919"/>
    <w:pPr>
      <w:numPr>
        <w:ilvl w:val="12"/>
      </w:numPr>
      <w:overflowPunct w:val="0"/>
      <w:autoSpaceDE w:val="0"/>
      <w:autoSpaceDN w:val="0"/>
      <w:adjustRightInd w:val="0"/>
      <w:spacing w:before="0" w:line="240" w:lineRule="auto"/>
      <w:jc w:val="center"/>
    </w:pPr>
    <w:rPr>
      <w:rFonts w:ascii="Arial Narrow" w:eastAsia="Times New Roman" w:hAnsi="Arial Narrow" w:cs="Times New Roman"/>
      <w:bCs/>
      <w:sz w:val="20"/>
      <w:szCs w:val="24"/>
      <w:lang w:val="es-MX" w:eastAsia="es-ES"/>
    </w:rPr>
  </w:style>
  <w:style w:type="character" w:customStyle="1" w:styleId="TextocuadrosCar">
    <w:name w:val="Texto cuadros Car"/>
    <w:basedOn w:val="Fuentedeprrafopredeter"/>
    <w:link w:val="Textocuadros"/>
    <w:rsid w:val="00927919"/>
    <w:rPr>
      <w:rFonts w:ascii="Arial Narrow" w:eastAsia="Times New Roman" w:hAnsi="Arial Narrow" w:cs="Times New Roman"/>
      <w:bCs/>
      <w:szCs w:val="24"/>
      <w:lang w:val="es-MX" w:eastAsia="es-ES"/>
    </w:rPr>
  </w:style>
  <w:style w:type="paragraph" w:customStyle="1" w:styleId="Titulocuadro">
    <w:name w:val="Titulo cuadro"/>
    <w:basedOn w:val="Textocuadros"/>
    <w:link w:val="TitulocuadroCar"/>
    <w:autoRedefine/>
    <w:rsid w:val="00927919"/>
    <w:rPr>
      <w:b/>
      <w:bCs w:val="0"/>
      <w:caps/>
    </w:rPr>
  </w:style>
  <w:style w:type="character" w:customStyle="1" w:styleId="TitulocuadroCar">
    <w:name w:val="Titulo cuadro Car"/>
    <w:basedOn w:val="TextocuadrosCar"/>
    <w:link w:val="Titulocuadro"/>
    <w:rsid w:val="00927919"/>
    <w:rPr>
      <w:rFonts w:ascii="Arial Narrow" w:eastAsia="Times New Roman" w:hAnsi="Arial Narrow" w:cs="Times New Roman"/>
      <w:b/>
      <w:bCs w:val="0"/>
      <w:caps/>
      <w:szCs w:val="24"/>
      <w:lang w:val="es-MX" w:eastAsia="es-ES"/>
    </w:rPr>
  </w:style>
  <w:style w:type="paragraph" w:customStyle="1" w:styleId="TextodeFuente">
    <w:name w:val="Texto de Fuente"/>
    <w:basedOn w:val="Normal"/>
    <w:link w:val="TextodeFuenteCar"/>
    <w:qFormat/>
    <w:rsid w:val="00927919"/>
    <w:pPr>
      <w:spacing w:before="120" w:after="120"/>
      <w:jc w:val="center"/>
    </w:pPr>
    <w:rPr>
      <w:rFonts w:ascii="Arial" w:eastAsia="Times New Roman" w:hAnsi="Arial" w:cs="Times New Roman"/>
      <w:sz w:val="18"/>
      <w:szCs w:val="18"/>
      <w:lang w:val="es-MX" w:eastAsia="es-ES"/>
    </w:rPr>
  </w:style>
  <w:style w:type="character" w:customStyle="1" w:styleId="TextodeFuenteCar">
    <w:name w:val="Texto de Fuente Car"/>
    <w:basedOn w:val="Fuentedeprrafopredeter"/>
    <w:link w:val="TextodeFuente"/>
    <w:rsid w:val="00927919"/>
    <w:rPr>
      <w:rFonts w:ascii="Arial" w:eastAsia="Times New Roman" w:hAnsi="Arial" w:cs="Times New Roman"/>
      <w:sz w:val="18"/>
      <w:szCs w:val="18"/>
      <w:lang w:val="es-MX" w:eastAsia="es-ES"/>
    </w:rPr>
  </w:style>
  <w:style w:type="paragraph" w:customStyle="1" w:styleId="Titulodetabla">
    <w:name w:val="Titulo de tabla"/>
    <w:basedOn w:val="Normal"/>
    <w:link w:val="TitulodetablaCar"/>
    <w:qFormat/>
    <w:rsid w:val="00927919"/>
    <w:pPr>
      <w:keepNext/>
      <w:keepLines/>
      <w:autoSpaceDE w:val="0"/>
      <w:autoSpaceDN w:val="0"/>
      <w:adjustRightInd w:val="0"/>
      <w:spacing w:after="120"/>
      <w:ind w:left="567" w:right="618"/>
      <w:jc w:val="center"/>
    </w:pPr>
    <w:rPr>
      <w:rFonts w:ascii="Arial" w:eastAsia="Times New Roman" w:hAnsi="Arial" w:cs="Arial"/>
      <w:color w:val="000000" w:themeColor="text1"/>
      <w:sz w:val="22"/>
      <w:szCs w:val="22"/>
      <w:lang w:val="es-MX" w:eastAsia="es-ES"/>
    </w:rPr>
  </w:style>
  <w:style w:type="character" w:customStyle="1" w:styleId="TitulodetablaCar">
    <w:name w:val="Titulo de tabla Car"/>
    <w:basedOn w:val="Fuentedeprrafopredeter"/>
    <w:link w:val="Titulodetabla"/>
    <w:rsid w:val="00927919"/>
    <w:rPr>
      <w:rFonts w:ascii="Arial" w:eastAsia="Times New Roman" w:hAnsi="Arial" w:cs="Arial"/>
      <w:color w:val="000000" w:themeColor="text1"/>
      <w:sz w:val="22"/>
      <w:szCs w:val="22"/>
      <w:lang w:val="es-MX" w:eastAsia="es-ES"/>
    </w:rPr>
  </w:style>
  <w:style w:type="paragraph" w:styleId="Textoindependiente">
    <w:name w:val="Body Text"/>
    <w:basedOn w:val="Normal"/>
    <w:link w:val="TextoindependienteCar"/>
    <w:rsid w:val="00CA2482"/>
    <w:pPr>
      <w:spacing w:before="0" w:line="240" w:lineRule="auto"/>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link w:val="Textoindependiente"/>
    <w:rsid w:val="00CA2482"/>
    <w:rPr>
      <w:rFonts w:ascii="Arial" w:eastAsia="Times New Roman" w:hAnsi="Arial" w:cs="Times New Roman"/>
      <w:sz w:val="24"/>
      <w:szCs w:val="24"/>
      <w:lang w:val="es-ES" w:eastAsia="es-ES"/>
    </w:rPr>
  </w:style>
  <w:style w:type="character" w:styleId="Hipervnculovisitado">
    <w:name w:val="FollowedHyperlink"/>
    <w:basedOn w:val="Fuentedeprrafopredeter"/>
    <w:uiPriority w:val="99"/>
    <w:semiHidden/>
    <w:unhideWhenUsed/>
    <w:rsid w:val="008B1CBA"/>
    <w:rPr>
      <w:color w:val="954F72"/>
      <w:u w:val="single"/>
    </w:rPr>
  </w:style>
  <w:style w:type="paragraph" w:customStyle="1" w:styleId="msonormal0">
    <w:name w:val="msonormal"/>
    <w:basedOn w:val="Normal"/>
    <w:rsid w:val="008B1CBA"/>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font5">
    <w:name w:val="font5"/>
    <w:basedOn w:val="Normal"/>
    <w:rsid w:val="008B1CBA"/>
    <w:pPr>
      <w:spacing w:before="100" w:beforeAutospacing="1" w:after="100" w:afterAutospacing="1" w:line="240" w:lineRule="auto"/>
      <w:jc w:val="left"/>
    </w:pPr>
    <w:rPr>
      <w:rFonts w:ascii="Calibri" w:eastAsia="Times New Roman" w:hAnsi="Calibri" w:cs="Calibri"/>
      <w:b/>
      <w:bCs/>
      <w:sz w:val="16"/>
      <w:szCs w:val="16"/>
      <w:lang w:eastAsia="es-CO"/>
    </w:rPr>
  </w:style>
  <w:style w:type="paragraph" w:customStyle="1" w:styleId="xl63">
    <w:name w:val="xl63"/>
    <w:basedOn w:val="Normal"/>
    <w:rsid w:val="008B1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8B1CB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5">
    <w:name w:val="xl65"/>
    <w:basedOn w:val="Normal"/>
    <w:rsid w:val="008B1CB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6">
    <w:name w:val="xl66"/>
    <w:basedOn w:val="Normal"/>
    <w:rsid w:val="008B1C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7">
    <w:name w:val="xl67"/>
    <w:basedOn w:val="Normal"/>
    <w:rsid w:val="008B1CBA"/>
    <w:pP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es-CO"/>
    </w:rPr>
  </w:style>
  <w:style w:type="paragraph" w:customStyle="1" w:styleId="xl68">
    <w:name w:val="xl68"/>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9">
    <w:name w:val="xl69"/>
    <w:basedOn w:val="Normal"/>
    <w:rsid w:val="008B1CB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0">
    <w:name w:val="xl70"/>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1">
    <w:name w:val="xl71"/>
    <w:basedOn w:val="Normal"/>
    <w:rsid w:val="008B1CB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8B1CB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8B1CB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4">
    <w:name w:val="xl74"/>
    <w:basedOn w:val="Normal"/>
    <w:rsid w:val="008B1CB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5">
    <w:name w:val="xl75"/>
    <w:basedOn w:val="Normal"/>
    <w:rsid w:val="008B1CBA"/>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6">
    <w:name w:val="xl76"/>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8B1CBA"/>
    <w:pPr>
      <w:pBdr>
        <w:top w:val="single" w:sz="4" w:space="0" w:color="auto"/>
        <w:left w:val="single" w:sz="8" w:space="7" w:color="auto"/>
        <w:bottom w:val="single" w:sz="4" w:space="0" w:color="auto"/>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sz w:val="18"/>
      <w:szCs w:val="18"/>
      <w:u w:val="single"/>
      <w:lang w:eastAsia="es-CO"/>
    </w:rPr>
  </w:style>
  <w:style w:type="paragraph" w:customStyle="1" w:styleId="xl79">
    <w:name w:val="xl79"/>
    <w:basedOn w:val="Normal"/>
    <w:rsid w:val="008B1CBA"/>
    <w:pPr>
      <w:pBdr>
        <w:top w:val="single" w:sz="4" w:space="0" w:color="auto"/>
        <w:bottom w:val="single" w:sz="4" w:space="0" w:color="auto"/>
        <w:right w:val="single" w:sz="8" w:space="0" w:color="auto"/>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sz w:val="18"/>
      <w:szCs w:val="18"/>
      <w:u w:val="single"/>
      <w:lang w:eastAsia="es-CO"/>
    </w:rPr>
  </w:style>
  <w:style w:type="paragraph" w:customStyle="1" w:styleId="xl80">
    <w:name w:val="xl80"/>
    <w:basedOn w:val="Normal"/>
    <w:rsid w:val="008B1CBA"/>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81">
    <w:name w:val="xl81"/>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es-CO"/>
    </w:rPr>
  </w:style>
  <w:style w:type="paragraph" w:customStyle="1" w:styleId="xl82">
    <w:name w:val="xl82"/>
    <w:basedOn w:val="Normal"/>
    <w:rsid w:val="008B1CBA"/>
    <w:pPr>
      <w:pBdr>
        <w:top w:val="single" w:sz="4" w:space="0" w:color="auto"/>
        <w:bottom w:val="single" w:sz="4" w:space="0" w:color="auto"/>
        <w:right w:val="single" w:sz="8" w:space="0" w:color="auto"/>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color w:val="595959"/>
      <w:sz w:val="16"/>
      <w:szCs w:val="16"/>
      <w:lang w:eastAsia="es-CO"/>
    </w:rPr>
  </w:style>
  <w:style w:type="paragraph" w:customStyle="1" w:styleId="xl83">
    <w:name w:val="xl83"/>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u w:val="single"/>
      <w:lang w:eastAsia="es-CO"/>
    </w:rPr>
  </w:style>
  <w:style w:type="paragraph" w:customStyle="1" w:styleId="xl84">
    <w:name w:val="xl84"/>
    <w:basedOn w:val="Normal"/>
    <w:rsid w:val="008B1CBA"/>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u w:val="single"/>
      <w:lang w:eastAsia="es-CO"/>
    </w:rPr>
  </w:style>
  <w:style w:type="paragraph" w:customStyle="1" w:styleId="xl85">
    <w:name w:val="xl85"/>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u w:val="single"/>
      <w:lang w:eastAsia="es-CO"/>
    </w:rPr>
  </w:style>
  <w:style w:type="paragraph" w:customStyle="1" w:styleId="xl86">
    <w:name w:val="xl86"/>
    <w:basedOn w:val="Normal"/>
    <w:rsid w:val="008B1CBA"/>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87">
    <w:name w:val="xl87"/>
    <w:basedOn w:val="Normal"/>
    <w:rsid w:val="008B1CB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88">
    <w:name w:val="xl88"/>
    <w:basedOn w:val="Normal"/>
    <w:rsid w:val="008B1CBA"/>
    <w:pPr>
      <w:pBdr>
        <w:top w:val="single" w:sz="4" w:space="0" w:color="auto"/>
        <w:left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89">
    <w:name w:val="xl89"/>
    <w:basedOn w:val="Normal"/>
    <w:rsid w:val="008B1C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90">
    <w:name w:val="xl90"/>
    <w:basedOn w:val="Normal"/>
    <w:rsid w:val="008B1CB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91">
    <w:name w:val="xl91"/>
    <w:basedOn w:val="Normal"/>
    <w:rsid w:val="008B1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92">
    <w:name w:val="xl92"/>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375623"/>
      <w:sz w:val="18"/>
      <w:szCs w:val="18"/>
      <w:lang w:eastAsia="es-CO"/>
    </w:rPr>
  </w:style>
  <w:style w:type="paragraph" w:customStyle="1" w:styleId="xl93">
    <w:name w:val="xl93"/>
    <w:basedOn w:val="Normal"/>
    <w:rsid w:val="008B1CBA"/>
    <w:pPr>
      <w:pBdr>
        <w:top w:val="single" w:sz="4" w:space="0" w:color="auto"/>
        <w:left w:val="single" w:sz="4" w:space="0" w:color="auto"/>
        <w:bottom w:val="single" w:sz="4" w:space="0" w:color="auto"/>
        <w:right w:val="single" w:sz="4" w:space="0" w:color="auto"/>
      </w:pBdr>
      <w:shd w:val="clear" w:color="000000" w:fill="375623"/>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94">
    <w:name w:val="xl94"/>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C00000"/>
      <w:sz w:val="18"/>
      <w:szCs w:val="18"/>
      <w:lang w:eastAsia="es-CO"/>
    </w:rPr>
  </w:style>
  <w:style w:type="paragraph" w:customStyle="1" w:styleId="xl95">
    <w:name w:val="xl95"/>
    <w:basedOn w:val="Normal"/>
    <w:rsid w:val="008B1CBA"/>
    <w:pPr>
      <w:pBdr>
        <w:top w:val="single" w:sz="4" w:space="0" w:color="auto"/>
        <w:left w:val="single" w:sz="4" w:space="0" w:color="auto"/>
        <w:bottom w:val="single" w:sz="4" w:space="0" w:color="auto"/>
      </w:pBdr>
      <w:shd w:val="clear" w:color="000000" w:fill="C00000"/>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96">
    <w:name w:val="xl96"/>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1F4E78"/>
      <w:sz w:val="18"/>
      <w:szCs w:val="18"/>
      <w:lang w:eastAsia="es-CO"/>
    </w:rPr>
  </w:style>
  <w:style w:type="paragraph" w:customStyle="1" w:styleId="xl97">
    <w:name w:val="xl97"/>
    <w:basedOn w:val="Normal"/>
    <w:rsid w:val="008B1CBA"/>
    <w:pPr>
      <w:pBdr>
        <w:top w:val="single" w:sz="4" w:space="0" w:color="auto"/>
        <w:left w:val="single" w:sz="4" w:space="0" w:color="auto"/>
        <w:bottom w:val="single" w:sz="4" w:space="0" w:color="auto"/>
        <w:right w:val="single" w:sz="8" w:space="0" w:color="auto"/>
      </w:pBdr>
      <w:shd w:val="clear" w:color="000000" w:fill="1F4E78"/>
      <w:spacing w:before="100" w:beforeAutospacing="1" w:after="100" w:afterAutospacing="1" w:line="240" w:lineRule="auto"/>
      <w:jc w:val="left"/>
    </w:pPr>
    <w:rPr>
      <w:rFonts w:ascii="Times New Roman" w:eastAsia="Times New Roman" w:hAnsi="Times New Roman" w:cs="Times New Roman"/>
      <w:color w:val="1F4E78"/>
      <w:sz w:val="24"/>
      <w:szCs w:val="24"/>
      <w:lang w:eastAsia="es-CO"/>
    </w:rPr>
  </w:style>
  <w:style w:type="paragraph" w:customStyle="1" w:styleId="xl98">
    <w:name w:val="xl98"/>
    <w:basedOn w:val="Normal"/>
    <w:rsid w:val="008B1CBA"/>
    <w:pPr>
      <w:pBdr>
        <w:top w:val="single" w:sz="4" w:space="0" w:color="auto"/>
        <w:bottom w:val="single" w:sz="4" w:space="0" w:color="auto"/>
        <w:right w:val="single" w:sz="8" w:space="0" w:color="auto"/>
      </w:pBdr>
      <w:spacing w:before="100" w:beforeAutospacing="1" w:after="100" w:afterAutospacing="1" w:line="240" w:lineRule="auto"/>
      <w:ind w:firstLineChars="200" w:firstLine="200"/>
      <w:jc w:val="left"/>
      <w:textAlignment w:val="center"/>
    </w:pPr>
    <w:rPr>
      <w:rFonts w:ascii="Times New Roman" w:eastAsia="Times New Roman" w:hAnsi="Times New Roman" w:cs="Times New Roman"/>
      <w:color w:val="595959"/>
      <w:sz w:val="16"/>
      <w:szCs w:val="16"/>
      <w:lang w:eastAsia="es-CO"/>
    </w:rPr>
  </w:style>
  <w:style w:type="paragraph" w:customStyle="1" w:styleId="xl99">
    <w:name w:val="xl99"/>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595959"/>
      <w:sz w:val="18"/>
      <w:szCs w:val="18"/>
      <w:lang w:eastAsia="es-CO"/>
    </w:rPr>
  </w:style>
  <w:style w:type="paragraph" w:customStyle="1" w:styleId="xl100">
    <w:name w:val="xl100"/>
    <w:basedOn w:val="Normal"/>
    <w:rsid w:val="008B1CBA"/>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595959"/>
      <w:sz w:val="18"/>
      <w:szCs w:val="18"/>
      <w:lang w:eastAsia="es-CO"/>
    </w:rPr>
  </w:style>
  <w:style w:type="paragraph" w:customStyle="1" w:styleId="xl101">
    <w:name w:val="xl101"/>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595959"/>
      <w:sz w:val="18"/>
      <w:szCs w:val="18"/>
      <w:lang w:eastAsia="es-CO"/>
    </w:rPr>
  </w:style>
  <w:style w:type="paragraph" w:customStyle="1" w:styleId="xl102">
    <w:name w:val="xl102"/>
    <w:basedOn w:val="Normal"/>
    <w:rsid w:val="008B1CBA"/>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color w:val="595959"/>
      <w:sz w:val="16"/>
      <w:szCs w:val="16"/>
      <w:lang w:eastAsia="es-CO"/>
    </w:rPr>
  </w:style>
  <w:style w:type="paragraph" w:customStyle="1" w:styleId="xl103">
    <w:name w:val="xl103"/>
    <w:basedOn w:val="Normal"/>
    <w:rsid w:val="008B1CBA"/>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color w:val="595959"/>
      <w:sz w:val="16"/>
      <w:szCs w:val="16"/>
      <w:lang w:eastAsia="es-CO"/>
    </w:rPr>
  </w:style>
  <w:style w:type="paragraph" w:customStyle="1" w:styleId="xl104">
    <w:name w:val="xl104"/>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color w:val="595959"/>
      <w:sz w:val="16"/>
      <w:szCs w:val="16"/>
      <w:lang w:eastAsia="es-CO"/>
    </w:rPr>
  </w:style>
  <w:style w:type="paragraph" w:customStyle="1" w:styleId="xl105">
    <w:name w:val="xl105"/>
    <w:basedOn w:val="Normal"/>
    <w:rsid w:val="008B1CBA"/>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06">
    <w:name w:val="xl106"/>
    <w:basedOn w:val="Normal"/>
    <w:rsid w:val="008B1CBA"/>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07">
    <w:name w:val="xl107"/>
    <w:basedOn w:val="Normal"/>
    <w:rsid w:val="008B1CBA"/>
    <w:pPr>
      <w:pBdr>
        <w:top w:val="single" w:sz="4" w:space="0" w:color="auto"/>
        <w:left w:val="single" w:sz="8" w:space="0" w:color="auto"/>
        <w:bottom w:val="single" w:sz="4" w:space="0" w:color="auto"/>
        <w:right w:val="single" w:sz="4" w:space="0" w:color="auto"/>
      </w:pBdr>
      <w:shd w:val="clear" w:color="000000" w:fill="375623"/>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08">
    <w:name w:val="xl108"/>
    <w:basedOn w:val="Normal"/>
    <w:rsid w:val="008B1CB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09">
    <w:name w:val="xl109"/>
    <w:basedOn w:val="Normal"/>
    <w:rsid w:val="008B1CBA"/>
    <w:pPr>
      <w:pBdr>
        <w:top w:val="single" w:sz="4" w:space="0" w:color="auto"/>
        <w:left w:val="single" w:sz="4" w:space="0" w:color="auto"/>
        <w:bottom w:val="single" w:sz="4" w:space="0" w:color="auto"/>
      </w:pBdr>
      <w:shd w:val="clear" w:color="000000" w:fill="1F4E78"/>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0">
    <w:name w:val="xl110"/>
    <w:basedOn w:val="Normal"/>
    <w:rsid w:val="008B1CBA"/>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1">
    <w:name w:val="xl111"/>
    <w:basedOn w:val="Normal"/>
    <w:rsid w:val="008B1CBA"/>
    <w:pPr>
      <w:pBdr>
        <w:top w:val="single" w:sz="4"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2">
    <w:name w:val="xl112"/>
    <w:basedOn w:val="Normal"/>
    <w:rsid w:val="008B1CBA"/>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3">
    <w:name w:val="xl113"/>
    <w:basedOn w:val="Normal"/>
    <w:rsid w:val="008B1CBA"/>
    <w:pPr>
      <w:pBdr>
        <w:top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4">
    <w:name w:val="xl114"/>
    <w:basedOn w:val="Normal"/>
    <w:rsid w:val="008B1CBA"/>
    <w:pPr>
      <w:pBdr>
        <w:top w:val="single" w:sz="4" w:space="0" w:color="auto"/>
        <w:bottom w:val="single" w:sz="4" w:space="0" w:color="auto"/>
        <w:right w:val="single" w:sz="8" w:space="0" w:color="auto"/>
      </w:pBdr>
      <w:spacing w:before="100" w:beforeAutospacing="1" w:after="100" w:afterAutospacing="1" w:line="240" w:lineRule="auto"/>
      <w:ind w:firstLineChars="400" w:firstLine="400"/>
      <w:jc w:val="left"/>
      <w:textAlignment w:val="center"/>
    </w:pPr>
    <w:rPr>
      <w:rFonts w:ascii="Times New Roman" w:eastAsia="Times New Roman" w:hAnsi="Times New Roman" w:cs="Times New Roman"/>
      <w:color w:val="595959"/>
      <w:sz w:val="16"/>
      <w:szCs w:val="16"/>
      <w:lang w:eastAsia="es-CO"/>
    </w:rPr>
  </w:style>
  <w:style w:type="paragraph" w:customStyle="1" w:styleId="xl115">
    <w:name w:val="xl115"/>
    <w:basedOn w:val="Normal"/>
    <w:rsid w:val="008B1CBA"/>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6">
    <w:name w:val="xl116"/>
    <w:basedOn w:val="Normal"/>
    <w:rsid w:val="008B1CBA"/>
    <w:pPr>
      <w:pBdr>
        <w:top w:val="single" w:sz="4" w:space="0" w:color="auto"/>
        <w:bottom w:val="single" w:sz="4" w:space="0" w:color="auto"/>
      </w:pBdr>
      <w:shd w:val="clear" w:color="000000" w:fill="A6A6A6"/>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7">
    <w:name w:val="xl117"/>
    <w:basedOn w:val="Normal"/>
    <w:rsid w:val="008B1CBA"/>
    <w:pPr>
      <w:pBdr>
        <w:top w:val="single" w:sz="4" w:space="0" w:color="auto"/>
        <w:left w:val="single" w:sz="4" w:space="0" w:color="auto"/>
        <w:bottom w:val="single" w:sz="4" w:space="0" w:color="auto"/>
      </w:pBdr>
      <w:shd w:val="clear" w:color="000000" w:fill="375623"/>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8">
    <w:name w:val="xl118"/>
    <w:basedOn w:val="Normal"/>
    <w:rsid w:val="008B1CBA"/>
    <w:pPr>
      <w:pBdr>
        <w:top w:val="single" w:sz="4" w:space="0" w:color="auto"/>
        <w:left w:val="single" w:sz="4" w:space="0" w:color="auto"/>
        <w:bottom w:val="single" w:sz="4" w:space="0" w:color="auto"/>
        <w:right w:val="single" w:sz="8" w:space="0" w:color="auto"/>
      </w:pBdr>
      <w:shd w:val="clear" w:color="000000" w:fill="C00000"/>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19">
    <w:name w:val="xl119"/>
    <w:basedOn w:val="Normal"/>
    <w:rsid w:val="008B1CBA"/>
    <w:pPr>
      <w:pBdr>
        <w:top w:val="single" w:sz="4" w:space="0" w:color="auto"/>
        <w:left w:val="single" w:sz="8" w:space="0" w:color="auto"/>
        <w:bottom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es-CO"/>
    </w:rPr>
  </w:style>
  <w:style w:type="paragraph" w:customStyle="1" w:styleId="xl120">
    <w:name w:val="xl120"/>
    <w:basedOn w:val="Normal"/>
    <w:rsid w:val="008B1CBA"/>
    <w:pPr>
      <w:pBdr>
        <w:top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1F4E78"/>
      <w:sz w:val="18"/>
      <w:szCs w:val="18"/>
      <w:lang w:eastAsia="es-CO"/>
    </w:rPr>
  </w:style>
  <w:style w:type="paragraph" w:customStyle="1" w:styleId="xl121">
    <w:name w:val="xl121"/>
    <w:basedOn w:val="Normal"/>
    <w:rsid w:val="008B1CB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22">
    <w:name w:val="xl122"/>
    <w:basedOn w:val="Normal"/>
    <w:rsid w:val="008B1CB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23">
    <w:name w:val="xl123"/>
    <w:basedOn w:val="Normal"/>
    <w:rsid w:val="008B1CBA"/>
    <w:pPr>
      <w:pBdr>
        <w:top w:val="single" w:sz="4" w:space="0" w:color="auto"/>
        <w:left w:val="single" w:sz="4"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24">
    <w:name w:val="xl124"/>
    <w:basedOn w:val="Normal"/>
    <w:rsid w:val="008B1CB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25">
    <w:name w:val="xl125"/>
    <w:basedOn w:val="Normal"/>
    <w:rsid w:val="008B1CBA"/>
    <w:pPr>
      <w:pBdr>
        <w:top w:val="single" w:sz="4" w:space="0" w:color="auto"/>
        <w:left w:val="single" w:sz="8" w:space="0" w:color="auto"/>
        <w:bottom w:val="single" w:sz="8" w:space="0" w:color="auto"/>
        <w:right w:val="single" w:sz="4" w:space="0" w:color="auto"/>
      </w:pBdr>
      <w:shd w:val="clear" w:color="000000" w:fill="1F4E78"/>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126">
    <w:name w:val="xl126"/>
    <w:basedOn w:val="Normal"/>
    <w:rsid w:val="008B1CBA"/>
    <w:pPr>
      <w:pBdr>
        <w:top w:val="single" w:sz="4" w:space="0" w:color="auto"/>
        <w:left w:val="single" w:sz="4" w:space="0" w:color="auto"/>
        <w:bottom w:val="single" w:sz="8" w:space="0" w:color="auto"/>
        <w:right w:val="single" w:sz="4" w:space="0" w:color="auto"/>
      </w:pBdr>
      <w:shd w:val="clear" w:color="000000" w:fill="1F4E78"/>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Piedegrfica">
    <w:name w:val="Pie de gráfica"/>
    <w:basedOn w:val="Normal"/>
    <w:qFormat/>
    <w:rsid w:val="002F67EC"/>
    <w:pPr>
      <w:spacing w:before="0" w:after="120" w:line="240" w:lineRule="auto"/>
      <w:jc w:val="center"/>
    </w:pPr>
    <w:rPr>
      <w:rFonts w:ascii="Ebrima" w:eastAsia="Times New Roman" w:hAnsi="Ebrima" w:cs="Arial"/>
      <w:sz w:val="20"/>
      <w:szCs w:val="24"/>
      <w:lang w:eastAsia="es-ES"/>
    </w:rPr>
  </w:style>
  <w:style w:type="character" w:customStyle="1" w:styleId="normaltextrun">
    <w:name w:val="normaltextrun"/>
    <w:basedOn w:val="Fuentedeprrafopredeter"/>
    <w:rsid w:val="000B72D1"/>
  </w:style>
  <w:style w:type="paragraph" w:customStyle="1" w:styleId="Titulo">
    <w:name w:val="Titulo"/>
    <w:basedOn w:val="Descripcin"/>
    <w:link w:val="TituloCar"/>
    <w:qFormat/>
    <w:rsid w:val="00BD3E18"/>
  </w:style>
  <w:style w:type="character" w:customStyle="1" w:styleId="TituloCar">
    <w:name w:val="Titulo Car"/>
    <w:basedOn w:val="Fuentedeprrafopredeter"/>
    <w:link w:val="Titulo"/>
    <w:rsid w:val="00BD3E18"/>
    <w:rPr>
      <w:rFonts w:ascii="Century Gothic" w:hAnsi="Century Gothic"/>
      <w:b/>
      <w:iCs/>
      <w:color w:val="C00000"/>
      <w:szCs w:val="18"/>
    </w:rPr>
  </w:style>
  <w:style w:type="paragraph" w:customStyle="1" w:styleId="TITANEX">
    <w:name w:val="TIT ANEX"/>
    <w:basedOn w:val="Titulocaptulo-Econometra"/>
    <w:link w:val="TITANEXCar"/>
    <w:qFormat/>
    <w:rsid w:val="00585BE9"/>
    <w:pPr>
      <w:pBdr>
        <w:bottom w:val="none" w:sz="0" w:space="0" w:color="auto"/>
      </w:pBdr>
    </w:pPr>
    <w:rPr>
      <w:sz w:val="28"/>
      <w:lang w:val="es-ES_tradnl"/>
    </w:rPr>
  </w:style>
  <w:style w:type="character" w:customStyle="1" w:styleId="TITANEXCar">
    <w:name w:val="TIT ANEX Car"/>
    <w:basedOn w:val="Titulocaptulo-EconometraCar"/>
    <w:link w:val="TITANEX"/>
    <w:rsid w:val="00585BE9"/>
    <w:rPr>
      <w:rFonts w:ascii="Century Gothic" w:eastAsiaTheme="majorEastAsia" w:hAnsi="Century Gothic" w:cstheme="majorBidi"/>
      <w:bCs/>
      <w:smallCaps/>
      <w:color w:val="C00000"/>
      <w:sz w:val="28"/>
      <w:szCs w:val="36"/>
      <w:lang w:val="es-ES_tradnl"/>
    </w:rPr>
  </w:style>
  <w:style w:type="paragraph" w:customStyle="1" w:styleId="TITANEX2">
    <w:name w:val="TIT ANEX 2"/>
    <w:basedOn w:val="Ttulo2"/>
    <w:link w:val="TITANEX2Car"/>
    <w:qFormat/>
    <w:rsid w:val="00585BE9"/>
    <w:pPr>
      <w:numPr>
        <w:ilvl w:val="0"/>
        <w:numId w:val="0"/>
      </w:numPr>
      <w:ind w:left="567" w:hanging="576"/>
      <w:jc w:val="both"/>
    </w:pPr>
    <w:rPr>
      <w:smallCaps w:val="0"/>
      <w:sz w:val="24"/>
      <w:u w:val="single"/>
    </w:rPr>
  </w:style>
  <w:style w:type="character" w:customStyle="1" w:styleId="TITANEX2Car">
    <w:name w:val="TIT ANEX 2 Car"/>
    <w:basedOn w:val="Ttulo2Car"/>
    <w:link w:val="TITANEX2"/>
    <w:rsid w:val="00585BE9"/>
    <w:rPr>
      <w:rFonts w:ascii="Century Gothic" w:hAnsi="Century Gothic" w:cstheme="majorBidi"/>
      <w:smallCaps w:val="0"/>
      <w:color w:val="C00000"/>
      <w:spacing w:val="5"/>
      <w:sz w:val="24"/>
      <w:szCs w:val="28"/>
      <w:u w:val="single"/>
    </w:rPr>
  </w:style>
  <w:style w:type="paragraph" w:styleId="Tabladeilustraciones">
    <w:name w:val="table of figures"/>
    <w:basedOn w:val="Normal"/>
    <w:next w:val="Normal"/>
    <w:uiPriority w:val="99"/>
    <w:unhideWhenUsed/>
    <w:rsid w:val="00064B75"/>
    <w:pPr>
      <w:spacing w:before="0" w:after="120" w:line="240" w:lineRule="auto"/>
    </w:pPr>
    <w:rPr>
      <w:rFonts w:ascii="Century Gothic" w:hAnsi="Century Gothic"/>
      <w:sz w:val="20"/>
    </w:rPr>
  </w:style>
  <w:style w:type="character" w:customStyle="1" w:styleId="Mencinsinresolver1">
    <w:name w:val="Mención sin resolver1"/>
    <w:basedOn w:val="Fuentedeprrafopredeter"/>
    <w:uiPriority w:val="99"/>
    <w:semiHidden/>
    <w:unhideWhenUsed/>
    <w:rsid w:val="0082186A"/>
    <w:rPr>
      <w:color w:val="605E5C"/>
      <w:shd w:val="clear" w:color="auto" w:fill="E1DFDD"/>
    </w:rPr>
  </w:style>
  <w:style w:type="paragraph" w:styleId="Revisin">
    <w:name w:val="Revision"/>
    <w:hidden/>
    <w:uiPriority w:val="99"/>
    <w:semiHidden/>
    <w:rsid w:val="00264487"/>
    <w:pPr>
      <w:spacing w:after="0" w:line="240" w:lineRule="auto"/>
      <w:jc w:val="left"/>
    </w:pPr>
    <w:rPr>
      <w:rFonts w:ascii="Garamond" w:hAnsi="Garamond"/>
      <w:sz w:val="26"/>
      <w:szCs w:val="26"/>
    </w:rPr>
  </w:style>
  <w:style w:type="character" w:customStyle="1" w:styleId="apple-tab-span">
    <w:name w:val="apple-tab-span"/>
    <w:basedOn w:val="Fuentedeprrafopredeter"/>
    <w:rsid w:val="006244A1"/>
  </w:style>
  <w:style w:type="paragraph" w:styleId="Mapadeldocumento">
    <w:name w:val="Document Map"/>
    <w:basedOn w:val="Normal"/>
    <w:link w:val="MapadeldocumentoCar"/>
    <w:uiPriority w:val="99"/>
    <w:semiHidden/>
    <w:unhideWhenUsed/>
    <w:rsid w:val="00761CCD"/>
    <w:pPr>
      <w:spacing w:before="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761CCD"/>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6762">
      <w:bodyDiv w:val="1"/>
      <w:marLeft w:val="0"/>
      <w:marRight w:val="0"/>
      <w:marTop w:val="0"/>
      <w:marBottom w:val="0"/>
      <w:divBdr>
        <w:top w:val="none" w:sz="0" w:space="0" w:color="auto"/>
        <w:left w:val="none" w:sz="0" w:space="0" w:color="auto"/>
        <w:bottom w:val="none" w:sz="0" w:space="0" w:color="auto"/>
        <w:right w:val="none" w:sz="0" w:space="0" w:color="auto"/>
      </w:divBdr>
    </w:div>
    <w:div w:id="3747955">
      <w:bodyDiv w:val="1"/>
      <w:marLeft w:val="0"/>
      <w:marRight w:val="0"/>
      <w:marTop w:val="0"/>
      <w:marBottom w:val="0"/>
      <w:divBdr>
        <w:top w:val="none" w:sz="0" w:space="0" w:color="auto"/>
        <w:left w:val="none" w:sz="0" w:space="0" w:color="auto"/>
        <w:bottom w:val="none" w:sz="0" w:space="0" w:color="auto"/>
        <w:right w:val="none" w:sz="0" w:space="0" w:color="auto"/>
      </w:divBdr>
    </w:div>
    <w:div w:id="4211158">
      <w:bodyDiv w:val="1"/>
      <w:marLeft w:val="0"/>
      <w:marRight w:val="0"/>
      <w:marTop w:val="0"/>
      <w:marBottom w:val="0"/>
      <w:divBdr>
        <w:top w:val="none" w:sz="0" w:space="0" w:color="auto"/>
        <w:left w:val="none" w:sz="0" w:space="0" w:color="auto"/>
        <w:bottom w:val="none" w:sz="0" w:space="0" w:color="auto"/>
        <w:right w:val="none" w:sz="0" w:space="0" w:color="auto"/>
      </w:divBdr>
    </w:div>
    <w:div w:id="5910893">
      <w:bodyDiv w:val="1"/>
      <w:marLeft w:val="0"/>
      <w:marRight w:val="0"/>
      <w:marTop w:val="0"/>
      <w:marBottom w:val="0"/>
      <w:divBdr>
        <w:top w:val="none" w:sz="0" w:space="0" w:color="auto"/>
        <w:left w:val="none" w:sz="0" w:space="0" w:color="auto"/>
        <w:bottom w:val="none" w:sz="0" w:space="0" w:color="auto"/>
        <w:right w:val="none" w:sz="0" w:space="0" w:color="auto"/>
      </w:divBdr>
    </w:div>
    <w:div w:id="14042936">
      <w:bodyDiv w:val="1"/>
      <w:marLeft w:val="0"/>
      <w:marRight w:val="0"/>
      <w:marTop w:val="0"/>
      <w:marBottom w:val="0"/>
      <w:divBdr>
        <w:top w:val="none" w:sz="0" w:space="0" w:color="auto"/>
        <w:left w:val="none" w:sz="0" w:space="0" w:color="auto"/>
        <w:bottom w:val="none" w:sz="0" w:space="0" w:color="auto"/>
        <w:right w:val="none" w:sz="0" w:space="0" w:color="auto"/>
      </w:divBdr>
    </w:div>
    <w:div w:id="16198682">
      <w:bodyDiv w:val="1"/>
      <w:marLeft w:val="0"/>
      <w:marRight w:val="0"/>
      <w:marTop w:val="0"/>
      <w:marBottom w:val="0"/>
      <w:divBdr>
        <w:top w:val="none" w:sz="0" w:space="0" w:color="auto"/>
        <w:left w:val="none" w:sz="0" w:space="0" w:color="auto"/>
        <w:bottom w:val="none" w:sz="0" w:space="0" w:color="auto"/>
        <w:right w:val="none" w:sz="0" w:space="0" w:color="auto"/>
      </w:divBdr>
    </w:div>
    <w:div w:id="17973560">
      <w:bodyDiv w:val="1"/>
      <w:marLeft w:val="0"/>
      <w:marRight w:val="0"/>
      <w:marTop w:val="0"/>
      <w:marBottom w:val="0"/>
      <w:divBdr>
        <w:top w:val="none" w:sz="0" w:space="0" w:color="auto"/>
        <w:left w:val="none" w:sz="0" w:space="0" w:color="auto"/>
        <w:bottom w:val="none" w:sz="0" w:space="0" w:color="auto"/>
        <w:right w:val="none" w:sz="0" w:space="0" w:color="auto"/>
      </w:divBdr>
    </w:div>
    <w:div w:id="26226403">
      <w:bodyDiv w:val="1"/>
      <w:marLeft w:val="0"/>
      <w:marRight w:val="0"/>
      <w:marTop w:val="0"/>
      <w:marBottom w:val="0"/>
      <w:divBdr>
        <w:top w:val="none" w:sz="0" w:space="0" w:color="auto"/>
        <w:left w:val="none" w:sz="0" w:space="0" w:color="auto"/>
        <w:bottom w:val="none" w:sz="0" w:space="0" w:color="auto"/>
        <w:right w:val="none" w:sz="0" w:space="0" w:color="auto"/>
      </w:divBdr>
    </w:div>
    <w:div w:id="27031236">
      <w:bodyDiv w:val="1"/>
      <w:marLeft w:val="0"/>
      <w:marRight w:val="0"/>
      <w:marTop w:val="0"/>
      <w:marBottom w:val="0"/>
      <w:divBdr>
        <w:top w:val="none" w:sz="0" w:space="0" w:color="auto"/>
        <w:left w:val="none" w:sz="0" w:space="0" w:color="auto"/>
        <w:bottom w:val="none" w:sz="0" w:space="0" w:color="auto"/>
        <w:right w:val="none" w:sz="0" w:space="0" w:color="auto"/>
      </w:divBdr>
    </w:div>
    <w:div w:id="29649448">
      <w:bodyDiv w:val="1"/>
      <w:marLeft w:val="0"/>
      <w:marRight w:val="0"/>
      <w:marTop w:val="0"/>
      <w:marBottom w:val="0"/>
      <w:divBdr>
        <w:top w:val="none" w:sz="0" w:space="0" w:color="auto"/>
        <w:left w:val="none" w:sz="0" w:space="0" w:color="auto"/>
        <w:bottom w:val="none" w:sz="0" w:space="0" w:color="auto"/>
        <w:right w:val="none" w:sz="0" w:space="0" w:color="auto"/>
      </w:divBdr>
    </w:div>
    <w:div w:id="29965714">
      <w:bodyDiv w:val="1"/>
      <w:marLeft w:val="0"/>
      <w:marRight w:val="0"/>
      <w:marTop w:val="0"/>
      <w:marBottom w:val="0"/>
      <w:divBdr>
        <w:top w:val="none" w:sz="0" w:space="0" w:color="auto"/>
        <w:left w:val="none" w:sz="0" w:space="0" w:color="auto"/>
        <w:bottom w:val="none" w:sz="0" w:space="0" w:color="auto"/>
        <w:right w:val="none" w:sz="0" w:space="0" w:color="auto"/>
      </w:divBdr>
    </w:div>
    <w:div w:id="40716134">
      <w:bodyDiv w:val="1"/>
      <w:marLeft w:val="0"/>
      <w:marRight w:val="0"/>
      <w:marTop w:val="0"/>
      <w:marBottom w:val="0"/>
      <w:divBdr>
        <w:top w:val="none" w:sz="0" w:space="0" w:color="auto"/>
        <w:left w:val="none" w:sz="0" w:space="0" w:color="auto"/>
        <w:bottom w:val="none" w:sz="0" w:space="0" w:color="auto"/>
        <w:right w:val="none" w:sz="0" w:space="0" w:color="auto"/>
      </w:divBdr>
    </w:div>
    <w:div w:id="41757745">
      <w:bodyDiv w:val="1"/>
      <w:marLeft w:val="0"/>
      <w:marRight w:val="0"/>
      <w:marTop w:val="0"/>
      <w:marBottom w:val="0"/>
      <w:divBdr>
        <w:top w:val="none" w:sz="0" w:space="0" w:color="auto"/>
        <w:left w:val="none" w:sz="0" w:space="0" w:color="auto"/>
        <w:bottom w:val="none" w:sz="0" w:space="0" w:color="auto"/>
        <w:right w:val="none" w:sz="0" w:space="0" w:color="auto"/>
      </w:divBdr>
      <w:divsChild>
        <w:div w:id="372386265">
          <w:marLeft w:val="547"/>
          <w:marRight w:val="0"/>
          <w:marTop w:val="0"/>
          <w:marBottom w:val="0"/>
          <w:divBdr>
            <w:top w:val="none" w:sz="0" w:space="0" w:color="auto"/>
            <w:left w:val="none" w:sz="0" w:space="0" w:color="auto"/>
            <w:bottom w:val="none" w:sz="0" w:space="0" w:color="auto"/>
            <w:right w:val="none" w:sz="0" w:space="0" w:color="auto"/>
          </w:divBdr>
        </w:div>
        <w:div w:id="1091196357">
          <w:marLeft w:val="547"/>
          <w:marRight w:val="0"/>
          <w:marTop w:val="0"/>
          <w:marBottom w:val="0"/>
          <w:divBdr>
            <w:top w:val="none" w:sz="0" w:space="0" w:color="auto"/>
            <w:left w:val="none" w:sz="0" w:space="0" w:color="auto"/>
            <w:bottom w:val="none" w:sz="0" w:space="0" w:color="auto"/>
            <w:right w:val="none" w:sz="0" w:space="0" w:color="auto"/>
          </w:divBdr>
        </w:div>
      </w:divsChild>
    </w:div>
    <w:div w:id="43915783">
      <w:bodyDiv w:val="1"/>
      <w:marLeft w:val="0"/>
      <w:marRight w:val="0"/>
      <w:marTop w:val="0"/>
      <w:marBottom w:val="0"/>
      <w:divBdr>
        <w:top w:val="none" w:sz="0" w:space="0" w:color="auto"/>
        <w:left w:val="none" w:sz="0" w:space="0" w:color="auto"/>
        <w:bottom w:val="none" w:sz="0" w:space="0" w:color="auto"/>
        <w:right w:val="none" w:sz="0" w:space="0" w:color="auto"/>
      </w:divBdr>
    </w:div>
    <w:div w:id="44840353">
      <w:bodyDiv w:val="1"/>
      <w:marLeft w:val="0"/>
      <w:marRight w:val="0"/>
      <w:marTop w:val="0"/>
      <w:marBottom w:val="0"/>
      <w:divBdr>
        <w:top w:val="none" w:sz="0" w:space="0" w:color="auto"/>
        <w:left w:val="none" w:sz="0" w:space="0" w:color="auto"/>
        <w:bottom w:val="none" w:sz="0" w:space="0" w:color="auto"/>
        <w:right w:val="none" w:sz="0" w:space="0" w:color="auto"/>
      </w:divBdr>
    </w:div>
    <w:div w:id="50423677">
      <w:bodyDiv w:val="1"/>
      <w:marLeft w:val="0"/>
      <w:marRight w:val="0"/>
      <w:marTop w:val="0"/>
      <w:marBottom w:val="0"/>
      <w:divBdr>
        <w:top w:val="none" w:sz="0" w:space="0" w:color="auto"/>
        <w:left w:val="none" w:sz="0" w:space="0" w:color="auto"/>
        <w:bottom w:val="none" w:sz="0" w:space="0" w:color="auto"/>
        <w:right w:val="none" w:sz="0" w:space="0" w:color="auto"/>
      </w:divBdr>
    </w:div>
    <w:div w:id="57942838">
      <w:bodyDiv w:val="1"/>
      <w:marLeft w:val="0"/>
      <w:marRight w:val="0"/>
      <w:marTop w:val="0"/>
      <w:marBottom w:val="0"/>
      <w:divBdr>
        <w:top w:val="none" w:sz="0" w:space="0" w:color="auto"/>
        <w:left w:val="none" w:sz="0" w:space="0" w:color="auto"/>
        <w:bottom w:val="none" w:sz="0" w:space="0" w:color="auto"/>
        <w:right w:val="none" w:sz="0" w:space="0" w:color="auto"/>
      </w:divBdr>
    </w:div>
    <w:div w:id="60181068">
      <w:bodyDiv w:val="1"/>
      <w:marLeft w:val="0"/>
      <w:marRight w:val="0"/>
      <w:marTop w:val="0"/>
      <w:marBottom w:val="0"/>
      <w:divBdr>
        <w:top w:val="none" w:sz="0" w:space="0" w:color="auto"/>
        <w:left w:val="none" w:sz="0" w:space="0" w:color="auto"/>
        <w:bottom w:val="none" w:sz="0" w:space="0" w:color="auto"/>
        <w:right w:val="none" w:sz="0" w:space="0" w:color="auto"/>
      </w:divBdr>
    </w:div>
    <w:div w:id="66463000">
      <w:bodyDiv w:val="1"/>
      <w:marLeft w:val="0"/>
      <w:marRight w:val="0"/>
      <w:marTop w:val="0"/>
      <w:marBottom w:val="0"/>
      <w:divBdr>
        <w:top w:val="none" w:sz="0" w:space="0" w:color="auto"/>
        <w:left w:val="none" w:sz="0" w:space="0" w:color="auto"/>
        <w:bottom w:val="none" w:sz="0" w:space="0" w:color="auto"/>
        <w:right w:val="none" w:sz="0" w:space="0" w:color="auto"/>
      </w:divBdr>
    </w:div>
    <w:div w:id="75981463">
      <w:bodyDiv w:val="1"/>
      <w:marLeft w:val="0"/>
      <w:marRight w:val="0"/>
      <w:marTop w:val="0"/>
      <w:marBottom w:val="0"/>
      <w:divBdr>
        <w:top w:val="none" w:sz="0" w:space="0" w:color="auto"/>
        <w:left w:val="none" w:sz="0" w:space="0" w:color="auto"/>
        <w:bottom w:val="none" w:sz="0" w:space="0" w:color="auto"/>
        <w:right w:val="none" w:sz="0" w:space="0" w:color="auto"/>
      </w:divBdr>
    </w:div>
    <w:div w:id="76560948">
      <w:bodyDiv w:val="1"/>
      <w:marLeft w:val="0"/>
      <w:marRight w:val="0"/>
      <w:marTop w:val="0"/>
      <w:marBottom w:val="0"/>
      <w:divBdr>
        <w:top w:val="none" w:sz="0" w:space="0" w:color="auto"/>
        <w:left w:val="none" w:sz="0" w:space="0" w:color="auto"/>
        <w:bottom w:val="none" w:sz="0" w:space="0" w:color="auto"/>
        <w:right w:val="none" w:sz="0" w:space="0" w:color="auto"/>
      </w:divBdr>
    </w:div>
    <w:div w:id="80763102">
      <w:bodyDiv w:val="1"/>
      <w:marLeft w:val="0"/>
      <w:marRight w:val="0"/>
      <w:marTop w:val="0"/>
      <w:marBottom w:val="0"/>
      <w:divBdr>
        <w:top w:val="none" w:sz="0" w:space="0" w:color="auto"/>
        <w:left w:val="none" w:sz="0" w:space="0" w:color="auto"/>
        <w:bottom w:val="none" w:sz="0" w:space="0" w:color="auto"/>
        <w:right w:val="none" w:sz="0" w:space="0" w:color="auto"/>
      </w:divBdr>
    </w:div>
    <w:div w:id="82996819">
      <w:bodyDiv w:val="1"/>
      <w:marLeft w:val="0"/>
      <w:marRight w:val="0"/>
      <w:marTop w:val="0"/>
      <w:marBottom w:val="0"/>
      <w:divBdr>
        <w:top w:val="none" w:sz="0" w:space="0" w:color="auto"/>
        <w:left w:val="none" w:sz="0" w:space="0" w:color="auto"/>
        <w:bottom w:val="none" w:sz="0" w:space="0" w:color="auto"/>
        <w:right w:val="none" w:sz="0" w:space="0" w:color="auto"/>
      </w:divBdr>
    </w:div>
    <w:div w:id="83260022">
      <w:bodyDiv w:val="1"/>
      <w:marLeft w:val="0"/>
      <w:marRight w:val="0"/>
      <w:marTop w:val="0"/>
      <w:marBottom w:val="0"/>
      <w:divBdr>
        <w:top w:val="none" w:sz="0" w:space="0" w:color="auto"/>
        <w:left w:val="none" w:sz="0" w:space="0" w:color="auto"/>
        <w:bottom w:val="none" w:sz="0" w:space="0" w:color="auto"/>
        <w:right w:val="none" w:sz="0" w:space="0" w:color="auto"/>
      </w:divBdr>
    </w:div>
    <w:div w:id="93475574">
      <w:bodyDiv w:val="1"/>
      <w:marLeft w:val="0"/>
      <w:marRight w:val="0"/>
      <w:marTop w:val="0"/>
      <w:marBottom w:val="0"/>
      <w:divBdr>
        <w:top w:val="none" w:sz="0" w:space="0" w:color="auto"/>
        <w:left w:val="none" w:sz="0" w:space="0" w:color="auto"/>
        <w:bottom w:val="none" w:sz="0" w:space="0" w:color="auto"/>
        <w:right w:val="none" w:sz="0" w:space="0" w:color="auto"/>
      </w:divBdr>
    </w:div>
    <w:div w:id="96296452">
      <w:bodyDiv w:val="1"/>
      <w:marLeft w:val="0"/>
      <w:marRight w:val="0"/>
      <w:marTop w:val="0"/>
      <w:marBottom w:val="0"/>
      <w:divBdr>
        <w:top w:val="none" w:sz="0" w:space="0" w:color="auto"/>
        <w:left w:val="none" w:sz="0" w:space="0" w:color="auto"/>
        <w:bottom w:val="none" w:sz="0" w:space="0" w:color="auto"/>
        <w:right w:val="none" w:sz="0" w:space="0" w:color="auto"/>
      </w:divBdr>
    </w:div>
    <w:div w:id="97677642">
      <w:bodyDiv w:val="1"/>
      <w:marLeft w:val="0"/>
      <w:marRight w:val="0"/>
      <w:marTop w:val="0"/>
      <w:marBottom w:val="0"/>
      <w:divBdr>
        <w:top w:val="none" w:sz="0" w:space="0" w:color="auto"/>
        <w:left w:val="none" w:sz="0" w:space="0" w:color="auto"/>
        <w:bottom w:val="none" w:sz="0" w:space="0" w:color="auto"/>
        <w:right w:val="none" w:sz="0" w:space="0" w:color="auto"/>
      </w:divBdr>
    </w:div>
    <w:div w:id="103118222">
      <w:bodyDiv w:val="1"/>
      <w:marLeft w:val="0"/>
      <w:marRight w:val="0"/>
      <w:marTop w:val="0"/>
      <w:marBottom w:val="0"/>
      <w:divBdr>
        <w:top w:val="none" w:sz="0" w:space="0" w:color="auto"/>
        <w:left w:val="none" w:sz="0" w:space="0" w:color="auto"/>
        <w:bottom w:val="none" w:sz="0" w:space="0" w:color="auto"/>
        <w:right w:val="none" w:sz="0" w:space="0" w:color="auto"/>
      </w:divBdr>
      <w:divsChild>
        <w:div w:id="395668184">
          <w:marLeft w:val="1080"/>
          <w:marRight w:val="0"/>
          <w:marTop w:val="0"/>
          <w:marBottom w:val="0"/>
          <w:divBdr>
            <w:top w:val="none" w:sz="0" w:space="0" w:color="auto"/>
            <w:left w:val="none" w:sz="0" w:space="0" w:color="auto"/>
            <w:bottom w:val="none" w:sz="0" w:space="0" w:color="auto"/>
            <w:right w:val="none" w:sz="0" w:space="0" w:color="auto"/>
          </w:divBdr>
        </w:div>
      </w:divsChild>
    </w:div>
    <w:div w:id="103619554">
      <w:bodyDiv w:val="1"/>
      <w:marLeft w:val="0"/>
      <w:marRight w:val="0"/>
      <w:marTop w:val="0"/>
      <w:marBottom w:val="0"/>
      <w:divBdr>
        <w:top w:val="none" w:sz="0" w:space="0" w:color="auto"/>
        <w:left w:val="none" w:sz="0" w:space="0" w:color="auto"/>
        <w:bottom w:val="none" w:sz="0" w:space="0" w:color="auto"/>
        <w:right w:val="none" w:sz="0" w:space="0" w:color="auto"/>
      </w:divBdr>
    </w:div>
    <w:div w:id="113837409">
      <w:bodyDiv w:val="1"/>
      <w:marLeft w:val="0"/>
      <w:marRight w:val="0"/>
      <w:marTop w:val="0"/>
      <w:marBottom w:val="0"/>
      <w:divBdr>
        <w:top w:val="none" w:sz="0" w:space="0" w:color="auto"/>
        <w:left w:val="none" w:sz="0" w:space="0" w:color="auto"/>
        <w:bottom w:val="none" w:sz="0" w:space="0" w:color="auto"/>
        <w:right w:val="none" w:sz="0" w:space="0" w:color="auto"/>
      </w:divBdr>
    </w:div>
    <w:div w:id="117191868">
      <w:bodyDiv w:val="1"/>
      <w:marLeft w:val="0"/>
      <w:marRight w:val="0"/>
      <w:marTop w:val="0"/>
      <w:marBottom w:val="0"/>
      <w:divBdr>
        <w:top w:val="none" w:sz="0" w:space="0" w:color="auto"/>
        <w:left w:val="none" w:sz="0" w:space="0" w:color="auto"/>
        <w:bottom w:val="none" w:sz="0" w:space="0" w:color="auto"/>
        <w:right w:val="none" w:sz="0" w:space="0" w:color="auto"/>
      </w:divBdr>
    </w:div>
    <w:div w:id="125046936">
      <w:bodyDiv w:val="1"/>
      <w:marLeft w:val="0"/>
      <w:marRight w:val="0"/>
      <w:marTop w:val="0"/>
      <w:marBottom w:val="0"/>
      <w:divBdr>
        <w:top w:val="none" w:sz="0" w:space="0" w:color="auto"/>
        <w:left w:val="none" w:sz="0" w:space="0" w:color="auto"/>
        <w:bottom w:val="none" w:sz="0" w:space="0" w:color="auto"/>
        <w:right w:val="none" w:sz="0" w:space="0" w:color="auto"/>
      </w:divBdr>
    </w:div>
    <w:div w:id="128403188">
      <w:bodyDiv w:val="1"/>
      <w:marLeft w:val="0"/>
      <w:marRight w:val="0"/>
      <w:marTop w:val="0"/>
      <w:marBottom w:val="0"/>
      <w:divBdr>
        <w:top w:val="none" w:sz="0" w:space="0" w:color="auto"/>
        <w:left w:val="none" w:sz="0" w:space="0" w:color="auto"/>
        <w:bottom w:val="none" w:sz="0" w:space="0" w:color="auto"/>
        <w:right w:val="none" w:sz="0" w:space="0" w:color="auto"/>
      </w:divBdr>
    </w:div>
    <w:div w:id="128868270">
      <w:bodyDiv w:val="1"/>
      <w:marLeft w:val="0"/>
      <w:marRight w:val="0"/>
      <w:marTop w:val="0"/>
      <w:marBottom w:val="0"/>
      <w:divBdr>
        <w:top w:val="none" w:sz="0" w:space="0" w:color="auto"/>
        <w:left w:val="none" w:sz="0" w:space="0" w:color="auto"/>
        <w:bottom w:val="none" w:sz="0" w:space="0" w:color="auto"/>
        <w:right w:val="none" w:sz="0" w:space="0" w:color="auto"/>
      </w:divBdr>
    </w:div>
    <w:div w:id="129784645">
      <w:bodyDiv w:val="1"/>
      <w:marLeft w:val="0"/>
      <w:marRight w:val="0"/>
      <w:marTop w:val="0"/>
      <w:marBottom w:val="0"/>
      <w:divBdr>
        <w:top w:val="none" w:sz="0" w:space="0" w:color="auto"/>
        <w:left w:val="none" w:sz="0" w:space="0" w:color="auto"/>
        <w:bottom w:val="none" w:sz="0" w:space="0" w:color="auto"/>
        <w:right w:val="none" w:sz="0" w:space="0" w:color="auto"/>
      </w:divBdr>
    </w:div>
    <w:div w:id="130369854">
      <w:bodyDiv w:val="1"/>
      <w:marLeft w:val="0"/>
      <w:marRight w:val="0"/>
      <w:marTop w:val="0"/>
      <w:marBottom w:val="0"/>
      <w:divBdr>
        <w:top w:val="none" w:sz="0" w:space="0" w:color="auto"/>
        <w:left w:val="none" w:sz="0" w:space="0" w:color="auto"/>
        <w:bottom w:val="none" w:sz="0" w:space="0" w:color="auto"/>
        <w:right w:val="none" w:sz="0" w:space="0" w:color="auto"/>
      </w:divBdr>
    </w:div>
    <w:div w:id="141117990">
      <w:bodyDiv w:val="1"/>
      <w:marLeft w:val="0"/>
      <w:marRight w:val="0"/>
      <w:marTop w:val="0"/>
      <w:marBottom w:val="0"/>
      <w:divBdr>
        <w:top w:val="none" w:sz="0" w:space="0" w:color="auto"/>
        <w:left w:val="none" w:sz="0" w:space="0" w:color="auto"/>
        <w:bottom w:val="none" w:sz="0" w:space="0" w:color="auto"/>
        <w:right w:val="none" w:sz="0" w:space="0" w:color="auto"/>
      </w:divBdr>
    </w:div>
    <w:div w:id="145438699">
      <w:bodyDiv w:val="1"/>
      <w:marLeft w:val="0"/>
      <w:marRight w:val="0"/>
      <w:marTop w:val="0"/>
      <w:marBottom w:val="0"/>
      <w:divBdr>
        <w:top w:val="none" w:sz="0" w:space="0" w:color="auto"/>
        <w:left w:val="none" w:sz="0" w:space="0" w:color="auto"/>
        <w:bottom w:val="none" w:sz="0" w:space="0" w:color="auto"/>
        <w:right w:val="none" w:sz="0" w:space="0" w:color="auto"/>
      </w:divBdr>
    </w:div>
    <w:div w:id="145754860">
      <w:bodyDiv w:val="1"/>
      <w:marLeft w:val="0"/>
      <w:marRight w:val="0"/>
      <w:marTop w:val="0"/>
      <w:marBottom w:val="0"/>
      <w:divBdr>
        <w:top w:val="none" w:sz="0" w:space="0" w:color="auto"/>
        <w:left w:val="none" w:sz="0" w:space="0" w:color="auto"/>
        <w:bottom w:val="none" w:sz="0" w:space="0" w:color="auto"/>
        <w:right w:val="none" w:sz="0" w:space="0" w:color="auto"/>
      </w:divBdr>
    </w:div>
    <w:div w:id="150565392">
      <w:bodyDiv w:val="1"/>
      <w:marLeft w:val="0"/>
      <w:marRight w:val="0"/>
      <w:marTop w:val="0"/>
      <w:marBottom w:val="0"/>
      <w:divBdr>
        <w:top w:val="none" w:sz="0" w:space="0" w:color="auto"/>
        <w:left w:val="none" w:sz="0" w:space="0" w:color="auto"/>
        <w:bottom w:val="none" w:sz="0" w:space="0" w:color="auto"/>
        <w:right w:val="none" w:sz="0" w:space="0" w:color="auto"/>
      </w:divBdr>
    </w:div>
    <w:div w:id="152568313">
      <w:bodyDiv w:val="1"/>
      <w:marLeft w:val="0"/>
      <w:marRight w:val="0"/>
      <w:marTop w:val="0"/>
      <w:marBottom w:val="0"/>
      <w:divBdr>
        <w:top w:val="none" w:sz="0" w:space="0" w:color="auto"/>
        <w:left w:val="none" w:sz="0" w:space="0" w:color="auto"/>
        <w:bottom w:val="none" w:sz="0" w:space="0" w:color="auto"/>
        <w:right w:val="none" w:sz="0" w:space="0" w:color="auto"/>
      </w:divBdr>
    </w:div>
    <w:div w:id="155876340">
      <w:bodyDiv w:val="1"/>
      <w:marLeft w:val="0"/>
      <w:marRight w:val="0"/>
      <w:marTop w:val="0"/>
      <w:marBottom w:val="0"/>
      <w:divBdr>
        <w:top w:val="none" w:sz="0" w:space="0" w:color="auto"/>
        <w:left w:val="none" w:sz="0" w:space="0" w:color="auto"/>
        <w:bottom w:val="none" w:sz="0" w:space="0" w:color="auto"/>
        <w:right w:val="none" w:sz="0" w:space="0" w:color="auto"/>
      </w:divBdr>
    </w:div>
    <w:div w:id="164370518">
      <w:bodyDiv w:val="1"/>
      <w:marLeft w:val="0"/>
      <w:marRight w:val="0"/>
      <w:marTop w:val="0"/>
      <w:marBottom w:val="0"/>
      <w:divBdr>
        <w:top w:val="none" w:sz="0" w:space="0" w:color="auto"/>
        <w:left w:val="none" w:sz="0" w:space="0" w:color="auto"/>
        <w:bottom w:val="none" w:sz="0" w:space="0" w:color="auto"/>
        <w:right w:val="none" w:sz="0" w:space="0" w:color="auto"/>
      </w:divBdr>
    </w:div>
    <w:div w:id="165755111">
      <w:bodyDiv w:val="1"/>
      <w:marLeft w:val="0"/>
      <w:marRight w:val="0"/>
      <w:marTop w:val="0"/>
      <w:marBottom w:val="0"/>
      <w:divBdr>
        <w:top w:val="none" w:sz="0" w:space="0" w:color="auto"/>
        <w:left w:val="none" w:sz="0" w:space="0" w:color="auto"/>
        <w:bottom w:val="none" w:sz="0" w:space="0" w:color="auto"/>
        <w:right w:val="none" w:sz="0" w:space="0" w:color="auto"/>
      </w:divBdr>
    </w:div>
    <w:div w:id="181554226">
      <w:bodyDiv w:val="1"/>
      <w:marLeft w:val="0"/>
      <w:marRight w:val="0"/>
      <w:marTop w:val="0"/>
      <w:marBottom w:val="0"/>
      <w:divBdr>
        <w:top w:val="none" w:sz="0" w:space="0" w:color="auto"/>
        <w:left w:val="none" w:sz="0" w:space="0" w:color="auto"/>
        <w:bottom w:val="none" w:sz="0" w:space="0" w:color="auto"/>
        <w:right w:val="none" w:sz="0" w:space="0" w:color="auto"/>
      </w:divBdr>
    </w:div>
    <w:div w:id="182328472">
      <w:bodyDiv w:val="1"/>
      <w:marLeft w:val="0"/>
      <w:marRight w:val="0"/>
      <w:marTop w:val="0"/>
      <w:marBottom w:val="0"/>
      <w:divBdr>
        <w:top w:val="none" w:sz="0" w:space="0" w:color="auto"/>
        <w:left w:val="none" w:sz="0" w:space="0" w:color="auto"/>
        <w:bottom w:val="none" w:sz="0" w:space="0" w:color="auto"/>
        <w:right w:val="none" w:sz="0" w:space="0" w:color="auto"/>
      </w:divBdr>
      <w:divsChild>
        <w:div w:id="889533934">
          <w:marLeft w:val="1080"/>
          <w:marRight w:val="0"/>
          <w:marTop w:val="0"/>
          <w:marBottom w:val="0"/>
          <w:divBdr>
            <w:top w:val="none" w:sz="0" w:space="0" w:color="auto"/>
            <w:left w:val="none" w:sz="0" w:space="0" w:color="auto"/>
            <w:bottom w:val="none" w:sz="0" w:space="0" w:color="auto"/>
            <w:right w:val="none" w:sz="0" w:space="0" w:color="auto"/>
          </w:divBdr>
        </w:div>
      </w:divsChild>
    </w:div>
    <w:div w:id="182676144">
      <w:bodyDiv w:val="1"/>
      <w:marLeft w:val="0"/>
      <w:marRight w:val="0"/>
      <w:marTop w:val="0"/>
      <w:marBottom w:val="0"/>
      <w:divBdr>
        <w:top w:val="none" w:sz="0" w:space="0" w:color="auto"/>
        <w:left w:val="none" w:sz="0" w:space="0" w:color="auto"/>
        <w:bottom w:val="none" w:sz="0" w:space="0" w:color="auto"/>
        <w:right w:val="none" w:sz="0" w:space="0" w:color="auto"/>
      </w:divBdr>
    </w:div>
    <w:div w:id="187185608">
      <w:bodyDiv w:val="1"/>
      <w:marLeft w:val="0"/>
      <w:marRight w:val="0"/>
      <w:marTop w:val="0"/>
      <w:marBottom w:val="0"/>
      <w:divBdr>
        <w:top w:val="none" w:sz="0" w:space="0" w:color="auto"/>
        <w:left w:val="none" w:sz="0" w:space="0" w:color="auto"/>
        <w:bottom w:val="none" w:sz="0" w:space="0" w:color="auto"/>
        <w:right w:val="none" w:sz="0" w:space="0" w:color="auto"/>
      </w:divBdr>
    </w:div>
    <w:div w:id="189882243">
      <w:bodyDiv w:val="1"/>
      <w:marLeft w:val="0"/>
      <w:marRight w:val="0"/>
      <w:marTop w:val="0"/>
      <w:marBottom w:val="0"/>
      <w:divBdr>
        <w:top w:val="none" w:sz="0" w:space="0" w:color="auto"/>
        <w:left w:val="none" w:sz="0" w:space="0" w:color="auto"/>
        <w:bottom w:val="none" w:sz="0" w:space="0" w:color="auto"/>
        <w:right w:val="none" w:sz="0" w:space="0" w:color="auto"/>
      </w:divBdr>
    </w:div>
    <w:div w:id="194393340">
      <w:bodyDiv w:val="1"/>
      <w:marLeft w:val="0"/>
      <w:marRight w:val="0"/>
      <w:marTop w:val="0"/>
      <w:marBottom w:val="0"/>
      <w:divBdr>
        <w:top w:val="none" w:sz="0" w:space="0" w:color="auto"/>
        <w:left w:val="none" w:sz="0" w:space="0" w:color="auto"/>
        <w:bottom w:val="none" w:sz="0" w:space="0" w:color="auto"/>
        <w:right w:val="none" w:sz="0" w:space="0" w:color="auto"/>
      </w:divBdr>
    </w:div>
    <w:div w:id="194580419">
      <w:bodyDiv w:val="1"/>
      <w:marLeft w:val="0"/>
      <w:marRight w:val="0"/>
      <w:marTop w:val="0"/>
      <w:marBottom w:val="0"/>
      <w:divBdr>
        <w:top w:val="none" w:sz="0" w:space="0" w:color="auto"/>
        <w:left w:val="none" w:sz="0" w:space="0" w:color="auto"/>
        <w:bottom w:val="none" w:sz="0" w:space="0" w:color="auto"/>
        <w:right w:val="none" w:sz="0" w:space="0" w:color="auto"/>
      </w:divBdr>
    </w:div>
    <w:div w:id="195197996">
      <w:bodyDiv w:val="1"/>
      <w:marLeft w:val="0"/>
      <w:marRight w:val="0"/>
      <w:marTop w:val="0"/>
      <w:marBottom w:val="0"/>
      <w:divBdr>
        <w:top w:val="none" w:sz="0" w:space="0" w:color="auto"/>
        <w:left w:val="none" w:sz="0" w:space="0" w:color="auto"/>
        <w:bottom w:val="none" w:sz="0" w:space="0" w:color="auto"/>
        <w:right w:val="none" w:sz="0" w:space="0" w:color="auto"/>
      </w:divBdr>
    </w:div>
    <w:div w:id="195387923">
      <w:bodyDiv w:val="1"/>
      <w:marLeft w:val="0"/>
      <w:marRight w:val="0"/>
      <w:marTop w:val="0"/>
      <w:marBottom w:val="0"/>
      <w:divBdr>
        <w:top w:val="none" w:sz="0" w:space="0" w:color="auto"/>
        <w:left w:val="none" w:sz="0" w:space="0" w:color="auto"/>
        <w:bottom w:val="none" w:sz="0" w:space="0" w:color="auto"/>
        <w:right w:val="none" w:sz="0" w:space="0" w:color="auto"/>
      </w:divBdr>
    </w:div>
    <w:div w:id="199172635">
      <w:bodyDiv w:val="1"/>
      <w:marLeft w:val="0"/>
      <w:marRight w:val="0"/>
      <w:marTop w:val="0"/>
      <w:marBottom w:val="0"/>
      <w:divBdr>
        <w:top w:val="none" w:sz="0" w:space="0" w:color="auto"/>
        <w:left w:val="none" w:sz="0" w:space="0" w:color="auto"/>
        <w:bottom w:val="none" w:sz="0" w:space="0" w:color="auto"/>
        <w:right w:val="none" w:sz="0" w:space="0" w:color="auto"/>
      </w:divBdr>
    </w:div>
    <w:div w:id="204487233">
      <w:bodyDiv w:val="1"/>
      <w:marLeft w:val="0"/>
      <w:marRight w:val="0"/>
      <w:marTop w:val="0"/>
      <w:marBottom w:val="0"/>
      <w:divBdr>
        <w:top w:val="none" w:sz="0" w:space="0" w:color="auto"/>
        <w:left w:val="none" w:sz="0" w:space="0" w:color="auto"/>
        <w:bottom w:val="none" w:sz="0" w:space="0" w:color="auto"/>
        <w:right w:val="none" w:sz="0" w:space="0" w:color="auto"/>
      </w:divBdr>
    </w:div>
    <w:div w:id="210925891">
      <w:bodyDiv w:val="1"/>
      <w:marLeft w:val="0"/>
      <w:marRight w:val="0"/>
      <w:marTop w:val="0"/>
      <w:marBottom w:val="0"/>
      <w:divBdr>
        <w:top w:val="none" w:sz="0" w:space="0" w:color="auto"/>
        <w:left w:val="none" w:sz="0" w:space="0" w:color="auto"/>
        <w:bottom w:val="none" w:sz="0" w:space="0" w:color="auto"/>
        <w:right w:val="none" w:sz="0" w:space="0" w:color="auto"/>
      </w:divBdr>
    </w:div>
    <w:div w:id="216553629">
      <w:bodyDiv w:val="1"/>
      <w:marLeft w:val="0"/>
      <w:marRight w:val="0"/>
      <w:marTop w:val="0"/>
      <w:marBottom w:val="0"/>
      <w:divBdr>
        <w:top w:val="none" w:sz="0" w:space="0" w:color="auto"/>
        <w:left w:val="none" w:sz="0" w:space="0" w:color="auto"/>
        <w:bottom w:val="none" w:sz="0" w:space="0" w:color="auto"/>
        <w:right w:val="none" w:sz="0" w:space="0" w:color="auto"/>
      </w:divBdr>
    </w:div>
    <w:div w:id="219363914">
      <w:bodyDiv w:val="1"/>
      <w:marLeft w:val="0"/>
      <w:marRight w:val="0"/>
      <w:marTop w:val="0"/>
      <w:marBottom w:val="0"/>
      <w:divBdr>
        <w:top w:val="none" w:sz="0" w:space="0" w:color="auto"/>
        <w:left w:val="none" w:sz="0" w:space="0" w:color="auto"/>
        <w:bottom w:val="none" w:sz="0" w:space="0" w:color="auto"/>
        <w:right w:val="none" w:sz="0" w:space="0" w:color="auto"/>
      </w:divBdr>
    </w:div>
    <w:div w:id="229078212">
      <w:bodyDiv w:val="1"/>
      <w:marLeft w:val="0"/>
      <w:marRight w:val="0"/>
      <w:marTop w:val="0"/>
      <w:marBottom w:val="0"/>
      <w:divBdr>
        <w:top w:val="none" w:sz="0" w:space="0" w:color="auto"/>
        <w:left w:val="none" w:sz="0" w:space="0" w:color="auto"/>
        <w:bottom w:val="none" w:sz="0" w:space="0" w:color="auto"/>
        <w:right w:val="none" w:sz="0" w:space="0" w:color="auto"/>
      </w:divBdr>
    </w:div>
    <w:div w:id="245500595">
      <w:bodyDiv w:val="1"/>
      <w:marLeft w:val="0"/>
      <w:marRight w:val="0"/>
      <w:marTop w:val="0"/>
      <w:marBottom w:val="0"/>
      <w:divBdr>
        <w:top w:val="none" w:sz="0" w:space="0" w:color="auto"/>
        <w:left w:val="none" w:sz="0" w:space="0" w:color="auto"/>
        <w:bottom w:val="none" w:sz="0" w:space="0" w:color="auto"/>
        <w:right w:val="none" w:sz="0" w:space="0" w:color="auto"/>
      </w:divBdr>
    </w:div>
    <w:div w:id="261765303">
      <w:bodyDiv w:val="1"/>
      <w:marLeft w:val="0"/>
      <w:marRight w:val="0"/>
      <w:marTop w:val="0"/>
      <w:marBottom w:val="0"/>
      <w:divBdr>
        <w:top w:val="none" w:sz="0" w:space="0" w:color="auto"/>
        <w:left w:val="none" w:sz="0" w:space="0" w:color="auto"/>
        <w:bottom w:val="none" w:sz="0" w:space="0" w:color="auto"/>
        <w:right w:val="none" w:sz="0" w:space="0" w:color="auto"/>
      </w:divBdr>
    </w:div>
    <w:div w:id="269898132">
      <w:bodyDiv w:val="1"/>
      <w:marLeft w:val="0"/>
      <w:marRight w:val="0"/>
      <w:marTop w:val="0"/>
      <w:marBottom w:val="0"/>
      <w:divBdr>
        <w:top w:val="none" w:sz="0" w:space="0" w:color="auto"/>
        <w:left w:val="none" w:sz="0" w:space="0" w:color="auto"/>
        <w:bottom w:val="none" w:sz="0" w:space="0" w:color="auto"/>
        <w:right w:val="none" w:sz="0" w:space="0" w:color="auto"/>
      </w:divBdr>
    </w:div>
    <w:div w:id="276497487">
      <w:bodyDiv w:val="1"/>
      <w:marLeft w:val="0"/>
      <w:marRight w:val="0"/>
      <w:marTop w:val="0"/>
      <w:marBottom w:val="0"/>
      <w:divBdr>
        <w:top w:val="none" w:sz="0" w:space="0" w:color="auto"/>
        <w:left w:val="none" w:sz="0" w:space="0" w:color="auto"/>
        <w:bottom w:val="none" w:sz="0" w:space="0" w:color="auto"/>
        <w:right w:val="none" w:sz="0" w:space="0" w:color="auto"/>
      </w:divBdr>
    </w:div>
    <w:div w:id="280503733">
      <w:bodyDiv w:val="1"/>
      <w:marLeft w:val="0"/>
      <w:marRight w:val="0"/>
      <w:marTop w:val="0"/>
      <w:marBottom w:val="0"/>
      <w:divBdr>
        <w:top w:val="none" w:sz="0" w:space="0" w:color="auto"/>
        <w:left w:val="none" w:sz="0" w:space="0" w:color="auto"/>
        <w:bottom w:val="none" w:sz="0" w:space="0" w:color="auto"/>
        <w:right w:val="none" w:sz="0" w:space="0" w:color="auto"/>
      </w:divBdr>
    </w:div>
    <w:div w:id="283122600">
      <w:bodyDiv w:val="1"/>
      <w:marLeft w:val="0"/>
      <w:marRight w:val="0"/>
      <w:marTop w:val="0"/>
      <w:marBottom w:val="0"/>
      <w:divBdr>
        <w:top w:val="none" w:sz="0" w:space="0" w:color="auto"/>
        <w:left w:val="none" w:sz="0" w:space="0" w:color="auto"/>
        <w:bottom w:val="none" w:sz="0" w:space="0" w:color="auto"/>
        <w:right w:val="none" w:sz="0" w:space="0" w:color="auto"/>
      </w:divBdr>
      <w:divsChild>
        <w:div w:id="648558126">
          <w:marLeft w:val="1080"/>
          <w:marRight w:val="0"/>
          <w:marTop w:val="0"/>
          <w:marBottom w:val="0"/>
          <w:divBdr>
            <w:top w:val="none" w:sz="0" w:space="0" w:color="auto"/>
            <w:left w:val="none" w:sz="0" w:space="0" w:color="auto"/>
            <w:bottom w:val="none" w:sz="0" w:space="0" w:color="auto"/>
            <w:right w:val="none" w:sz="0" w:space="0" w:color="auto"/>
          </w:divBdr>
        </w:div>
      </w:divsChild>
    </w:div>
    <w:div w:id="298804142">
      <w:bodyDiv w:val="1"/>
      <w:marLeft w:val="0"/>
      <w:marRight w:val="0"/>
      <w:marTop w:val="0"/>
      <w:marBottom w:val="0"/>
      <w:divBdr>
        <w:top w:val="none" w:sz="0" w:space="0" w:color="auto"/>
        <w:left w:val="none" w:sz="0" w:space="0" w:color="auto"/>
        <w:bottom w:val="none" w:sz="0" w:space="0" w:color="auto"/>
        <w:right w:val="none" w:sz="0" w:space="0" w:color="auto"/>
      </w:divBdr>
    </w:div>
    <w:div w:id="304970656">
      <w:bodyDiv w:val="1"/>
      <w:marLeft w:val="0"/>
      <w:marRight w:val="0"/>
      <w:marTop w:val="0"/>
      <w:marBottom w:val="0"/>
      <w:divBdr>
        <w:top w:val="none" w:sz="0" w:space="0" w:color="auto"/>
        <w:left w:val="none" w:sz="0" w:space="0" w:color="auto"/>
        <w:bottom w:val="none" w:sz="0" w:space="0" w:color="auto"/>
        <w:right w:val="none" w:sz="0" w:space="0" w:color="auto"/>
      </w:divBdr>
    </w:div>
    <w:div w:id="307395486">
      <w:bodyDiv w:val="1"/>
      <w:marLeft w:val="0"/>
      <w:marRight w:val="0"/>
      <w:marTop w:val="0"/>
      <w:marBottom w:val="0"/>
      <w:divBdr>
        <w:top w:val="none" w:sz="0" w:space="0" w:color="auto"/>
        <w:left w:val="none" w:sz="0" w:space="0" w:color="auto"/>
        <w:bottom w:val="none" w:sz="0" w:space="0" w:color="auto"/>
        <w:right w:val="none" w:sz="0" w:space="0" w:color="auto"/>
      </w:divBdr>
    </w:div>
    <w:div w:id="307638327">
      <w:bodyDiv w:val="1"/>
      <w:marLeft w:val="0"/>
      <w:marRight w:val="0"/>
      <w:marTop w:val="0"/>
      <w:marBottom w:val="0"/>
      <w:divBdr>
        <w:top w:val="none" w:sz="0" w:space="0" w:color="auto"/>
        <w:left w:val="none" w:sz="0" w:space="0" w:color="auto"/>
        <w:bottom w:val="none" w:sz="0" w:space="0" w:color="auto"/>
        <w:right w:val="none" w:sz="0" w:space="0" w:color="auto"/>
      </w:divBdr>
    </w:div>
    <w:div w:id="309092741">
      <w:bodyDiv w:val="1"/>
      <w:marLeft w:val="0"/>
      <w:marRight w:val="0"/>
      <w:marTop w:val="0"/>
      <w:marBottom w:val="0"/>
      <w:divBdr>
        <w:top w:val="none" w:sz="0" w:space="0" w:color="auto"/>
        <w:left w:val="none" w:sz="0" w:space="0" w:color="auto"/>
        <w:bottom w:val="none" w:sz="0" w:space="0" w:color="auto"/>
        <w:right w:val="none" w:sz="0" w:space="0" w:color="auto"/>
      </w:divBdr>
    </w:div>
    <w:div w:id="309605037">
      <w:bodyDiv w:val="1"/>
      <w:marLeft w:val="0"/>
      <w:marRight w:val="0"/>
      <w:marTop w:val="0"/>
      <w:marBottom w:val="0"/>
      <w:divBdr>
        <w:top w:val="none" w:sz="0" w:space="0" w:color="auto"/>
        <w:left w:val="none" w:sz="0" w:space="0" w:color="auto"/>
        <w:bottom w:val="none" w:sz="0" w:space="0" w:color="auto"/>
        <w:right w:val="none" w:sz="0" w:space="0" w:color="auto"/>
      </w:divBdr>
    </w:div>
    <w:div w:id="317150464">
      <w:bodyDiv w:val="1"/>
      <w:marLeft w:val="0"/>
      <w:marRight w:val="0"/>
      <w:marTop w:val="0"/>
      <w:marBottom w:val="0"/>
      <w:divBdr>
        <w:top w:val="none" w:sz="0" w:space="0" w:color="auto"/>
        <w:left w:val="none" w:sz="0" w:space="0" w:color="auto"/>
        <w:bottom w:val="none" w:sz="0" w:space="0" w:color="auto"/>
        <w:right w:val="none" w:sz="0" w:space="0" w:color="auto"/>
      </w:divBdr>
    </w:div>
    <w:div w:id="319846262">
      <w:bodyDiv w:val="1"/>
      <w:marLeft w:val="0"/>
      <w:marRight w:val="0"/>
      <w:marTop w:val="0"/>
      <w:marBottom w:val="0"/>
      <w:divBdr>
        <w:top w:val="none" w:sz="0" w:space="0" w:color="auto"/>
        <w:left w:val="none" w:sz="0" w:space="0" w:color="auto"/>
        <w:bottom w:val="none" w:sz="0" w:space="0" w:color="auto"/>
        <w:right w:val="none" w:sz="0" w:space="0" w:color="auto"/>
      </w:divBdr>
    </w:div>
    <w:div w:id="323052565">
      <w:bodyDiv w:val="1"/>
      <w:marLeft w:val="0"/>
      <w:marRight w:val="0"/>
      <w:marTop w:val="0"/>
      <w:marBottom w:val="0"/>
      <w:divBdr>
        <w:top w:val="none" w:sz="0" w:space="0" w:color="auto"/>
        <w:left w:val="none" w:sz="0" w:space="0" w:color="auto"/>
        <w:bottom w:val="none" w:sz="0" w:space="0" w:color="auto"/>
        <w:right w:val="none" w:sz="0" w:space="0" w:color="auto"/>
      </w:divBdr>
    </w:div>
    <w:div w:id="323317692">
      <w:bodyDiv w:val="1"/>
      <w:marLeft w:val="0"/>
      <w:marRight w:val="0"/>
      <w:marTop w:val="0"/>
      <w:marBottom w:val="0"/>
      <w:divBdr>
        <w:top w:val="none" w:sz="0" w:space="0" w:color="auto"/>
        <w:left w:val="none" w:sz="0" w:space="0" w:color="auto"/>
        <w:bottom w:val="none" w:sz="0" w:space="0" w:color="auto"/>
        <w:right w:val="none" w:sz="0" w:space="0" w:color="auto"/>
      </w:divBdr>
    </w:div>
    <w:div w:id="328486832">
      <w:bodyDiv w:val="1"/>
      <w:marLeft w:val="0"/>
      <w:marRight w:val="0"/>
      <w:marTop w:val="0"/>
      <w:marBottom w:val="0"/>
      <w:divBdr>
        <w:top w:val="none" w:sz="0" w:space="0" w:color="auto"/>
        <w:left w:val="none" w:sz="0" w:space="0" w:color="auto"/>
        <w:bottom w:val="none" w:sz="0" w:space="0" w:color="auto"/>
        <w:right w:val="none" w:sz="0" w:space="0" w:color="auto"/>
      </w:divBdr>
    </w:div>
    <w:div w:id="329211516">
      <w:bodyDiv w:val="1"/>
      <w:marLeft w:val="0"/>
      <w:marRight w:val="0"/>
      <w:marTop w:val="0"/>
      <w:marBottom w:val="0"/>
      <w:divBdr>
        <w:top w:val="none" w:sz="0" w:space="0" w:color="auto"/>
        <w:left w:val="none" w:sz="0" w:space="0" w:color="auto"/>
        <w:bottom w:val="none" w:sz="0" w:space="0" w:color="auto"/>
        <w:right w:val="none" w:sz="0" w:space="0" w:color="auto"/>
      </w:divBdr>
    </w:div>
    <w:div w:id="331766300">
      <w:bodyDiv w:val="1"/>
      <w:marLeft w:val="0"/>
      <w:marRight w:val="0"/>
      <w:marTop w:val="0"/>
      <w:marBottom w:val="0"/>
      <w:divBdr>
        <w:top w:val="none" w:sz="0" w:space="0" w:color="auto"/>
        <w:left w:val="none" w:sz="0" w:space="0" w:color="auto"/>
        <w:bottom w:val="none" w:sz="0" w:space="0" w:color="auto"/>
        <w:right w:val="none" w:sz="0" w:space="0" w:color="auto"/>
      </w:divBdr>
    </w:div>
    <w:div w:id="335575122">
      <w:bodyDiv w:val="1"/>
      <w:marLeft w:val="0"/>
      <w:marRight w:val="0"/>
      <w:marTop w:val="0"/>
      <w:marBottom w:val="0"/>
      <w:divBdr>
        <w:top w:val="none" w:sz="0" w:space="0" w:color="auto"/>
        <w:left w:val="none" w:sz="0" w:space="0" w:color="auto"/>
        <w:bottom w:val="none" w:sz="0" w:space="0" w:color="auto"/>
        <w:right w:val="none" w:sz="0" w:space="0" w:color="auto"/>
      </w:divBdr>
    </w:div>
    <w:div w:id="337731060">
      <w:bodyDiv w:val="1"/>
      <w:marLeft w:val="0"/>
      <w:marRight w:val="0"/>
      <w:marTop w:val="0"/>
      <w:marBottom w:val="0"/>
      <w:divBdr>
        <w:top w:val="none" w:sz="0" w:space="0" w:color="auto"/>
        <w:left w:val="none" w:sz="0" w:space="0" w:color="auto"/>
        <w:bottom w:val="none" w:sz="0" w:space="0" w:color="auto"/>
        <w:right w:val="none" w:sz="0" w:space="0" w:color="auto"/>
      </w:divBdr>
    </w:div>
    <w:div w:id="359473775">
      <w:bodyDiv w:val="1"/>
      <w:marLeft w:val="0"/>
      <w:marRight w:val="0"/>
      <w:marTop w:val="0"/>
      <w:marBottom w:val="0"/>
      <w:divBdr>
        <w:top w:val="none" w:sz="0" w:space="0" w:color="auto"/>
        <w:left w:val="none" w:sz="0" w:space="0" w:color="auto"/>
        <w:bottom w:val="none" w:sz="0" w:space="0" w:color="auto"/>
        <w:right w:val="none" w:sz="0" w:space="0" w:color="auto"/>
      </w:divBdr>
    </w:div>
    <w:div w:id="365983970">
      <w:bodyDiv w:val="1"/>
      <w:marLeft w:val="0"/>
      <w:marRight w:val="0"/>
      <w:marTop w:val="0"/>
      <w:marBottom w:val="0"/>
      <w:divBdr>
        <w:top w:val="none" w:sz="0" w:space="0" w:color="auto"/>
        <w:left w:val="none" w:sz="0" w:space="0" w:color="auto"/>
        <w:bottom w:val="none" w:sz="0" w:space="0" w:color="auto"/>
        <w:right w:val="none" w:sz="0" w:space="0" w:color="auto"/>
      </w:divBdr>
    </w:div>
    <w:div w:id="376319114">
      <w:bodyDiv w:val="1"/>
      <w:marLeft w:val="0"/>
      <w:marRight w:val="0"/>
      <w:marTop w:val="0"/>
      <w:marBottom w:val="0"/>
      <w:divBdr>
        <w:top w:val="none" w:sz="0" w:space="0" w:color="auto"/>
        <w:left w:val="none" w:sz="0" w:space="0" w:color="auto"/>
        <w:bottom w:val="none" w:sz="0" w:space="0" w:color="auto"/>
        <w:right w:val="none" w:sz="0" w:space="0" w:color="auto"/>
      </w:divBdr>
    </w:div>
    <w:div w:id="377168716">
      <w:bodyDiv w:val="1"/>
      <w:marLeft w:val="0"/>
      <w:marRight w:val="0"/>
      <w:marTop w:val="0"/>
      <w:marBottom w:val="0"/>
      <w:divBdr>
        <w:top w:val="none" w:sz="0" w:space="0" w:color="auto"/>
        <w:left w:val="none" w:sz="0" w:space="0" w:color="auto"/>
        <w:bottom w:val="none" w:sz="0" w:space="0" w:color="auto"/>
        <w:right w:val="none" w:sz="0" w:space="0" w:color="auto"/>
      </w:divBdr>
    </w:div>
    <w:div w:id="377554859">
      <w:bodyDiv w:val="1"/>
      <w:marLeft w:val="0"/>
      <w:marRight w:val="0"/>
      <w:marTop w:val="0"/>
      <w:marBottom w:val="0"/>
      <w:divBdr>
        <w:top w:val="none" w:sz="0" w:space="0" w:color="auto"/>
        <w:left w:val="none" w:sz="0" w:space="0" w:color="auto"/>
        <w:bottom w:val="none" w:sz="0" w:space="0" w:color="auto"/>
        <w:right w:val="none" w:sz="0" w:space="0" w:color="auto"/>
      </w:divBdr>
    </w:div>
    <w:div w:id="384641794">
      <w:bodyDiv w:val="1"/>
      <w:marLeft w:val="0"/>
      <w:marRight w:val="0"/>
      <w:marTop w:val="0"/>
      <w:marBottom w:val="0"/>
      <w:divBdr>
        <w:top w:val="none" w:sz="0" w:space="0" w:color="auto"/>
        <w:left w:val="none" w:sz="0" w:space="0" w:color="auto"/>
        <w:bottom w:val="none" w:sz="0" w:space="0" w:color="auto"/>
        <w:right w:val="none" w:sz="0" w:space="0" w:color="auto"/>
      </w:divBdr>
    </w:div>
    <w:div w:id="392626606">
      <w:bodyDiv w:val="1"/>
      <w:marLeft w:val="0"/>
      <w:marRight w:val="0"/>
      <w:marTop w:val="0"/>
      <w:marBottom w:val="0"/>
      <w:divBdr>
        <w:top w:val="none" w:sz="0" w:space="0" w:color="auto"/>
        <w:left w:val="none" w:sz="0" w:space="0" w:color="auto"/>
        <w:bottom w:val="none" w:sz="0" w:space="0" w:color="auto"/>
        <w:right w:val="none" w:sz="0" w:space="0" w:color="auto"/>
      </w:divBdr>
    </w:div>
    <w:div w:id="398984348">
      <w:bodyDiv w:val="1"/>
      <w:marLeft w:val="0"/>
      <w:marRight w:val="0"/>
      <w:marTop w:val="0"/>
      <w:marBottom w:val="0"/>
      <w:divBdr>
        <w:top w:val="none" w:sz="0" w:space="0" w:color="auto"/>
        <w:left w:val="none" w:sz="0" w:space="0" w:color="auto"/>
        <w:bottom w:val="none" w:sz="0" w:space="0" w:color="auto"/>
        <w:right w:val="none" w:sz="0" w:space="0" w:color="auto"/>
      </w:divBdr>
    </w:div>
    <w:div w:id="408117568">
      <w:bodyDiv w:val="1"/>
      <w:marLeft w:val="0"/>
      <w:marRight w:val="0"/>
      <w:marTop w:val="0"/>
      <w:marBottom w:val="0"/>
      <w:divBdr>
        <w:top w:val="none" w:sz="0" w:space="0" w:color="auto"/>
        <w:left w:val="none" w:sz="0" w:space="0" w:color="auto"/>
        <w:bottom w:val="none" w:sz="0" w:space="0" w:color="auto"/>
        <w:right w:val="none" w:sz="0" w:space="0" w:color="auto"/>
      </w:divBdr>
    </w:div>
    <w:div w:id="408769893">
      <w:bodyDiv w:val="1"/>
      <w:marLeft w:val="0"/>
      <w:marRight w:val="0"/>
      <w:marTop w:val="0"/>
      <w:marBottom w:val="0"/>
      <w:divBdr>
        <w:top w:val="none" w:sz="0" w:space="0" w:color="auto"/>
        <w:left w:val="none" w:sz="0" w:space="0" w:color="auto"/>
        <w:bottom w:val="none" w:sz="0" w:space="0" w:color="auto"/>
        <w:right w:val="none" w:sz="0" w:space="0" w:color="auto"/>
      </w:divBdr>
    </w:div>
    <w:div w:id="412554679">
      <w:bodyDiv w:val="1"/>
      <w:marLeft w:val="0"/>
      <w:marRight w:val="0"/>
      <w:marTop w:val="0"/>
      <w:marBottom w:val="0"/>
      <w:divBdr>
        <w:top w:val="none" w:sz="0" w:space="0" w:color="auto"/>
        <w:left w:val="none" w:sz="0" w:space="0" w:color="auto"/>
        <w:bottom w:val="none" w:sz="0" w:space="0" w:color="auto"/>
        <w:right w:val="none" w:sz="0" w:space="0" w:color="auto"/>
      </w:divBdr>
    </w:div>
    <w:div w:id="424961052">
      <w:bodyDiv w:val="1"/>
      <w:marLeft w:val="0"/>
      <w:marRight w:val="0"/>
      <w:marTop w:val="0"/>
      <w:marBottom w:val="0"/>
      <w:divBdr>
        <w:top w:val="none" w:sz="0" w:space="0" w:color="auto"/>
        <w:left w:val="none" w:sz="0" w:space="0" w:color="auto"/>
        <w:bottom w:val="none" w:sz="0" w:space="0" w:color="auto"/>
        <w:right w:val="none" w:sz="0" w:space="0" w:color="auto"/>
      </w:divBdr>
    </w:div>
    <w:div w:id="426510612">
      <w:bodyDiv w:val="1"/>
      <w:marLeft w:val="0"/>
      <w:marRight w:val="0"/>
      <w:marTop w:val="0"/>
      <w:marBottom w:val="0"/>
      <w:divBdr>
        <w:top w:val="none" w:sz="0" w:space="0" w:color="auto"/>
        <w:left w:val="none" w:sz="0" w:space="0" w:color="auto"/>
        <w:bottom w:val="none" w:sz="0" w:space="0" w:color="auto"/>
        <w:right w:val="none" w:sz="0" w:space="0" w:color="auto"/>
      </w:divBdr>
    </w:div>
    <w:div w:id="427701645">
      <w:bodyDiv w:val="1"/>
      <w:marLeft w:val="0"/>
      <w:marRight w:val="0"/>
      <w:marTop w:val="0"/>
      <w:marBottom w:val="0"/>
      <w:divBdr>
        <w:top w:val="none" w:sz="0" w:space="0" w:color="auto"/>
        <w:left w:val="none" w:sz="0" w:space="0" w:color="auto"/>
        <w:bottom w:val="none" w:sz="0" w:space="0" w:color="auto"/>
        <w:right w:val="none" w:sz="0" w:space="0" w:color="auto"/>
      </w:divBdr>
    </w:div>
    <w:div w:id="441264744">
      <w:bodyDiv w:val="1"/>
      <w:marLeft w:val="0"/>
      <w:marRight w:val="0"/>
      <w:marTop w:val="0"/>
      <w:marBottom w:val="0"/>
      <w:divBdr>
        <w:top w:val="none" w:sz="0" w:space="0" w:color="auto"/>
        <w:left w:val="none" w:sz="0" w:space="0" w:color="auto"/>
        <w:bottom w:val="none" w:sz="0" w:space="0" w:color="auto"/>
        <w:right w:val="none" w:sz="0" w:space="0" w:color="auto"/>
      </w:divBdr>
    </w:div>
    <w:div w:id="449859000">
      <w:bodyDiv w:val="1"/>
      <w:marLeft w:val="0"/>
      <w:marRight w:val="0"/>
      <w:marTop w:val="0"/>
      <w:marBottom w:val="0"/>
      <w:divBdr>
        <w:top w:val="none" w:sz="0" w:space="0" w:color="auto"/>
        <w:left w:val="none" w:sz="0" w:space="0" w:color="auto"/>
        <w:bottom w:val="none" w:sz="0" w:space="0" w:color="auto"/>
        <w:right w:val="none" w:sz="0" w:space="0" w:color="auto"/>
      </w:divBdr>
    </w:div>
    <w:div w:id="465241395">
      <w:bodyDiv w:val="1"/>
      <w:marLeft w:val="0"/>
      <w:marRight w:val="0"/>
      <w:marTop w:val="0"/>
      <w:marBottom w:val="0"/>
      <w:divBdr>
        <w:top w:val="none" w:sz="0" w:space="0" w:color="auto"/>
        <w:left w:val="none" w:sz="0" w:space="0" w:color="auto"/>
        <w:bottom w:val="none" w:sz="0" w:space="0" w:color="auto"/>
        <w:right w:val="none" w:sz="0" w:space="0" w:color="auto"/>
      </w:divBdr>
    </w:div>
    <w:div w:id="468209420">
      <w:bodyDiv w:val="1"/>
      <w:marLeft w:val="0"/>
      <w:marRight w:val="0"/>
      <w:marTop w:val="0"/>
      <w:marBottom w:val="0"/>
      <w:divBdr>
        <w:top w:val="none" w:sz="0" w:space="0" w:color="auto"/>
        <w:left w:val="none" w:sz="0" w:space="0" w:color="auto"/>
        <w:bottom w:val="none" w:sz="0" w:space="0" w:color="auto"/>
        <w:right w:val="none" w:sz="0" w:space="0" w:color="auto"/>
      </w:divBdr>
    </w:div>
    <w:div w:id="468863654">
      <w:bodyDiv w:val="1"/>
      <w:marLeft w:val="0"/>
      <w:marRight w:val="0"/>
      <w:marTop w:val="0"/>
      <w:marBottom w:val="0"/>
      <w:divBdr>
        <w:top w:val="none" w:sz="0" w:space="0" w:color="auto"/>
        <w:left w:val="none" w:sz="0" w:space="0" w:color="auto"/>
        <w:bottom w:val="none" w:sz="0" w:space="0" w:color="auto"/>
        <w:right w:val="none" w:sz="0" w:space="0" w:color="auto"/>
      </w:divBdr>
    </w:div>
    <w:div w:id="469178713">
      <w:bodyDiv w:val="1"/>
      <w:marLeft w:val="0"/>
      <w:marRight w:val="0"/>
      <w:marTop w:val="0"/>
      <w:marBottom w:val="0"/>
      <w:divBdr>
        <w:top w:val="none" w:sz="0" w:space="0" w:color="auto"/>
        <w:left w:val="none" w:sz="0" w:space="0" w:color="auto"/>
        <w:bottom w:val="none" w:sz="0" w:space="0" w:color="auto"/>
        <w:right w:val="none" w:sz="0" w:space="0" w:color="auto"/>
      </w:divBdr>
    </w:div>
    <w:div w:id="482621458">
      <w:bodyDiv w:val="1"/>
      <w:marLeft w:val="0"/>
      <w:marRight w:val="0"/>
      <w:marTop w:val="0"/>
      <w:marBottom w:val="0"/>
      <w:divBdr>
        <w:top w:val="none" w:sz="0" w:space="0" w:color="auto"/>
        <w:left w:val="none" w:sz="0" w:space="0" w:color="auto"/>
        <w:bottom w:val="none" w:sz="0" w:space="0" w:color="auto"/>
        <w:right w:val="none" w:sz="0" w:space="0" w:color="auto"/>
      </w:divBdr>
    </w:div>
    <w:div w:id="483350995">
      <w:bodyDiv w:val="1"/>
      <w:marLeft w:val="0"/>
      <w:marRight w:val="0"/>
      <w:marTop w:val="0"/>
      <w:marBottom w:val="0"/>
      <w:divBdr>
        <w:top w:val="none" w:sz="0" w:space="0" w:color="auto"/>
        <w:left w:val="none" w:sz="0" w:space="0" w:color="auto"/>
        <w:bottom w:val="none" w:sz="0" w:space="0" w:color="auto"/>
        <w:right w:val="none" w:sz="0" w:space="0" w:color="auto"/>
      </w:divBdr>
    </w:div>
    <w:div w:id="489293031">
      <w:bodyDiv w:val="1"/>
      <w:marLeft w:val="0"/>
      <w:marRight w:val="0"/>
      <w:marTop w:val="0"/>
      <w:marBottom w:val="0"/>
      <w:divBdr>
        <w:top w:val="none" w:sz="0" w:space="0" w:color="auto"/>
        <w:left w:val="none" w:sz="0" w:space="0" w:color="auto"/>
        <w:bottom w:val="none" w:sz="0" w:space="0" w:color="auto"/>
        <w:right w:val="none" w:sz="0" w:space="0" w:color="auto"/>
      </w:divBdr>
    </w:div>
    <w:div w:id="493492009">
      <w:bodyDiv w:val="1"/>
      <w:marLeft w:val="0"/>
      <w:marRight w:val="0"/>
      <w:marTop w:val="0"/>
      <w:marBottom w:val="0"/>
      <w:divBdr>
        <w:top w:val="none" w:sz="0" w:space="0" w:color="auto"/>
        <w:left w:val="none" w:sz="0" w:space="0" w:color="auto"/>
        <w:bottom w:val="none" w:sz="0" w:space="0" w:color="auto"/>
        <w:right w:val="none" w:sz="0" w:space="0" w:color="auto"/>
      </w:divBdr>
    </w:div>
    <w:div w:id="496458707">
      <w:bodyDiv w:val="1"/>
      <w:marLeft w:val="0"/>
      <w:marRight w:val="0"/>
      <w:marTop w:val="0"/>
      <w:marBottom w:val="0"/>
      <w:divBdr>
        <w:top w:val="none" w:sz="0" w:space="0" w:color="auto"/>
        <w:left w:val="none" w:sz="0" w:space="0" w:color="auto"/>
        <w:bottom w:val="none" w:sz="0" w:space="0" w:color="auto"/>
        <w:right w:val="none" w:sz="0" w:space="0" w:color="auto"/>
      </w:divBdr>
    </w:div>
    <w:div w:id="499004008">
      <w:bodyDiv w:val="1"/>
      <w:marLeft w:val="0"/>
      <w:marRight w:val="0"/>
      <w:marTop w:val="0"/>
      <w:marBottom w:val="0"/>
      <w:divBdr>
        <w:top w:val="none" w:sz="0" w:space="0" w:color="auto"/>
        <w:left w:val="none" w:sz="0" w:space="0" w:color="auto"/>
        <w:bottom w:val="none" w:sz="0" w:space="0" w:color="auto"/>
        <w:right w:val="none" w:sz="0" w:space="0" w:color="auto"/>
      </w:divBdr>
    </w:div>
    <w:div w:id="502472428">
      <w:bodyDiv w:val="1"/>
      <w:marLeft w:val="0"/>
      <w:marRight w:val="0"/>
      <w:marTop w:val="0"/>
      <w:marBottom w:val="0"/>
      <w:divBdr>
        <w:top w:val="none" w:sz="0" w:space="0" w:color="auto"/>
        <w:left w:val="none" w:sz="0" w:space="0" w:color="auto"/>
        <w:bottom w:val="none" w:sz="0" w:space="0" w:color="auto"/>
        <w:right w:val="none" w:sz="0" w:space="0" w:color="auto"/>
      </w:divBdr>
    </w:div>
    <w:div w:id="503671014">
      <w:bodyDiv w:val="1"/>
      <w:marLeft w:val="0"/>
      <w:marRight w:val="0"/>
      <w:marTop w:val="0"/>
      <w:marBottom w:val="0"/>
      <w:divBdr>
        <w:top w:val="none" w:sz="0" w:space="0" w:color="auto"/>
        <w:left w:val="none" w:sz="0" w:space="0" w:color="auto"/>
        <w:bottom w:val="none" w:sz="0" w:space="0" w:color="auto"/>
        <w:right w:val="none" w:sz="0" w:space="0" w:color="auto"/>
      </w:divBdr>
    </w:div>
    <w:div w:id="504831659">
      <w:bodyDiv w:val="1"/>
      <w:marLeft w:val="0"/>
      <w:marRight w:val="0"/>
      <w:marTop w:val="0"/>
      <w:marBottom w:val="0"/>
      <w:divBdr>
        <w:top w:val="none" w:sz="0" w:space="0" w:color="auto"/>
        <w:left w:val="none" w:sz="0" w:space="0" w:color="auto"/>
        <w:bottom w:val="none" w:sz="0" w:space="0" w:color="auto"/>
        <w:right w:val="none" w:sz="0" w:space="0" w:color="auto"/>
      </w:divBdr>
    </w:div>
    <w:div w:id="506755086">
      <w:bodyDiv w:val="1"/>
      <w:marLeft w:val="0"/>
      <w:marRight w:val="0"/>
      <w:marTop w:val="0"/>
      <w:marBottom w:val="0"/>
      <w:divBdr>
        <w:top w:val="none" w:sz="0" w:space="0" w:color="auto"/>
        <w:left w:val="none" w:sz="0" w:space="0" w:color="auto"/>
        <w:bottom w:val="none" w:sz="0" w:space="0" w:color="auto"/>
        <w:right w:val="none" w:sz="0" w:space="0" w:color="auto"/>
      </w:divBdr>
    </w:div>
    <w:div w:id="507644616">
      <w:bodyDiv w:val="1"/>
      <w:marLeft w:val="0"/>
      <w:marRight w:val="0"/>
      <w:marTop w:val="0"/>
      <w:marBottom w:val="0"/>
      <w:divBdr>
        <w:top w:val="none" w:sz="0" w:space="0" w:color="auto"/>
        <w:left w:val="none" w:sz="0" w:space="0" w:color="auto"/>
        <w:bottom w:val="none" w:sz="0" w:space="0" w:color="auto"/>
        <w:right w:val="none" w:sz="0" w:space="0" w:color="auto"/>
      </w:divBdr>
    </w:div>
    <w:div w:id="521283193">
      <w:bodyDiv w:val="1"/>
      <w:marLeft w:val="0"/>
      <w:marRight w:val="0"/>
      <w:marTop w:val="0"/>
      <w:marBottom w:val="0"/>
      <w:divBdr>
        <w:top w:val="none" w:sz="0" w:space="0" w:color="auto"/>
        <w:left w:val="none" w:sz="0" w:space="0" w:color="auto"/>
        <w:bottom w:val="none" w:sz="0" w:space="0" w:color="auto"/>
        <w:right w:val="none" w:sz="0" w:space="0" w:color="auto"/>
      </w:divBdr>
    </w:div>
    <w:div w:id="525677918">
      <w:bodyDiv w:val="1"/>
      <w:marLeft w:val="0"/>
      <w:marRight w:val="0"/>
      <w:marTop w:val="0"/>
      <w:marBottom w:val="0"/>
      <w:divBdr>
        <w:top w:val="none" w:sz="0" w:space="0" w:color="auto"/>
        <w:left w:val="none" w:sz="0" w:space="0" w:color="auto"/>
        <w:bottom w:val="none" w:sz="0" w:space="0" w:color="auto"/>
        <w:right w:val="none" w:sz="0" w:space="0" w:color="auto"/>
      </w:divBdr>
    </w:div>
    <w:div w:id="526454321">
      <w:bodyDiv w:val="1"/>
      <w:marLeft w:val="0"/>
      <w:marRight w:val="0"/>
      <w:marTop w:val="0"/>
      <w:marBottom w:val="0"/>
      <w:divBdr>
        <w:top w:val="none" w:sz="0" w:space="0" w:color="auto"/>
        <w:left w:val="none" w:sz="0" w:space="0" w:color="auto"/>
        <w:bottom w:val="none" w:sz="0" w:space="0" w:color="auto"/>
        <w:right w:val="none" w:sz="0" w:space="0" w:color="auto"/>
      </w:divBdr>
    </w:div>
    <w:div w:id="530192615">
      <w:bodyDiv w:val="1"/>
      <w:marLeft w:val="0"/>
      <w:marRight w:val="0"/>
      <w:marTop w:val="0"/>
      <w:marBottom w:val="0"/>
      <w:divBdr>
        <w:top w:val="none" w:sz="0" w:space="0" w:color="auto"/>
        <w:left w:val="none" w:sz="0" w:space="0" w:color="auto"/>
        <w:bottom w:val="none" w:sz="0" w:space="0" w:color="auto"/>
        <w:right w:val="none" w:sz="0" w:space="0" w:color="auto"/>
      </w:divBdr>
    </w:div>
    <w:div w:id="531767220">
      <w:bodyDiv w:val="1"/>
      <w:marLeft w:val="0"/>
      <w:marRight w:val="0"/>
      <w:marTop w:val="0"/>
      <w:marBottom w:val="0"/>
      <w:divBdr>
        <w:top w:val="none" w:sz="0" w:space="0" w:color="auto"/>
        <w:left w:val="none" w:sz="0" w:space="0" w:color="auto"/>
        <w:bottom w:val="none" w:sz="0" w:space="0" w:color="auto"/>
        <w:right w:val="none" w:sz="0" w:space="0" w:color="auto"/>
      </w:divBdr>
    </w:div>
    <w:div w:id="536237468">
      <w:bodyDiv w:val="1"/>
      <w:marLeft w:val="0"/>
      <w:marRight w:val="0"/>
      <w:marTop w:val="0"/>
      <w:marBottom w:val="0"/>
      <w:divBdr>
        <w:top w:val="none" w:sz="0" w:space="0" w:color="auto"/>
        <w:left w:val="none" w:sz="0" w:space="0" w:color="auto"/>
        <w:bottom w:val="none" w:sz="0" w:space="0" w:color="auto"/>
        <w:right w:val="none" w:sz="0" w:space="0" w:color="auto"/>
      </w:divBdr>
    </w:div>
    <w:div w:id="539320668">
      <w:bodyDiv w:val="1"/>
      <w:marLeft w:val="0"/>
      <w:marRight w:val="0"/>
      <w:marTop w:val="0"/>
      <w:marBottom w:val="0"/>
      <w:divBdr>
        <w:top w:val="none" w:sz="0" w:space="0" w:color="auto"/>
        <w:left w:val="none" w:sz="0" w:space="0" w:color="auto"/>
        <w:bottom w:val="none" w:sz="0" w:space="0" w:color="auto"/>
        <w:right w:val="none" w:sz="0" w:space="0" w:color="auto"/>
      </w:divBdr>
    </w:div>
    <w:div w:id="543758140">
      <w:bodyDiv w:val="1"/>
      <w:marLeft w:val="0"/>
      <w:marRight w:val="0"/>
      <w:marTop w:val="0"/>
      <w:marBottom w:val="0"/>
      <w:divBdr>
        <w:top w:val="none" w:sz="0" w:space="0" w:color="auto"/>
        <w:left w:val="none" w:sz="0" w:space="0" w:color="auto"/>
        <w:bottom w:val="none" w:sz="0" w:space="0" w:color="auto"/>
        <w:right w:val="none" w:sz="0" w:space="0" w:color="auto"/>
      </w:divBdr>
    </w:div>
    <w:div w:id="545677013">
      <w:bodyDiv w:val="1"/>
      <w:marLeft w:val="0"/>
      <w:marRight w:val="0"/>
      <w:marTop w:val="0"/>
      <w:marBottom w:val="0"/>
      <w:divBdr>
        <w:top w:val="none" w:sz="0" w:space="0" w:color="auto"/>
        <w:left w:val="none" w:sz="0" w:space="0" w:color="auto"/>
        <w:bottom w:val="none" w:sz="0" w:space="0" w:color="auto"/>
        <w:right w:val="none" w:sz="0" w:space="0" w:color="auto"/>
      </w:divBdr>
    </w:div>
    <w:div w:id="554046884">
      <w:bodyDiv w:val="1"/>
      <w:marLeft w:val="0"/>
      <w:marRight w:val="0"/>
      <w:marTop w:val="0"/>
      <w:marBottom w:val="0"/>
      <w:divBdr>
        <w:top w:val="none" w:sz="0" w:space="0" w:color="auto"/>
        <w:left w:val="none" w:sz="0" w:space="0" w:color="auto"/>
        <w:bottom w:val="none" w:sz="0" w:space="0" w:color="auto"/>
        <w:right w:val="none" w:sz="0" w:space="0" w:color="auto"/>
      </w:divBdr>
    </w:div>
    <w:div w:id="563297196">
      <w:bodyDiv w:val="1"/>
      <w:marLeft w:val="0"/>
      <w:marRight w:val="0"/>
      <w:marTop w:val="0"/>
      <w:marBottom w:val="0"/>
      <w:divBdr>
        <w:top w:val="none" w:sz="0" w:space="0" w:color="auto"/>
        <w:left w:val="none" w:sz="0" w:space="0" w:color="auto"/>
        <w:bottom w:val="none" w:sz="0" w:space="0" w:color="auto"/>
        <w:right w:val="none" w:sz="0" w:space="0" w:color="auto"/>
      </w:divBdr>
    </w:div>
    <w:div w:id="565265209">
      <w:bodyDiv w:val="1"/>
      <w:marLeft w:val="0"/>
      <w:marRight w:val="0"/>
      <w:marTop w:val="0"/>
      <w:marBottom w:val="0"/>
      <w:divBdr>
        <w:top w:val="none" w:sz="0" w:space="0" w:color="auto"/>
        <w:left w:val="none" w:sz="0" w:space="0" w:color="auto"/>
        <w:bottom w:val="none" w:sz="0" w:space="0" w:color="auto"/>
        <w:right w:val="none" w:sz="0" w:space="0" w:color="auto"/>
      </w:divBdr>
    </w:div>
    <w:div w:id="567035554">
      <w:bodyDiv w:val="1"/>
      <w:marLeft w:val="0"/>
      <w:marRight w:val="0"/>
      <w:marTop w:val="0"/>
      <w:marBottom w:val="0"/>
      <w:divBdr>
        <w:top w:val="none" w:sz="0" w:space="0" w:color="auto"/>
        <w:left w:val="none" w:sz="0" w:space="0" w:color="auto"/>
        <w:bottom w:val="none" w:sz="0" w:space="0" w:color="auto"/>
        <w:right w:val="none" w:sz="0" w:space="0" w:color="auto"/>
      </w:divBdr>
    </w:div>
    <w:div w:id="568271379">
      <w:bodyDiv w:val="1"/>
      <w:marLeft w:val="0"/>
      <w:marRight w:val="0"/>
      <w:marTop w:val="0"/>
      <w:marBottom w:val="0"/>
      <w:divBdr>
        <w:top w:val="none" w:sz="0" w:space="0" w:color="auto"/>
        <w:left w:val="none" w:sz="0" w:space="0" w:color="auto"/>
        <w:bottom w:val="none" w:sz="0" w:space="0" w:color="auto"/>
        <w:right w:val="none" w:sz="0" w:space="0" w:color="auto"/>
      </w:divBdr>
    </w:div>
    <w:div w:id="576135956">
      <w:bodyDiv w:val="1"/>
      <w:marLeft w:val="0"/>
      <w:marRight w:val="0"/>
      <w:marTop w:val="0"/>
      <w:marBottom w:val="0"/>
      <w:divBdr>
        <w:top w:val="none" w:sz="0" w:space="0" w:color="auto"/>
        <w:left w:val="none" w:sz="0" w:space="0" w:color="auto"/>
        <w:bottom w:val="none" w:sz="0" w:space="0" w:color="auto"/>
        <w:right w:val="none" w:sz="0" w:space="0" w:color="auto"/>
      </w:divBdr>
    </w:div>
    <w:div w:id="586378682">
      <w:bodyDiv w:val="1"/>
      <w:marLeft w:val="0"/>
      <w:marRight w:val="0"/>
      <w:marTop w:val="0"/>
      <w:marBottom w:val="0"/>
      <w:divBdr>
        <w:top w:val="none" w:sz="0" w:space="0" w:color="auto"/>
        <w:left w:val="none" w:sz="0" w:space="0" w:color="auto"/>
        <w:bottom w:val="none" w:sz="0" w:space="0" w:color="auto"/>
        <w:right w:val="none" w:sz="0" w:space="0" w:color="auto"/>
      </w:divBdr>
    </w:div>
    <w:div w:id="591819100">
      <w:bodyDiv w:val="1"/>
      <w:marLeft w:val="0"/>
      <w:marRight w:val="0"/>
      <w:marTop w:val="0"/>
      <w:marBottom w:val="0"/>
      <w:divBdr>
        <w:top w:val="none" w:sz="0" w:space="0" w:color="auto"/>
        <w:left w:val="none" w:sz="0" w:space="0" w:color="auto"/>
        <w:bottom w:val="none" w:sz="0" w:space="0" w:color="auto"/>
        <w:right w:val="none" w:sz="0" w:space="0" w:color="auto"/>
      </w:divBdr>
    </w:div>
    <w:div w:id="592932715">
      <w:bodyDiv w:val="1"/>
      <w:marLeft w:val="0"/>
      <w:marRight w:val="0"/>
      <w:marTop w:val="0"/>
      <w:marBottom w:val="0"/>
      <w:divBdr>
        <w:top w:val="none" w:sz="0" w:space="0" w:color="auto"/>
        <w:left w:val="none" w:sz="0" w:space="0" w:color="auto"/>
        <w:bottom w:val="none" w:sz="0" w:space="0" w:color="auto"/>
        <w:right w:val="none" w:sz="0" w:space="0" w:color="auto"/>
      </w:divBdr>
    </w:div>
    <w:div w:id="594435113">
      <w:bodyDiv w:val="1"/>
      <w:marLeft w:val="0"/>
      <w:marRight w:val="0"/>
      <w:marTop w:val="0"/>
      <w:marBottom w:val="0"/>
      <w:divBdr>
        <w:top w:val="none" w:sz="0" w:space="0" w:color="auto"/>
        <w:left w:val="none" w:sz="0" w:space="0" w:color="auto"/>
        <w:bottom w:val="none" w:sz="0" w:space="0" w:color="auto"/>
        <w:right w:val="none" w:sz="0" w:space="0" w:color="auto"/>
      </w:divBdr>
    </w:div>
    <w:div w:id="604730222">
      <w:bodyDiv w:val="1"/>
      <w:marLeft w:val="0"/>
      <w:marRight w:val="0"/>
      <w:marTop w:val="0"/>
      <w:marBottom w:val="0"/>
      <w:divBdr>
        <w:top w:val="none" w:sz="0" w:space="0" w:color="auto"/>
        <w:left w:val="none" w:sz="0" w:space="0" w:color="auto"/>
        <w:bottom w:val="none" w:sz="0" w:space="0" w:color="auto"/>
        <w:right w:val="none" w:sz="0" w:space="0" w:color="auto"/>
      </w:divBdr>
    </w:div>
    <w:div w:id="620308237">
      <w:bodyDiv w:val="1"/>
      <w:marLeft w:val="0"/>
      <w:marRight w:val="0"/>
      <w:marTop w:val="0"/>
      <w:marBottom w:val="0"/>
      <w:divBdr>
        <w:top w:val="none" w:sz="0" w:space="0" w:color="auto"/>
        <w:left w:val="none" w:sz="0" w:space="0" w:color="auto"/>
        <w:bottom w:val="none" w:sz="0" w:space="0" w:color="auto"/>
        <w:right w:val="none" w:sz="0" w:space="0" w:color="auto"/>
      </w:divBdr>
    </w:div>
    <w:div w:id="621763500">
      <w:bodyDiv w:val="1"/>
      <w:marLeft w:val="0"/>
      <w:marRight w:val="0"/>
      <w:marTop w:val="0"/>
      <w:marBottom w:val="0"/>
      <w:divBdr>
        <w:top w:val="none" w:sz="0" w:space="0" w:color="auto"/>
        <w:left w:val="none" w:sz="0" w:space="0" w:color="auto"/>
        <w:bottom w:val="none" w:sz="0" w:space="0" w:color="auto"/>
        <w:right w:val="none" w:sz="0" w:space="0" w:color="auto"/>
      </w:divBdr>
    </w:div>
    <w:div w:id="622536016">
      <w:bodyDiv w:val="1"/>
      <w:marLeft w:val="0"/>
      <w:marRight w:val="0"/>
      <w:marTop w:val="0"/>
      <w:marBottom w:val="0"/>
      <w:divBdr>
        <w:top w:val="none" w:sz="0" w:space="0" w:color="auto"/>
        <w:left w:val="none" w:sz="0" w:space="0" w:color="auto"/>
        <w:bottom w:val="none" w:sz="0" w:space="0" w:color="auto"/>
        <w:right w:val="none" w:sz="0" w:space="0" w:color="auto"/>
      </w:divBdr>
    </w:div>
    <w:div w:id="625041867">
      <w:bodyDiv w:val="1"/>
      <w:marLeft w:val="0"/>
      <w:marRight w:val="0"/>
      <w:marTop w:val="0"/>
      <w:marBottom w:val="0"/>
      <w:divBdr>
        <w:top w:val="none" w:sz="0" w:space="0" w:color="auto"/>
        <w:left w:val="none" w:sz="0" w:space="0" w:color="auto"/>
        <w:bottom w:val="none" w:sz="0" w:space="0" w:color="auto"/>
        <w:right w:val="none" w:sz="0" w:space="0" w:color="auto"/>
      </w:divBdr>
    </w:div>
    <w:div w:id="627009876">
      <w:bodyDiv w:val="1"/>
      <w:marLeft w:val="0"/>
      <w:marRight w:val="0"/>
      <w:marTop w:val="0"/>
      <w:marBottom w:val="0"/>
      <w:divBdr>
        <w:top w:val="none" w:sz="0" w:space="0" w:color="auto"/>
        <w:left w:val="none" w:sz="0" w:space="0" w:color="auto"/>
        <w:bottom w:val="none" w:sz="0" w:space="0" w:color="auto"/>
        <w:right w:val="none" w:sz="0" w:space="0" w:color="auto"/>
      </w:divBdr>
    </w:div>
    <w:div w:id="628753908">
      <w:bodyDiv w:val="1"/>
      <w:marLeft w:val="0"/>
      <w:marRight w:val="0"/>
      <w:marTop w:val="0"/>
      <w:marBottom w:val="0"/>
      <w:divBdr>
        <w:top w:val="none" w:sz="0" w:space="0" w:color="auto"/>
        <w:left w:val="none" w:sz="0" w:space="0" w:color="auto"/>
        <w:bottom w:val="none" w:sz="0" w:space="0" w:color="auto"/>
        <w:right w:val="none" w:sz="0" w:space="0" w:color="auto"/>
      </w:divBdr>
    </w:div>
    <w:div w:id="643237777">
      <w:bodyDiv w:val="1"/>
      <w:marLeft w:val="0"/>
      <w:marRight w:val="0"/>
      <w:marTop w:val="0"/>
      <w:marBottom w:val="0"/>
      <w:divBdr>
        <w:top w:val="none" w:sz="0" w:space="0" w:color="auto"/>
        <w:left w:val="none" w:sz="0" w:space="0" w:color="auto"/>
        <w:bottom w:val="none" w:sz="0" w:space="0" w:color="auto"/>
        <w:right w:val="none" w:sz="0" w:space="0" w:color="auto"/>
      </w:divBdr>
    </w:div>
    <w:div w:id="650794944">
      <w:bodyDiv w:val="1"/>
      <w:marLeft w:val="0"/>
      <w:marRight w:val="0"/>
      <w:marTop w:val="0"/>
      <w:marBottom w:val="0"/>
      <w:divBdr>
        <w:top w:val="none" w:sz="0" w:space="0" w:color="auto"/>
        <w:left w:val="none" w:sz="0" w:space="0" w:color="auto"/>
        <w:bottom w:val="none" w:sz="0" w:space="0" w:color="auto"/>
        <w:right w:val="none" w:sz="0" w:space="0" w:color="auto"/>
      </w:divBdr>
    </w:div>
    <w:div w:id="656540813">
      <w:bodyDiv w:val="1"/>
      <w:marLeft w:val="0"/>
      <w:marRight w:val="0"/>
      <w:marTop w:val="0"/>
      <w:marBottom w:val="0"/>
      <w:divBdr>
        <w:top w:val="none" w:sz="0" w:space="0" w:color="auto"/>
        <w:left w:val="none" w:sz="0" w:space="0" w:color="auto"/>
        <w:bottom w:val="none" w:sz="0" w:space="0" w:color="auto"/>
        <w:right w:val="none" w:sz="0" w:space="0" w:color="auto"/>
      </w:divBdr>
    </w:div>
    <w:div w:id="667366642">
      <w:bodyDiv w:val="1"/>
      <w:marLeft w:val="0"/>
      <w:marRight w:val="0"/>
      <w:marTop w:val="0"/>
      <w:marBottom w:val="0"/>
      <w:divBdr>
        <w:top w:val="none" w:sz="0" w:space="0" w:color="auto"/>
        <w:left w:val="none" w:sz="0" w:space="0" w:color="auto"/>
        <w:bottom w:val="none" w:sz="0" w:space="0" w:color="auto"/>
        <w:right w:val="none" w:sz="0" w:space="0" w:color="auto"/>
      </w:divBdr>
    </w:div>
    <w:div w:id="670911961">
      <w:bodyDiv w:val="1"/>
      <w:marLeft w:val="0"/>
      <w:marRight w:val="0"/>
      <w:marTop w:val="0"/>
      <w:marBottom w:val="0"/>
      <w:divBdr>
        <w:top w:val="none" w:sz="0" w:space="0" w:color="auto"/>
        <w:left w:val="none" w:sz="0" w:space="0" w:color="auto"/>
        <w:bottom w:val="none" w:sz="0" w:space="0" w:color="auto"/>
        <w:right w:val="none" w:sz="0" w:space="0" w:color="auto"/>
      </w:divBdr>
    </w:div>
    <w:div w:id="675423665">
      <w:bodyDiv w:val="1"/>
      <w:marLeft w:val="0"/>
      <w:marRight w:val="0"/>
      <w:marTop w:val="0"/>
      <w:marBottom w:val="0"/>
      <w:divBdr>
        <w:top w:val="none" w:sz="0" w:space="0" w:color="auto"/>
        <w:left w:val="none" w:sz="0" w:space="0" w:color="auto"/>
        <w:bottom w:val="none" w:sz="0" w:space="0" w:color="auto"/>
        <w:right w:val="none" w:sz="0" w:space="0" w:color="auto"/>
      </w:divBdr>
    </w:div>
    <w:div w:id="677737780">
      <w:bodyDiv w:val="1"/>
      <w:marLeft w:val="0"/>
      <w:marRight w:val="0"/>
      <w:marTop w:val="0"/>
      <w:marBottom w:val="0"/>
      <w:divBdr>
        <w:top w:val="none" w:sz="0" w:space="0" w:color="auto"/>
        <w:left w:val="none" w:sz="0" w:space="0" w:color="auto"/>
        <w:bottom w:val="none" w:sz="0" w:space="0" w:color="auto"/>
        <w:right w:val="none" w:sz="0" w:space="0" w:color="auto"/>
      </w:divBdr>
    </w:div>
    <w:div w:id="680012985">
      <w:bodyDiv w:val="1"/>
      <w:marLeft w:val="0"/>
      <w:marRight w:val="0"/>
      <w:marTop w:val="0"/>
      <w:marBottom w:val="0"/>
      <w:divBdr>
        <w:top w:val="none" w:sz="0" w:space="0" w:color="auto"/>
        <w:left w:val="none" w:sz="0" w:space="0" w:color="auto"/>
        <w:bottom w:val="none" w:sz="0" w:space="0" w:color="auto"/>
        <w:right w:val="none" w:sz="0" w:space="0" w:color="auto"/>
      </w:divBdr>
    </w:div>
    <w:div w:id="681708571">
      <w:bodyDiv w:val="1"/>
      <w:marLeft w:val="0"/>
      <w:marRight w:val="0"/>
      <w:marTop w:val="0"/>
      <w:marBottom w:val="0"/>
      <w:divBdr>
        <w:top w:val="none" w:sz="0" w:space="0" w:color="auto"/>
        <w:left w:val="none" w:sz="0" w:space="0" w:color="auto"/>
        <w:bottom w:val="none" w:sz="0" w:space="0" w:color="auto"/>
        <w:right w:val="none" w:sz="0" w:space="0" w:color="auto"/>
      </w:divBdr>
    </w:div>
    <w:div w:id="689256599">
      <w:bodyDiv w:val="1"/>
      <w:marLeft w:val="0"/>
      <w:marRight w:val="0"/>
      <w:marTop w:val="0"/>
      <w:marBottom w:val="0"/>
      <w:divBdr>
        <w:top w:val="none" w:sz="0" w:space="0" w:color="auto"/>
        <w:left w:val="none" w:sz="0" w:space="0" w:color="auto"/>
        <w:bottom w:val="none" w:sz="0" w:space="0" w:color="auto"/>
        <w:right w:val="none" w:sz="0" w:space="0" w:color="auto"/>
      </w:divBdr>
    </w:div>
    <w:div w:id="694766383">
      <w:bodyDiv w:val="1"/>
      <w:marLeft w:val="0"/>
      <w:marRight w:val="0"/>
      <w:marTop w:val="0"/>
      <w:marBottom w:val="0"/>
      <w:divBdr>
        <w:top w:val="none" w:sz="0" w:space="0" w:color="auto"/>
        <w:left w:val="none" w:sz="0" w:space="0" w:color="auto"/>
        <w:bottom w:val="none" w:sz="0" w:space="0" w:color="auto"/>
        <w:right w:val="none" w:sz="0" w:space="0" w:color="auto"/>
      </w:divBdr>
    </w:div>
    <w:div w:id="694965397">
      <w:bodyDiv w:val="1"/>
      <w:marLeft w:val="0"/>
      <w:marRight w:val="0"/>
      <w:marTop w:val="0"/>
      <w:marBottom w:val="0"/>
      <w:divBdr>
        <w:top w:val="none" w:sz="0" w:space="0" w:color="auto"/>
        <w:left w:val="none" w:sz="0" w:space="0" w:color="auto"/>
        <w:bottom w:val="none" w:sz="0" w:space="0" w:color="auto"/>
        <w:right w:val="none" w:sz="0" w:space="0" w:color="auto"/>
      </w:divBdr>
    </w:div>
    <w:div w:id="697655739">
      <w:bodyDiv w:val="1"/>
      <w:marLeft w:val="0"/>
      <w:marRight w:val="0"/>
      <w:marTop w:val="0"/>
      <w:marBottom w:val="0"/>
      <w:divBdr>
        <w:top w:val="none" w:sz="0" w:space="0" w:color="auto"/>
        <w:left w:val="none" w:sz="0" w:space="0" w:color="auto"/>
        <w:bottom w:val="none" w:sz="0" w:space="0" w:color="auto"/>
        <w:right w:val="none" w:sz="0" w:space="0" w:color="auto"/>
      </w:divBdr>
    </w:div>
    <w:div w:id="699013195">
      <w:bodyDiv w:val="1"/>
      <w:marLeft w:val="0"/>
      <w:marRight w:val="0"/>
      <w:marTop w:val="0"/>
      <w:marBottom w:val="0"/>
      <w:divBdr>
        <w:top w:val="none" w:sz="0" w:space="0" w:color="auto"/>
        <w:left w:val="none" w:sz="0" w:space="0" w:color="auto"/>
        <w:bottom w:val="none" w:sz="0" w:space="0" w:color="auto"/>
        <w:right w:val="none" w:sz="0" w:space="0" w:color="auto"/>
      </w:divBdr>
    </w:div>
    <w:div w:id="706681529">
      <w:bodyDiv w:val="1"/>
      <w:marLeft w:val="0"/>
      <w:marRight w:val="0"/>
      <w:marTop w:val="0"/>
      <w:marBottom w:val="0"/>
      <w:divBdr>
        <w:top w:val="none" w:sz="0" w:space="0" w:color="auto"/>
        <w:left w:val="none" w:sz="0" w:space="0" w:color="auto"/>
        <w:bottom w:val="none" w:sz="0" w:space="0" w:color="auto"/>
        <w:right w:val="none" w:sz="0" w:space="0" w:color="auto"/>
      </w:divBdr>
    </w:div>
    <w:div w:id="709232143">
      <w:bodyDiv w:val="1"/>
      <w:marLeft w:val="0"/>
      <w:marRight w:val="0"/>
      <w:marTop w:val="0"/>
      <w:marBottom w:val="0"/>
      <w:divBdr>
        <w:top w:val="none" w:sz="0" w:space="0" w:color="auto"/>
        <w:left w:val="none" w:sz="0" w:space="0" w:color="auto"/>
        <w:bottom w:val="none" w:sz="0" w:space="0" w:color="auto"/>
        <w:right w:val="none" w:sz="0" w:space="0" w:color="auto"/>
      </w:divBdr>
    </w:div>
    <w:div w:id="713695701">
      <w:bodyDiv w:val="1"/>
      <w:marLeft w:val="0"/>
      <w:marRight w:val="0"/>
      <w:marTop w:val="0"/>
      <w:marBottom w:val="0"/>
      <w:divBdr>
        <w:top w:val="none" w:sz="0" w:space="0" w:color="auto"/>
        <w:left w:val="none" w:sz="0" w:space="0" w:color="auto"/>
        <w:bottom w:val="none" w:sz="0" w:space="0" w:color="auto"/>
        <w:right w:val="none" w:sz="0" w:space="0" w:color="auto"/>
      </w:divBdr>
    </w:div>
    <w:div w:id="714237100">
      <w:bodyDiv w:val="1"/>
      <w:marLeft w:val="0"/>
      <w:marRight w:val="0"/>
      <w:marTop w:val="0"/>
      <w:marBottom w:val="0"/>
      <w:divBdr>
        <w:top w:val="none" w:sz="0" w:space="0" w:color="auto"/>
        <w:left w:val="none" w:sz="0" w:space="0" w:color="auto"/>
        <w:bottom w:val="none" w:sz="0" w:space="0" w:color="auto"/>
        <w:right w:val="none" w:sz="0" w:space="0" w:color="auto"/>
      </w:divBdr>
    </w:div>
    <w:div w:id="716783241">
      <w:bodyDiv w:val="1"/>
      <w:marLeft w:val="0"/>
      <w:marRight w:val="0"/>
      <w:marTop w:val="0"/>
      <w:marBottom w:val="0"/>
      <w:divBdr>
        <w:top w:val="none" w:sz="0" w:space="0" w:color="auto"/>
        <w:left w:val="none" w:sz="0" w:space="0" w:color="auto"/>
        <w:bottom w:val="none" w:sz="0" w:space="0" w:color="auto"/>
        <w:right w:val="none" w:sz="0" w:space="0" w:color="auto"/>
      </w:divBdr>
    </w:div>
    <w:div w:id="719324809">
      <w:bodyDiv w:val="1"/>
      <w:marLeft w:val="0"/>
      <w:marRight w:val="0"/>
      <w:marTop w:val="0"/>
      <w:marBottom w:val="0"/>
      <w:divBdr>
        <w:top w:val="none" w:sz="0" w:space="0" w:color="auto"/>
        <w:left w:val="none" w:sz="0" w:space="0" w:color="auto"/>
        <w:bottom w:val="none" w:sz="0" w:space="0" w:color="auto"/>
        <w:right w:val="none" w:sz="0" w:space="0" w:color="auto"/>
      </w:divBdr>
    </w:div>
    <w:div w:id="728722260">
      <w:bodyDiv w:val="1"/>
      <w:marLeft w:val="0"/>
      <w:marRight w:val="0"/>
      <w:marTop w:val="0"/>
      <w:marBottom w:val="0"/>
      <w:divBdr>
        <w:top w:val="none" w:sz="0" w:space="0" w:color="auto"/>
        <w:left w:val="none" w:sz="0" w:space="0" w:color="auto"/>
        <w:bottom w:val="none" w:sz="0" w:space="0" w:color="auto"/>
        <w:right w:val="none" w:sz="0" w:space="0" w:color="auto"/>
      </w:divBdr>
    </w:div>
    <w:div w:id="732509699">
      <w:bodyDiv w:val="1"/>
      <w:marLeft w:val="0"/>
      <w:marRight w:val="0"/>
      <w:marTop w:val="0"/>
      <w:marBottom w:val="0"/>
      <w:divBdr>
        <w:top w:val="none" w:sz="0" w:space="0" w:color="auto"/>
        <w:left w:val="none" w:sz="0" w:space="0" w:color="auto"/>
        <w:bottom w:val="none" w:sz="0" w:space="0" w:color="auto"/>
        <w:right w:val="none" w:sz="0" w:space="0" w:color="auto"/>
      </w:divBdr>
    </w:div>
    <w:div w:id="736976042">
      <w:bodyDiv w:val="1"/>
      <w:marLeft w:val="0"/>
      <w:marRight w:val="0"/>
      <w:marTop w:val="0"/>
      <w:marBottom w:val="0"/>
      <w:divBdr>
        <w:top w:val="none" w:sz="0" w:space="0" w:color="auto"/>
        <w:left w:val="none" w:sz="0" w:space="0" w:color="auto"/>
        <w:bottom w:val="none" w:sz="0" w:space="0" w:color="auto"/>
        <w:right w:val="none" w:sz="0" w:space="0" w:color="auto"/>
      </w:divBdr>
    </w:div>
    <w:div w:id="741753276">
      <w:bodyDiv w:val="1"/>
      <w:marLeft w:val="0"/>
      <w:marRight w:val="0"/>
      <w:marTop w:val="0"/>
      <w:marBottom w:val="0"/>
      <w:divBdr>
        <w:top w:val="none" w:sz="0" w:space="0" w:color="auto"/>
        <w:left w:val="none" w:sz="0" w:space="0" w:color="auto"/>
        <w:bottom w:val="none" w:sz="0" w:space="0" w:color="auto"/>
        <w:right w:val="none" w:sz="0" w:space="0" w:color="auto"/>
      </w:divBdr>
    </w:div>
    <w:div w:id="745497976">
      <w:bodyDiv w:val="1"/>
      <w:marLeft w:val="0"/>
      <w:marRight w:val="0"/>
      <w:marTop w:val="0"/>
      <w:marBottom w:val="0"/>
      <w:divBdr>
        <w:top w:val="none" w:sz="0" w:space="0" w:color="auto"/>
        <w:left w:val="none" w:sz="0" w:space="0" w:color="auto"/>
        <w:bottom w:val="none" w:sz="0" w:space="0" w:color="auto"/>
        <w:right w:val="none" w:sz="0" w:space="0" w:color="auto"/>
      </w:divBdr>
    </w:div>
    <w:div w:id="754018273">
      <w:bodyDiv w:val="1"/>
      <w:marLeft w:val="0"/>
      <w:marRight w:val="0"/>
      <w:marTop w:val="0"/>
      <w:marBottom w:val="0"/>
      <w:divBdr>
        <w:top w:val="none" w:sz="0" w:space="0" w:color="auto"/>
        <w:left w:val="none" w:sz="0" w:space="0" w:color="auto"/>
        <w:bottom w:val="none" w:sz="0" w:space="0" w:color="auto"/>
        <w:right w:val="none" w:sz="0" w:space="0" w:color="auto"/>
      </w:divBdr>
    </w:div>
    <w:div w:id="763183024">
      <w:bodyDiv w:val="1"/>
      <w:marLeft w:val="0"/>
      <w:marRight w:val="0"/>
      <w:marTop w:val="0"/>
      <w:marBottom w:val="0"/>
      <w:divBdr>
        <w:top w:val="none" w:sz="0" w:space="0" w:color="auto"/>
        <w:left w:val="none" w:sz="0" w:space="0" w:color="auto"/>
        <w:bottom w:val="none" w:sz="0" w:space="0" w:color="auto"/>
        <w:right w:val="none" w:sz="0" w:space="0" w:color="auto"/>
      </w:divBdr>
    </w:div>
    <w:div w:id="766776486">
      <w:bodyDiv w:val="1"/>
      <w:marLeft w:val="0"/>
      <w:marRight w:val="0"/>
      <w:marTop w:val="0"/>
      <w:marBottom w:val="0"/>
      <w:divBdr>
        <w:top w:val="none" w:sz="0" w:space="0" w:color="auto"/>
        <w:left w:val="none" w:sz="0" w:space="0" w:color="auto"/>
        <w:bottom w:val="none" w:sz="0" w:space="0" w:color="auto"/>
        <w:right w:val="none" w:sz="0" w:space="0" w:color="auto"/>
      </w:divBdr>
    </w:div>
    <w:div w:id="776867882">
      <w:bodyDiv w:val="1"/>
      <w:marLeft w:val="0"/>
      <w:marRight w:val="0"/>
      <w:marTop w:val="0"/>
      <w:marBottom w:val="0"/>
      <w:divBdr>
        <w:top w:val="none" w:sz="0" w:space="0" w:color="auto"/>
        <w:left w:val="none" w:sz="0" w:space="0" w:color="auto"/>
        <w:bottom w:val="none" w:sz="0" w:space="0" w:color="auto"/>
        <w:right w:val="none" w:sz="0" w:space="0" w:color="auto"/>
      </w:divBdr>
    </w:div>
    <w:div w:id="779691668">
      <w:bodyDiv w:val="1"/>
      <w:marLeft w:val="0"/>
      <w:marRight w:val="0"/>
      <w:marTop w:val="0"/>
      <w:marBottom w:val="0"/>
      <w:divBdr>
        <w:top w:val="none" w:sz="0" w:space="0" w:color="auto"/>
        <w:left w:val="none" w:sz="0" w:space="0" w:color="auto"/>
        <w:bottom w:val="none" w:sz="0" w:space="0" w:color="auto"/>
        <w:right w:val="none" w:sz="0" w:space="0" w:color="auto"/>
      </w:divBdr>
    </w:div>
    <w:div w:id="779765377">
      <w:bodyDiv w:val="1"/>
      <w:marLeft w:val="0"/>
      <w:marRight w:val="0"/>
      <w:marTop w:val="0"/>
      <w:marBottom w:val="0"/>
      <w:divBdr>
        <w:top w:val="none" w:sz="0" w:space="0" w:color="auto"/>
        <w:left w:val="none" w:sz="0" w:space="0" w:color="auto"/>
        <w:bottom w:val="none" w:sz="0" w:space="0" w:color="auto"/>
        <w:right w:val="none" w:sz="0" w:space="0" w:color="auto"/>
      </w:divBdr>
    </w:div>
    <w:div w:id="782192629">
      <w:bodyDiv w:val="1"/>
      <w:marLeft w:val="0"/>
      <w:marRight w:val="0"/>
      <w:marTop w:val="0"/>
      <w:marBottom w:val="0"/>
      <w:divBdr>
        <w:top w:val="none" w:sz="0" w:space="0" w:color="auto"/>
        <w:left w:val="none" w:sz="0" w:space="0" w:color="auto"/>
        <w:bottom w:val="none" w:sz="0" w:space="0" w:color="auto"/>
        <w:right w:val="none" w:sz="0" w:space="0" w:color="auto"/>
      </w:divBdr>
    </w:div>
    <w:div w:id="782918114">
      <w:bodyDiv w:val="1"/>
      <w:marLeft w:val="0"/>
      <w:marRight w:val="0"/>
      <w:marTop w:val="0"/>
      <w:marBottom w:val="0"/>
      <w:divBdr>
        <w:top w:val="none" w:sz="0" w:space="0" w:color="auto"/>
        <w:left w:val="none" w:sz="0" w:space="0" w:color="auto"/>
        <w:bottom w:val="none" w:sz="0" w:space="0" w:color="auto"/>
        <w:right w:val="none" w:sz="0" w:space="0" w:color="auto"/>
      </w:divBdr>
    </w:div>
    <w:div w:id="788550162">
      <w:bodyDiv w:val="1"/>
      <w:marLeft w:val="0"/>
      <w:marRight w:val="0"/>
      <w:marTop w:val="0"/>
      <w:marBottom w:val="0"/>
      <w:divBdr>
        <w:top w:val="none" w:sz="0" w:space="0" w:color="auto"/>
        <w:left w:val="none" w:sz="0" w:space="0" w:color="auto"/>
        <w:bottom w:val="none" w:sz="0" w:space="0" w:color="auto"/>
        <w:right w:val="none" w:sz="0" w:space="0" w:color="auto"/>
      </w:divBdr>
    </w:div>
    <w:div w:id="788859357">
      <w:bodyDiv w:val="1"/>
      <w:marLeft w:val="0"/>
      <w:marRight w:val="0"/>
      <w:marTop w:val="0"/>
      <w:marBottom w:val="0"/>
      <w:divBdr>
        <w:top w:val="none" w:sz="0" w:space="0" w:color="auto"/>
        <w:left w:val="none" w:sz="0" w:space="0" w:color="auto"/>
        <w:bottom w:val="none" w:sz="0" w:space="0" w:color="auto"/>
        <w:right w:val="none" w:sz="0" w:space="0" w:color="auto"/>
      </w:divBdr>
    </w:div>
    <w:div w:id="791241259">
      <w:bodyDiv w:val="1"/>
      <w:marLeft w:val="0"/>
      <w:marRight w:val="0"/>
      <w:marTop w:val="0"/>
      <w:marBottom w:val="0"/>
      <w:divBdr>
        <w:top w:val="none" w:sz="0" w:space="0" w:color="auto"/>
        <w:left w:val="none" w:sz="0" w:space="0" w:color="auto"/>
        <w:bottom w:val="none" w:sz="0" w:space="0" w:color="auto"/>
        <w:right w:val="none" w:sz="0" w:space="0" w:color="auto"/>
      </w:divBdr>
    </w:div>
    <w:div w:id="792483107">
      <w:bodyDiv w:val="1"/>
      <w:marLeft w:val="0"/>
      <w:marRight w:val="0"/>
      <w:marTop w:val="0"/>
      <w:marBottom w:val="0"/>
      <w:divBdr>
        <w:top w:val="none" w:sz="0" w:space="0" w:color="auto"/>
        <w:left w:val="none" w:sz="0" w:space="0" w:color="auto"/>
        <w:bottom w:val="none" w:sz="0" w:space="0" w:color="auto"/>
        <w:right w:val="none" w:sz="0" w:space="0" w:color="auto"/>
      </w:divBdr>
    </w:div>
    <w:div w:id="792938247">
      <w:bodyDiv w:val="1"/>
      <w:marLeft w:val="0"/>
      <w:marRight w:val="0"/>
      <w:marTop w:val="0"/>
      <w:marBottom w:val="0"/>
      <w:divBdr>
        <w:top w:val="none" w:sz="0" w:space="0" w:color="auto"/>
        <w:left w:val="none" w:sz="0" w:space="0" w:color="auto"/>
        <w:bottom w:val="none" w:sz="0" w:space="0" w:color="auto"/>
        <w:right w:val="none" w:sz="0" w:space="0" w:color="auto"/>
      </w:divBdr>
    </w:div>
    <w:div w:id="801077365">
      <w:bodyDiv w:val="1"/>
      <w:marLeft w:val="0"/>
      <w:marRight w:val="0"/>
      <w:marTop w:val="0"/>
      <w:marBottom w:val="0"/>
      <w:divBdr>
        <w:top w:val="none" w:sz="0" w:space="0" w:color="auto"/>
        <w:left w:val="none" w:sz="0" w:space="0" w:color="auto"/>
        <w:bottom w:val="none" w:sz="0" w:space="0" w:color="auto"/>
        <w:right w:val="none" w:sz="0" w:space="0" w:color="auto"/>
      </w:divBdr>
    </w:div>
    <w:div w:id="804857462">
      <w:bodyDiv w:val="1"/>
      <w:marLeft w:val="0"/>
      <w:marRight w:val="0"/>
      <w:marTop w:val="0"/>
      <w:marBottom w:val="0"/>
      <w:divBdr>
        <w:top w:val="none" w:sz="0" w:space="0" w:color="auto"/>
        <w:left w:val="none" w:sz="0" w:space="0" w:color="auto"/>
        <w:bottom w:val="none" w:sz="0" w:space="0" w:color="auto"/>
        <w:right w:val="none" w:sz="0" w:space="0" w:color="auto"/>
      </w:divBdr>
    </w:div>
    <w:div w:id="804931597">
      <w:bodyDiv w:val="1"/>
      <w:marLeft w:val="0"/>
      <w:marRight w:val="0"/>
      <w:marTop w:val="0"/>
      <w:marBottom w:val="0"/>
      <w:divBdr>
        <w:top w:val="none" w:sz="0" w:space="0" w:color="auto"/>
        <w:left w:val="none" w:sz="0" w:space="0" w:color="auto"/>
        <w:bottom w:val="none" w:sz="0" w:space="0" w:color="auto"/>
        <w:right w:val="none" w:sz="0" w:space="0" w:color="auto"/>
      </w:divBdr>
    </w:div>
    <w:div w:id="810631588">
      <w:bodyDiv w:val="1"/>
      <w:marLeft w:val="0"/>
      <w:marRight w:val="0"/>
      <w:marTop w:val="0"/>
      <w:marBottom w:val="0"/>
      <w:divBdr>
        <w:top w:val="none" w:sz="0" w:space="0" w:color="auto"/>
        <w:left w:val="none" w:sz="0" w:space="0" w:color="auto"/>
        <w:bottom w:val="none" w:sz="0" w:space="0" w:color="auto"/>
        <w:right w:val="none" w:sz="0" w:space="0" w:color="auto"/>
      </w:divBdr>
    </w:div>
    <w:div w:id="814368915">
      <w:bodyDiv w:val="1"/>
      <w:marLeft w:val="0"/>
      <w:marRight w:val="0"/>
      <w:marTop w:val="0"/>
      <w:marBottom w:val="0"/>
      <w:divBdr>
        <w:top w:val="none" w:sz="0" w:space="0" w:color="auto"/>
        <w:left w:val="none" w:sz="0" w:space="0" w:color="auto"/>
        <w:bottom w:val="none" w:sz="0" w:space="0" w:color="auto"/>
        <w:right w:val="none" w:sz="0" w:space="0" w:color="auto"/>
      </w:divBdr>
    </w:div>
    <w:div w:id="814833242">
      <w:bodyDiv w:val="1"/>
      <w:marLeft w:val="0"/>
      <w:marRight w:val="0"/>
      <w:marTop w:val="0"/>
      <w:marBottom w:val="0"/>
      <w:divBdr>
        <w:top w:val="none" w:sz="0" w:space="0" w:color="auto"/>
        <w:left w:val="none" w:sz="0" w:space="0" w:color="auto"/>
        <w:bottom w:val="none" w:sz="0" w:space="0" w:color="auto"/>
        <w:right w:val="none" w:sz="0" w:space="0" w:color="auto"/>
      </w:divBdr>
    </w:div>
    <w:div w:id="818572615">
      <w:bodyDiv w:val="1"/>
      <w:marLeft w:val="0"/>
      <w:marRight w:val="0"/>
      <w:marTop w:val="0"/>
      <w:marBottom w:val="0"/>
      <w:divBdr>
        <w:top w:val="none" w:sz="0" w:space="0" w:color="auto"/>
        <w:left w:val="none" w:sz="0" w:space="0" w:color="auto"/>
        <w:bottom w:val="none" w:sz="0" w:space="0" w:color="auto"/>
        <w:right w:val="none" w:sz="0" w:space="0" w:color="auto"/>
      </w:divBdr>
    </w:div>
    <w:div w:id="820779568">
      <w:bodyDiv w:val="1"/>
      <w:marLeft w:val="0"/>
      <w:marRight w:val="0"/>
      <w:marTop w:val="0"/>
      <w:marBottom w:val="0"/>
      <w:divBdr>
        <w:top w:val="none" w:sz="0" w:space="0" w:color="auto"/>
        <w:left w:val="none" w:sz="0" w:space="0" w:color="auto"/>
        <w:bottom w:val="none" w:sz="0" w:space="0" w:color="auto"/>
        <w:right w:val="none" w:sz="0" w:space="0" w:color="auto"/>
      </w:divBdr>
    </w:div>
    <w:div w:id="822818596">
      <w:bodyDiv w:val="1"/>
      <w:marLeft w:val="0"/>
      <w:marRight w:val="0"/>
      <w:marTop w:val="0"/>
      <w:marBottom w:val="0"/>
      <w:divBdr>
        <w:top w:val="none" w:sz="0" w:space="0" w:color="auto"/>
        <w:left w:val="none" w:sz="0" w:space="0" w:color="auto"/>
        <w:bottom w:val="none" w:sz="0" w:space="0" w:color="auto"/>
        <w:right w:val="none" w:sz="0" w:space="0" w:color="auto"/>
      </w:divBdr>
    </w:div>
    <w:div w:id="823081623">
      <w:bodyDiv w:val="1"/>
      <w:marLeft w:val="0"/>
      <w:marRight w:val="0"/>
      <w:marTop w:val="0"/>
      <w:marBottom w:val="0"/>
      <w:divBdr>
        <w:top w:val="none" w:sz="0" w:space="0" w:color="auto"/>
        <w:left w:val="none" w:sz="0" w:space="0" w:color="auto"/>
        <w:bottom w:val="none" w:sz="0" w:space="0" w:color="auto"/>
        <w:right w:val="none" w:sz="0" w:space="0" w:color="auto"/>
      </w:divBdr>
    </w:div>
    <w:div w:id="826019500">
      <w:bodyDiv w:val="1"/>
      <w:marLeft w:val="0"/>
      <w:marRight w:val="0"/>
      <w:marTop w:val="0"/>
      <w:marBottom w:val="0"/>
      <w:divBdr>
        <w:top w:val="none" w:sz="0" w:space="0" w:color="auto"/>
        <w:left w:val="none" w:sz="0" w:space="0" w:color="auto"/>
        <w:bottom w:val="none" w:sz="0" w:space="0" w:color="auto"/>
        <w:right w:val="none" w:sz="0" w:space="0" w:color="auto"/>
      </w:divBdr>
    </w:div>
    <w:div w:id="833568242">
      <w:bodyDiv w:val="1"/>
      <w:marLeft w:val="0"/>
      <w:marRight w:val="0"/>
      <w:marTop w:val="0"/>
      <w:marBottom w:val="0"/>
      <w:divBdr>
        <w:top w:val="none" w:sz="0" w:space="0" w:color="auto"/>
        <w:left w:val="none" w:sz="0" w:space="0" w:color="auto"/>
        <w:bottom w:val="none" w:sz="0" w:space="0" w:color="auto"/>
        <w:right w:val="none" w:sz="0" w:space="0" w:color="auto"/>
      </w:divBdr>
    </w:div>
    <w:div w:id="837961538">
      <w:bodyDiv w:val="1"/>
      <w:marLeft w:val="0"/>
      <w:marRight w:val="0"/>
      <w:marTop w:val="0"/>
      <w:marBottom w:val="0"/>
      <w:divBdr>
        <w:top w:val="none" w:sz="0" w:space="0" w:color="auto"/>
        <w:left w:val="none" w:sz="0" w:space="0" w:color="auto"/>
        <w:bottom w:val="none" w:sz="0" w:space="0" w:color="auto"/>
        <w:right w:val="none" w:sz="0" w:space="0" w:color="auto"/>
      </w:divBdr>
    </w:div>
    <w:div w:id="838271175">
      <w:bodyDiv w:val="1"/>
      <w:marLeft w:val="0"/>
      <w:marRight w:val="0"/>
      <w:marTop w:val="0"/>
      <w:marBottom w:val="0"/>
      <w:divBdr>
        <w:top w:val="none" w:sz="0" w:space="0" w:color="auto"/>
        <w:left w:val="none" w:sz="0" w:space="0" w:color="auto"/>
        <w:bottom w:val="none" w:sz="0" w:space="0" w:color="auto"/>
        <w:right w:val="none" w:sz="0" w:space="0" w:color="auto"/>
      </w:divBdr>
    </w:div>
    <w:div w:id="859273308">
      <w:bodyDiv w:val="1"/>
      <w:marLeft w:val="0"/>
      <w:marRight w:val="0"/>
      <w:marTop w:val="0"/>
      <w:marBottom w:val="0"/>
      <w:divBdr>
        <w:top w:val="none" w:sz="0" w:space="0" w:color="auto"/>
        <w:left w:val="none" w:sz="0" w:space="0" w:color="auto"/>
        <w:bottom w:val="none" w:sz="0" w:space="0" w:color="auto"/>
        <w:right w:val="none" w:sz="0" w:space="0" w:color="auto"/>
      </w:divBdr>
    </w:div>
    <w:div w:id="861894947">
      <w:bodyDiv w:val="1"/>
      <w:marLeft w:val="0"/>
      <w:marRight w:val="0"/>
      <w:marTop w:val="0"/>
      <w:marBottom w:val="0"/>
      <w:divBdr>
        <w:top w:val="none" w:sz="0" w:space="0" w:color="auto"/>
        <w:left w:val="none" w:sz="0" w:space="0" w:color="auto"/>
        <w:bottom w:val="none" w:sz="0" w:space="0" w:color="auto"/>
        <w:right w:val="none" w:sz="0" w:space="0" w:color="auto"/>
      </w:divBdr>
    </w:div>
    <w:div w:id="866718083">
      <w:bodyDiv w:val="1"/>
      <w:marLeft w:val="0"/>
      <w:marRight w:val="0"/>
      <w:marTop w:val="0"/>
      <w:marBottom w:val="0"/>
      <w:divBdr>
        <w:top w:val="none" w:sz="0" w:space="0" w:color="auto"/>
        <w:left w:val="none" w:sz="0" w:space="0" w:color="auto"/>
        <w:bottom w:val="none" w:sz="0" w:space="0" w:color="auto"/>
        <w:right w:val="none" w:sz="0" w:space="0" w:color="auto"/>
      </w:divBdr>
    </w:div>
    <w:div w:id="880482782">
      <w:bodyDiv w:val="1"/>
      <w:marLeft w:val="0"/>
      <w:marRight w:val="0"/>
      <w:marTop w:val="0"/>
      <w:marBottom w:val="0"/>
      <w:divBdr>
        <w:top w:val="none" w:sz="0" w:space="0" w:color="auto"/>
        <w:left w:val="none" w:sz="0" w:space="0" w:color="auto"/>
        <w:bottom w:val="none" w:sz="0" w:space="0" w:color="auto"/>
        <w:right w:val="none" w:sz="0" w:space="0" w:color="auto"/>
      </w:divBdr>
    </w:div>
    <w:div w:id="881094785">
      <w:bodyDiv w:val="1"/>
      <w:marLeft w:val="0"/>
      <w:marRight w:val="0"/>
      <w:marTop w:val="0"/>
      <w:marBottom w:val="0"/>
      <w:divBdr>
        <w:top w:val="none" w:sz="0" w:space="0" w:color="auto"/>
        <w:left w:val="none" w:sz="0" w:space="0" w:color="auto"/>
        <w:bottom w:val="none" w:sz="0" w:space="0" w:color="auto"/>
        <w:right w:val="none" w:sz="0" w:space="0" w:color="auto"/>
      </w:divBdr>
    </w:div>
    <w:div w:id="892157292">
      <w:bodyDiv w:val="1"/>
      <w:marLeft w:val="0"/>
      <w:marRight w:val="0"/>
      <w:marTop w:val="0"/>
      <w:marBottom w:val="0"/>
      <w:divBdr>
        <w:top w:val="none" w:sz="0" w:space="0" w:color="auto"/>
        <w:left w:val="none" w:sz="0" w:space="0" w:color="auto"/>
        <w:bottom w:val="none" w:sz="0" w:space="0" w:color="auto"/>
        <w:right w:val="none" w:sz="0" w:space="0" w:color="auto"/>
      </w:divBdr>
    </w:div>
    <w:div w:id="895357758">
      <w:bodyDiv w:val="1"/>
      <w:marLeft w:val="0"/>
      <w:marRight w:val="0"/>
      <w:marTop w:val="0"/>
      <w:marBottom w:val="0"/>
      <w:divBdr>
        <w:top w:val="none" w:sz="0" w:space="0" w:color="auto"/>
        <w:left w:val="none" w:sz="0" w:space="0" w:color="auto"/>
        <w:bottom w:val="none" w:sz="0" w:space="0" w:color="auto"/>
        <w:right w:val="none" w:sz="0" w:space="0" w:color="auto"/>
      </w:divBdr>
    </w:div>
    <w:div w:id="903637725">
      <w:bodyDiv w:val="1"/>
      <w:marLeft w:val="0"/>
      <w:marRight w:val="0"/>
      <w:marTop w:val="0"/>
      <w:marBottom w:val="0"/>
      <w:divBdr>
        <w:top w:val="none" w:sz="0" w:space="0" w:color="auto"/>
        <w:left w:val="none" w:sz="0" w:space="0" w:color="auto"/>
        <w:bottom w:val="none" w:sz="0" w:space="0" w:color="auto"/>
        <w:right w:val="none" w:sz="0" w:space="0" w:color="auto"/>
      </w:divBdr>
    </w:div>
    <w:div w:id="909770989">
      <w:bodyDiv w:val="1"/>
      <w:marLeft w:val="0"/>
      <w:marRight w:val="0"/>
      <w:marTop w:val="0"/>
      <w:marBottom w:val="0"/>
      <w:divBdr>
        <w:top w:val="none" w:sz="0" w:space="0" w:color="auto"/>
        <w:left w:val="none" w:sz="0" w:space="0" w:color="auto"/>
        <w:bottom w:val="none" w:sz="0" w:space="0" w:color="auto"/>
        <w:right w:val="none" w:sz="0" w:space="0" w:color="auto"/>
      </w:divBdr>
    </w:div>
    <w:div w:id="911427186">
      <w:bodyDiv w:val="1"/>
      <w:marLeft w:val="0"/>
      <w:marRight w:val="0"/>
      <w:marTop w:val="0"/>
      <w:marBottom w:val="0"/>
      <w:divBdr>
        <w:top w:val="none" w:sz="0" w:space="0" w:color="auto"/>
        <w:left w:val="none" w:sz="0" w:space="0" w:color="auto"/>
        <w:bottom w:val="none" w:sz="0" w:space="0" w:color="auto"/>
        <w:right w:val="none" w:sz="0" w:space="0" w:color="auto"/>
      </w:divBdr>
    </w:div>
    <w:div w:id="911622155">
      <w:bodyDiv w:val="1"/>
      <w:marLeft w:val="0"/>
      <w:marRight w:val="0"/>
      <w:marTop w:val="0"/>
      <w:marBottom w:val="0"/>
      <w:divBdr>
        <w:top w:val="none" w:sz="0" w:space="0" w:color="auto"/>
        <w:left w:val="none" w:sz="0" w:space="0" w:color="auto"/>
        <w:bottom w:val="none" w:sz="0" w:space="0" w:color="auto"/>
        <w:right w:val="none" w:sz="0" w:space="0" w:color="auto"/>
      </w:divBdr>
    </w:div>
    <w:div w:id="912351777">
      <w:bodyDiv w:val="1"/>
      <w:marLeft w:val="0"/>
      <w:marRight w:val="0"/>
      <w:marTop w:val="0"/>
      <w:marBottom w:val="0"/>
      <w:divBdr>
        <w:top w:val="none" w:sz="0" w:space="0" w:color="auto"/>
        <w:left w:val="none" w:sz="0" w:space="0" w:color="auto"/>
        <w:bottom w:val="none" w:sz="0" w:space="0" w:color="auto"/>
        <w:right w:val="none" w:sz="0" w:space="0" w:color="auto"/>
      </w:divBdr>
    </w:div>
    <w:div w:id="920407510">
      <w:bodyDiv w:val="1"/>
      <w:marLeft w:val="0"/>
      <w:marRight w:val="0"/>
      <w:marTop w:val="0"/>
      <w:marBottom w:val="0"/>
      <w:divBdr>
        <w:top w:val="none" w:sz="0" w:space="0" w:color="auto"/>
        <w:left w:val="none" w:sz="0" w:space="0" w:color="auto"/>
        <w:bottom w:val="none" w:sz="0" w:space="0" w:color="auto"/>
        <w:right w:val="none" w:sz="0" w:space="0" w:color="auto"/>
      </w:divBdr>
    </w:div>
    <w:div w:id="922379064">
      <w:bodyDiv w:val="1"/>
      <w:marLeft w:val="0"/>
      <w:marRight w:val="0"/>
      <w:marTop w:val="0"/>
      <w:marBottom w:val="0"/>
      <w:divBdr>
        <w:top w:val="none" w:sz="0" w:space="0" w:color="auto"/>
        <w:left w:val="none" w:sz="0" w:space="0" w:color="auto"/>
        <w:bottom w:val="none" w:sz="0" w:space="0" w:color="auto"/>
        <w:right w:val="none" w:sz="0" w:space="0" w:color="auto"/>
      </w:divBdr>
    </w:div>
    <w:div w:id="924458396">
      <w:bodyDiv w:val="1"/>
      <w:marLeft w:val="0"/>
      <w:marRight w:val="0"/>
      <w:marTop w:val="0"/>
      <w:marBottom w:val="0"/>
      <w:divBdr>
        <w:top w:val="none" w:sz="0" w:space="0" w:color="auto"/>
        <w:left w:val="none" w:sz="0" w:space="0" w:color="auto"/>
        <w:bottom w:val="none" w:sz="0" w:space="0" w:color="auto"/>
        <w:right w:val="none" w:sz="0" w:space="0" w:color="auto"/>
      </w:divBdr>
    </w:div>
    <w:div w:id="930820669">
      <w:bodyDiv w:val="1"/>
      <w:marLeft w:val="0"/>
      <w:marRight w:val="0"/>
      <w:marTop w:val="0"/>
      <w:marBottom w:val="0"/>
      <w:divBdr>
        <w:top w:val="none" w:sz="0" w:space="0" w:color="auto"/>
        <w:left w:val="none" w:sz="0" w:space="0" w:color="auto"/>
        <w:bottom w:val="none" w:sz="0" w:space="0" w:color="auto"/>
        <w:right w:val="none" w:sz="0" w:space="0" w:color="auto"/>
      </w:divBdr>
    </w:div>
    <w:div w:id="930939505">
      <w:bodyDiv w:val="1"/>
      <w:marLeft w:val="0"/>
      <w:marRight w:val="0"/>
      <w:marTop w:val="0"/>
      <w:marBottom w:val="0"/>
      <w:divBdr>
        <w:top w:val="none" w:sz="0" w:space="0" w:color="auto"/>
        <w:left w:val="none" w:sz="0" w:space="0" w:color="auto"/>
        <w:bottom w:val="none" w:sz="0" w:space="0" w:color="auto"/>
        <w:right w:val="none" w:sz="0" w:space="0" w:color="auto"/>
      </w:divBdr>
    </w:div>
    <w:div w:id="935208379">
      <w:bodyDiv w:val="1"/>
      <w:marLeft w:val="0"/>
      <w:marRight w:val="0"/>
      <w:marTop w:val="0"/>
      <w:marBottom w:val="0"/>
      <w:divBdr>
        <w:top w:val="none" w:sz="0" w:space="0" w:color="auto"/>
        <w:left w:val="none" w:sz="0" w:space="0" w:color="auto"/>
        <w:bottom w:val="none" w:sz="0" w:space="0" w:color="auto"/>
        <w:right w:val="none" w:sz="0" w:space="0" w:color="auto"/>
      </w:divBdr>
    </w:div>
    <w:div w:id="945623098">
      <w:bodyDiv w:val="1"/>
      <w:marLeft w:val="0"/>
      <w:marRight w:val="0"/>
      <w:marTop w:val="0"/>
      <w:marBottom w:val="0"/>
      <w:divBdr>
        <w:top w:val="none" w:sz="0" w:space="0" w:color="auto"/>
        <w:left w:val="none" w:sz="0" w:space="0" w:color="auto"/>
        <w:bottom w:val="none" w:sz="0" w:space="0" w:color="auto"/>
        <w:right w:val="none" w:sz="0" w:space="0" w:color="auto"/>
      </w:divBdr>
    </w:div>
    <w:div w:id="950937701">
      <w:bodyDiv w:val="1"/>
      <w:marLeft w:val="0"/>
      <w:marRight w:val="0"/>
      <w:marTop w:val="0"/>
      <w:marBottom w:val="0"/>
      <w:divBdr>
        <w:top w:val="none" w:sz="0" w:space="0" w:color="auto"/>
        <w:left w:val="none" w:sz="0" w:space="0" w:color="auto"/>
        <w:bottom w:val="none" w:sz="0" w:space="0" w:color="auto"/>
        <w:right w:val="none" w:sz="0" w:space="0" w:color="auto"/>
      </w:divBdr>
    </w:div>
    <w:div w:id="954599243">
      <w:bodyDiv w:val="1"/>
      <w:marLeft w:val="0"/>
      <w:marRight w:val="0"/>
      <w:marTop w:val="0"/>
      <w:marBottom w:val="0"/>
      <w:divBdr>
        <w:top w:val="none" w:sz="0" w:space="0" w:color="auto"/>
        <w:left w:val="none" w:sz="0" w:space="0" w:color="auto"/>
        <w:bottom w:val="none" w:sz="0" w:space="0" w:color="auto"/>
        <w:right w:val="none" w:sz="0" w:space="0" w:color="auto"/>
      </w:divBdr>
    </w:div>
    <w:div w:id="962660829">
      <w:bodyDiv w:val="1"/>
      <w:marLeft w:val="0"/>
      <w:marRight w:val="0"/>
      <w:marTop w:val="0"/>
      <w:marBottom w:val="0"/>
      <w:divBdr>
        <w:top w:val="none" w:sz="0" w:space="0" w:color="auto"/>
        <w:left w:val="none" w:sz="0" w:space="0" w:color="auto"/>
        <w:bottom w:val="none" w:sz="0" w:space="0" w:color="auto"/>
        <w:right w:val="none" w:sz="0" w:space="0" w:color="auto"/>
      </w:divBdr>
    </w:div>
    <w:div w:id="970790841">
      <w:bodyDiv w:val="1"/>
      <w:marLeft w:val="0"/>
      <w:marRight w:val="0"/>
      <w:marTop w:val="0"/>
      <w:marBottom w:val="0"/>
      <w:divBdr>
        <w:top w:val="none" w:sz="0" w:space="0" w:color="auto"/>
        <w:left w:val="none" w:sz="0" w:space="0" w:color="auto"/>
        <w:bottom w:val="none" w:sz="0" w:space="0" w:color="auto"/>
        <w:right w:val="none" w:sz="0" w:space="0" w:color="auto"/>
      </w:divBdr>
    </w:div>
    <w:div w:id="970868920">
      <w:bodyDiv w:val="1"/>
      <w:marLeft w:val="0"/>
      <w:marRight w:val="0"/>
      <w:marTop w:val="0"/>
      <w:marBottom w:val="0"/>
      <w:divBdr>
        <w:top w:val="none" w:sz="0" w:space="0" w:color="auto"/>
        <w:left w:val="none" w:sz="0" w:space="0" w:color="auto"/>
        <w:bottom w:val="none" w:sz="0" w:space="0" w:color="auto"/>
        <w:right w:val="none" w:sz="0" w:space="0" w:color="auto"/>
      </w:divBdr>
    </w:div>
    <w:div w:id="979920005">
      <w:bodyDiv w:val="1"/>
      <w:marLeft w:val="0"/>
      <w:marRight w:val="0"/>
      <w:marTop w:val="0"/>
      <w:marBottom w:val="0"/>
      <w:divBdr>
        <w:top w:val="none" w:sz="0" w:space="0" w:color="auto"/>
        <w:left w:val="none" w:sz="0" w:space="0" w:color="auto"/>
        <w:bottom w:val="none" w:sz="0" w:space="0" w:color="auto"/>
        <w:right w:val="none" w:sz="0" w:space="0" w:color="auto"/>
      </w:divBdr>
    </w:div>
    <w:div w:id="984118304">
      <w:bodyDiv w:val="1"/>
      <w:marLeft w:val="0"/>
      <w:marRight w:val="0"/>
      <w:marTop w:val="0"/>
      <w:marBottom w:val="0"/>
      <w:divBdr>
        <w:top w:val="none" w:sz="0" w:space="0" w:color="auto"/>
        <w:left w:val="none" w:sz="0" w:space="0" w:color="auto"/>
        <w:bottom w:val="none" w:sz="0" w:space="0" w:color="auto"/>
        <w:right w:val="none" w:sz="0" w:space="0" w:color="auto"/>
      </w:divBdr>
    </w:div>
    <w:div w:id="985007724">
      <w:bodyDiv w:val="1"/>
      <w:marLeft w:val="0"/>
      <w:marRight w:val="0"/>
      <w:marTop w:val="0"/>
      <w:marBottom w:val="0"/>
      <w:divBdr>
        <w:top w:val="none" w:sz="0" w:space="0" w:color="auto"/>
        <w:left w:val="none" w:sz="0" w:space="0" w:color="auto"/>
        <w:bottom w:val="none" w:sz="0" w:space="0" w:color="auto"/>
        <w:right w:val="none" w:sz="0" w:space="0" w:color="auto"/>
      </w:divBdr>
    </w:div>
    <w:div w:id="990183891">
      <w:bodyDiv w:val="1"/>
      <w:marLeft w:val="0"/>
      <w:marRight w:val="0"/>
      <w:marTop w:val="0"/>
      <w:marBottom w:val="0"/>
      <w:divBdr>
        <w:top w:val="none" w:sz="0" w:space="0" w:color="auto"/>
        <w:left w:val="none" w:sz="0" w:space="0" w:color="auto"/>
        <w:bottom w:val="none" w:sz="0" w:space="0" w:color="auto"/>
        <w:right w:val="none" w:sz="0" w:space="0" w:color="auto"/>
      </w:divBdr>
    </w:div>
    <w:div w:id="991104060">
      <w:bodyDiv w:val="1"/>
      <w:marLeft w:val="0"/>
      <w:marRight w:val="0"/>
      <w:marTop w:val="0"/>
      <w:marBottom w:val="0"/>
      <w:divBdr>
        <w:top w:val="none" w:sz="0" w:space="0" w:color="auto"/>
        <w:left w:val="none" w:sz="0" w:space="0" w:color="auto"/>
        <w:bottom w:val="none" w:sz="0" w:space="0" w:color="auto"/>
        <w:right w:val="none" w:sz="0" w:space="0" w:color="auto"/>
      </w:divBdr>
      <w:divsChild>
        <w:div w:id="1639845230">
          <w:marLeft w:val="1080"/>
          <w:marRight w:val="0"/>
          <w:marTop w:val="0"/>
          <w:marBottom w:val="0"/>
          <w:divBdr>
            <w:top w:val="none" w:sz="0" w:space="0" w:color="auto"/>
            <w:left w:val="none" w:sz="0" w:space="0" w:color="auto"/>
            <w:bottom w:val="none" w:sz="0" w:space="0" w:color="auto"/>
            <w:right w:val="none" w:sz="0" w:space="0" w:color="auto"/>
          </w:divBdr>
        </w:div>
      </w:divsChild>
    </w:div>
    <w:div w:id="991720452">
      <w:bodyDiv w:val="1"/>
      <w:marLeft w:val="0"/>
      <w:marRight w:val="0"/>
      <w:marTop w:val="0"/>
      <w:marBottom w:val="0"/>
      <w:divBdr>
        <w:top w:val="none" w:sz="0" w:space="0" w:color="auto"/>
        <w:left w:val="none" w:sz="0" w:space="0" w:color="auto"/>
        <w:bottom w:val="none" w:sz="0" w:space="0" w:color="auto"/>
        <w:right w:val="none" w:sz="0" w:space="0" w:color="auto"/>
      </w:divBdr>
    </w:div>
    <w:div w:id="998113487">
      <w:bodyDiv w:val="1"/>
      <w:marLeft w:val="0"/>
      <w:marRight w:val="0"/>
      <w:marTop w:val="0"/>
      <w:marBottom w:val="0"/>
      <w:divBdr>
        <w:top w:val="none" w:sz="0" w:space="0" w:color="auto"/>
        <w:left w:val="none" w:sz="0" w:space="0" w:color="auto"/>
        <w:bottom w:val="none" w:sz="0" w:space="0" w:color="auto"/>
        <w:right w:val="none" w:sz="0" w:space="0" w:color="auto"/>
      </w:divBdr>
    </w:div>
    <w:div w:id="998342080">
      <w:bodyDiv w:val="1"/>
      <w:marLeft w:val="0"/>
      <w:marRight w:val="0"/>
      <w:marTop w:val="0"/>
      <w:marBottom w:val="0"/>
      <w:divBdr>
        <w:top w:val="none" w:sz="0" w:space="0" w:color="auto"/>
        <w:left w:val="none" w:sz="0" w:space="0" w:color="auto"/>
        <w:bottom w:val="none" w:sz="0" w:space="0" w:color="auto"/>
        <w:right w:val="none" w:sz="0" w:space="0" w:color="auto"/>
      </w:divBdr>
    </w:div>
    <w:div w:id="1001195804">
      <w:bodyDiv w:val="1"/>
      <w:marLeft w:val="0"/>
      <w:marRight w:val="0"/>
      <w:marTop w:val="0"/>
      <w:marBottom w:val="0"/>
      <w:divBdr>
        <w:top w:val="none" w:sz="0" w:space="0" w:color="auto"/>
        <w:left w:val="none" w:sz="0" w:space="0" w:color="auto"/>
        <w:bottom w:val="none" w:sz="0" w:space="0" w:color="auto"/>
        <w:right w:val="none" w:sz="0" w:space="0" w:color="auto"/>
      </w:divBdr>
    </w:div>
    <w:div w:id="1005018597">
      <w:bodyDiv w:val="1"/>
      <w:marLeft w:val="0"/>
      <w:marRight w:val="0"/>
      <w:marTop w:val="0"/>
      <w:marBottom w:val="0"/>
      <w:divBdr>
        <w:top w:val="none" w:sz="0" w:space="0" w:color="auto"/>
        <w:left w:val="none" w:sz="0" w:space="0" w:color="auto"/>
        <w:bottom w:val="none" w:sz="0" w:space="0" w:color="auto"/>
        <w:right w:val="none" w:sz="0" w:space="0" w:color="auto"/>
      </w:divBdr>
    </w:div>
    <w:div w:id="1011293863">
      <w:bodyDiv w:val="1"/>
      <w:marLeft w:val="0"/>
      <w:marRight w:val="0"/>
      <w:marTop w:val="0"/>
      <w:marBottom w:val="0"/>
      <w:divBdr>
        <w:top w:val="none" w:sz="0" w:space="0" w:color="auto"/>
        <w:left w:val="none" w:sz="0" w:space="0" w:color="auto"/>
        <w:bottom w:val="none" w:sz="0" w:space="0" w:color="auto"/>
        <w:right w:val="none" w:sz="0" w:space="0" w:color="auto"/>
      </w:divBdr>
    </w:div>
    <w:div w:id="1013842977">
      <w:bodyDiv w:val="1"/>
      <w:marLeft w:val="0"/>
      <w:marRight w:val="0"/>
      <w:marTop w:val="0"/>
      <w:marBottom w:val="0"/>
      <w:divBdr>
        <w:top w:val="none" w:sz="0" w:space="0" w:color="auto"/>
        <w:left w:val="none" w:sz="0" w:space="0" w:color="auto"/>
        <w:bottom w:val="none" w:sz="0" w:space="0" w:color="auto"/>
        <w:right w:val="none" w:sz="0" w:space="0" w:color="auto"/>
      </w:divBdr>
    </w:div>
    <w:div w:id="1022632675">
      <w:bodyDiv w:val="1"/>
      <w:marLeft w:val="0"/>
      <w:marRight w:val="0"/>
      <w:marTop w:val="0"/>
      <w:marBottom w:val="0"/>
      <w:divBdr>
        <w:top w:val="none" w:sz="0" w:space="0" w:color="auto"/>
        <w:left w:val="none" w:sz="0" w:space="0" w:color="auto"/>
        <w:bottom w:val="none" w:sz="0" w:space="0" w:color="auto"/>
        <w:right w:val="none" w:sz="0" w:space="0" w:color="auto"/>
      </w:divBdr>
    </w:div>
    <w:div w:id="1026639843">
      <w:bodyDiv w:val="1"/>
      <w:marLeft w:val="0"/>
      <w:marRight w:val="0"/>
      <w:marTop w:val="0"/>
      <w:marBottom w:val="0"/>
      <w:divBdr>
        <w:top w:val="none" w:sz="0" w:space="0" w:color="auto"/>
        <w:left w:val="none" w:sz="0" w:space="0" w:color="auto"/>
        <w:bottom w:val="none" w:sz="0" w:space="0" w:color="auto"/>
        <w:right w:val="none" w:sz="0" w:space="0" w:color="auto"/>
      </w:divBdr>
    </w:div>
    <w:div w:id="1029376696">
      <w:bodyDiv w:val="1"/>
      <w:marLeft w:val="0"/>
      <w:marRight w:val="0"/>
      <w:marTop w:val="0"/>
      <w:marBottom w:val="0"/>
      <w:divBdr>
        <w:top w:val="none" w:sz="0" w:space="0" w:color="auto"/>
        <w:left w:val="none" w:sz="0" w:space="0" w:color="auto"/>
        <w:bottom w:val="none" w:sz="0" w:space="0" w:color="auto"/>
        <w:right w:val="none" w:sz="0" w:space="0" w:color="auto"/>
      </w:divBdr>
    </w:div>
    <w:div w:id="1029532376">
      <w:bodyDiv w:val="1"/>
      <w:marLeft w:val="0"/>
      <w:marRight w:val="0"/>
      <w:marTop w:val="0"/>
      <w:marBottom w:val="0"/>
      <w:divBdr>
        <w:top w:val="none" w:sz="0" w:space="0" w:color="auto"/>
        <w:left w:val="none" w:sz="0" w:space="0" w:color="auto"/>
        <w:bottom w:val="none" w:sz="0" w:space="0" w:color="auto"/>
        <w:right w:val="none" w:sz="0" w:space="0" w:color="auto"/>
      </w:divBdr>
    </w:div>
    <w:div w:id="1029718382">
      <w:bodyDiv w:val="1"/>
      <w:marLeft w:val="0"/>
      <w:marRight w:val="0"/>
      <w:marTop w:val="0"/>
      <w:marBottom w:val="0"/>
      <w:divBdr>
        <w:top w:val="none" w:sz="0" w:space="0" w:color="auto"/>
        <w:left w:val="none" w:sz="0" w:space="0" w:color="auto"/>
        <w:bottom w:val="none" w:sz="0" w:space="0" w:color="auto"/>
        <w:right w:val="none" w:sz="0" w:space="0" w:color="auto"/>
      </w:divBdr>
    </w:div>
    <w:div w:id="1031567176">
      <w:bodyDiv w:val="1"/>
      <w:marLeft w:val="0"/>
      <w:marRight w:val="0"/>
      <w:marTop w:val="0"/>
      <w:marBottom w:val="0"/>
      <w:divBdr>
        <w:top w:val="none" w:sz="0" w:space="0" w:color="auto"/>
        <w:left w:val="none" w:sz="0" w:space="0" w:color="auto"/>
        <w:bottom w:val="none" w:sz="0" w:space="0" w:color="auto"/>
        <w:right w:val="none" w:sz="0" w:space="0" w:color="auto"/>
      </w:divBdr>
      <w:divsChild>
        <w:div w:id="44915345">
          <w:marLeft w:val="446"/>
          <w:marRight w:val="0"/>
          <w:marTop w:val="0"/>
          <w:marBottom w:val="0"/>
          <w:divBdr>
            <w:top w:val="none" w:sz="0" w:space="0" w:color="auto"/>
            <w:left w:val="none" w:sz="0" w:space="0" w:color="auto"/>
            <w:bottom w:val="none" w:sz="0" w:space="0" w:color="auto"/>
            <w:right w:val="none" w:sz="0" w:space="0" w:color="auto"/>
          </w:divBdr>
        </w:div>
        <w:div w:id="111093889">
          <w:marLeft w:val="446"/>
          <w:marRight w:val="0"/>
          <w:marTop w:val="0"/>
          <w:marBottom w:val="0"/>
          <w:divBdr>
            <w:top w:val="none" w:sz="0" w:space="0" w:color="auto"/>
            <w:left w:val="none" w:sz="0" w:space="0" w:color="auto"/>
            <w:bottom w:val="none" w:sz="0" w:space="0" w:color="auto"/>
            <w:right w:val="none" w:sz="0" w:space="0" w:color="auto"/>
          </w:divBdr>
        </w:div>
        <w:div w:id="142159111">
          <w:marLeft w:val="446"/>
          <w:marRight w:val="0"/>
          <w:marTop w:val="0"/>
          <w:marBottom w:val="0"/>
          <w:divBdr>
            <w:top w:val="none" w:sz="0" w:space="0" w:color="auto"/>
            <w:left w:val="none" w:sz="0" w:space="0" w:color="auto"/>
            <w:bottom w:val="none" w:sz="0" w:space="0" w:color="auto"/>
            <w:right w:val="none" w:sz="0" w:space="0" w:color="auto"/>
          </w:divBdr>
        </w:div>
        <w:div w:id="616721050">
          <w:marLeft w:val="1166"/>
          <w:marRight w:val="0"/>
          <w:marTop w:val="0"/>
          <w:marBottom w:val="0"/>
          <w:divBdr>
            <w:top w:val="none" w:sz="0" w:space="0" w:color="auto"/>
            <w:left w:val="none" w:sz="0" w:space="0" w:color="auto"/>
            <w:bottom w:val="none" w:sz="0" w:space="0" w:color="auto"/>
            <w:right w:val="none" w:sz="0" w:space="0" w:color="auto"/>
          </w:divBdr>
        </w:div>
        <w:div w:id="674304897">
          <w:marLeft w:val="1166"/>
          <w:marRight w:val="0"/>
          <w:marTop w:val="0"/>
          <w:marBottom w:val="0"/>
          <w:divBdr>
            <w:top w:val="none" w:sz="0" w:space="0" w:color="auto"/>
            <w:left w:val="none" w:sz="0" w:space="0" w:color="auto"/>
            <w:bottom w:val="none" w:sz="0" w:space="0" w:color="auto"/>
            <w:right w:val="none" w:sz="0" w:space="0" w:color="auto"/>
          </w:divBdr>
        </w:div>
        <w:div w:id="1142817148">
          <w:marLeft w:val="446"/>
          <w:marRight w:val="0"/>
          <w:marTop w:val="0"/>
          <w:marBottom w:val="0"/>
          <w:divBdr>
            <w:top w:val="none" w:sz="0" w:space="0" w:color="auto"/>
            <w:left w:val="none" w:sz="0" w:space="0" w:color="auto"/>
            <w:bottom w:val="none" w:sz="0" w:space="0" w:color="auto"/>
            <w:right w:val="none" w:sz="0" w:space="0" w:color="auto"/>
          </w:divBdr>
        </w:div>
        <w:div w:id="1219394430">
          <w:marLeft w:val="1166"/>
          <w:marRight w:val="0"/>
          <w:marTop w:val="0"/>
          <w:marBottom w:val="0"/>
          <w:divBdr>
            <w:top w:val="none" w:sz="0" w:space="0" w:color="auto"/>
            <w:left w:val="none" w:sz="0" w:space="0" w:color="auto"/>
            <w:bottom w:val="none" w:sz="0" w:space="0" w:color="auto"/>
            <w:right w:val="none" w:sz="0" w:space="0" w:color="auto"/>
          </w:divBdr>
        </w:div>
        <w:div w:id="1342899987">
          <w:marLeft w:val="1166"/>
          <w:marRight w:val="0"/>
          <w:marTop w:val="0"/>
          <w:marBottom w:val="0"/>
          <w:divBdr>
            <w:top w:val="none" w:sz="0" w:space="0" w:color="auto"/>
            <w:left w:val="none" w:sz="0" w:space="0" w:color="auto"/>
            <w:bottom w:val="none" w:sz="0" w:space="0" w:color="auto"/>
            <w:right w:val="none" w:sz="0" w:space="0" w:color="auto"/>
          </w:divBdr>
        </w:div>
        <w:div w:id="1461991125">
          <w:marLeft w:val="1166"/>
          <w:marRight w:val="0"/>
          <w:marTop w:val="0"/>
          <w:marBottom w:val="0"/>
          <w:divBdr>
            <w:top w:val="none" w:sz="0" w:space="0" w:color="auto"/>
            <w:left w:val="none" w:sz="0" w:space="0" w:color="auto"/>
            <w:bottom w:val="none" w:sz="0" w:space="0" w:color="auto"/>
            <w:right w:val="none" w:sz="0" w:space="0" w:color="auto"/>
          </w:divBdr>
        </w:div>
        <w:div w:id="1763377264">
          <w:marLeft w:val="1166"/>
          <w:marRight w:val="0"/>
          <w:marTop w:val="0"/>
          <w:marBottom w:val="0"/>
          <w:divBdr>
            <w:top w:val="none" w:sz="0" w:space="0" w:color="auto"/>
            <w:left w:val="none" w:sz="0" w:space="0" w:color="auto"/>
            <w:bottom w:val="none" w:sz="0" w:space="0" w:color="auto"/>
            <w:right w:val="none" w:sz="0" w:space="0" w:color="auto"/>
          </w:divBdr>
        </w:div>
        <w:div w:id="1893226294">
          <w:marLeft w:val="1166"/>
          <w:marRight w:val="0"/>
          <w:marTop w:val="0"/>
          <w:marBottom w:val="0"/>
          <w:divBdr>
            <w:top w:val="none" w:sz="0" w:space="0" w:color="auto"/>
            <w:left w:val="none" w:sz="0" w:space="0" w:color="auto"/>
            <w:bottom w:val="none" w:sz="0" w:space="0" w:color="auto"/>
            <w:right w:val="none" w:sz="0" w:space="0" w:color="auto"/>
          </w:divBdr>
        </w:div>
        <w:div w:id="2008825722">
          <w:marLeft w:val="446"/>
          <w:marRight w:val="0"/>
          <w:marTop w:val="0"/>
          <w:marBottom w:val="0"/>
          <w:divBdr>
            <w:top w:val="none" w:sz="0" w:space="0" w:color="auto"/>
            <w:left w:val="none" w:sz="0" w:space="0" w:color="auto"/>
            <w:bottom w:val="none" w:sz="0" w:space="0" w:color="auto"/>
            <w:right w:val="none" w:sz="0" w:space="0" w:color="auto"/>
          </w:divBdr>
        </w:div>
      </w:divsChild>
    </w:div>
    <w:div w:id="1041172424">
      <w:bodyDiv w:val="1"/>
      <w:marLeft w:val="0"/>
      <w:marRight w:val="0"/>
      <w:marTop w:val="0"/>
      <w:marBottom w:val="0"/>
      <w:divBdr>
        <w:top w:val="none" w:sz="0" w:space="0" w:color="auto"/>
        <w:left w:val="none" w:sz="0" w:space="0" w:color="auto"/>
        <w:bottom w:val="none" w:sz="0" w:space="0" w:color="auto"/>
        <w:right w:val="none" w:sz="0" w:space="0" w:color="auto"/>
      </w:divBdr>
    </w:div>
    <w:div w:id="1041441706">
      <w:bodyDiv w:val="1"/>
      <w:marLeft w:val="0"/>
      <w:marRight w:val="0"/>
      <w:marTop w:val="0"/>
      <w:marBottom w:val="0"/>
      <w:divBdr>
        <w:top w:val="none" w:sz="0" w:space="0" w:color="auto"/>
        <w:left w:val="none" w:sz="0" w:space="0" w:color="auto"/>
        <w:bottom w:val="none" w:sz="0" w:space="0" w:color="auto"/>
        <w:right w:val="none" w:sz="0" w:space="0" w:color="auto"/>
      </w:divBdr>
    </w:div>
    <w:div w:id="1044208266">
      <w:bodyDiv w:val="1"/>
      <w:marLeft w:val="0"/>
      <w:marRight w:val="0"/>
      <w:marTop w:val="0"/>
      <w:marBottom w:val="0"/>
      <w:divBdr>
        <w:top w:val="none" w:sz="0" w:space="0" w:color="auto"/>
        <w:left w:val="none" w:sz="0" w:space="0" w:color="auto"/>
        <w:bottom w:val="none" w:sz="0" w:space="0" w:color="auto"/>
        <w:right w:val="none" w:sz="0" w:space="0" w:color="auto"/>
      </w:divBdr>
    </w:div>
    <w:div w:id="1044790620">
      <w:bodyDiv w:val="1"/>
      <w:marLeft w:val="0"/>
      <w:marRight w:val="0"/>
      <w:marTop w:val="0"/>
      <w:marBottom w:val="0"/>
      <w:divBdr>
        <w:top w:val="none" w:sz="0" w:space="0" w:color="auto"/>
        <w:left w:val="none" w:sz="0" w:space="0" w:color="auto"/>
        <w:bottom w:val="none" w:sz="0" w:space="0" w:color="auto"/>
        <w:right w:val="none" w:sz="0" w:space="0" w:color="auto"/>
      </w:divBdr>
    </w:div>
    <w:div w:id="1045789499">
      <w:bodyDiv w:val="1"/>
      <w:marLeft w:val="0"/>
      <w:marRight w:val="0"/>
      <w:marTop w:val="0"/>
      <w:marBottom w:val="0"/>
      <w:divBdr>
        <w:top w:val="none" w:sz="0" w:space="0" w:color="auto"/>
        <w:left w:val="none" w:sz="0" w:space="0" w:color="auto"/>
        <w:bottom w:val="none" w:sz="0" w:space="0" w:color="auto"/>
        <w:right w:val="none" w:sz="0" w:space="0" w:color="auto"/>
      </w:divBdr>
    </w:div>
    <w:div w:id="1049035654">
      <w:bodyDiv w:val="1"/>
      <w:marLeft w:val="0"/>
      <w:marRight w:val="0"/>
      <w:marTop w:val="0"/>
      <w:marBottom w:val="0"/>
      <w:divBdr>
        <w:top w:val="none" w:sz="0" w:space="0" w:color="auto"/>
        <w:left w:val="none" w:sz="0" w:space="0" w:color="auto"/>
        <w:bottom w:val="none" w:sz="0" w:space="0" w:color="auto"/>
        <w:right w:val="none" w:sz="0" w:space="0" w:color="auto"/>
      </w:divBdr>
    </w:div>
    <w:div w:id="1052535400">
      <w:bodyDiv w:val="1"/>
      <w:marLeft w:val="0"/>
      <w:marRight w:val="0"/>
      <w:marTop w:val="0"/>
      <w:marBottom w:val="0"/>
      <w:divBdr>
        <w:top w:val="none" w:sz="0" w:space="0" w:color="auto"/>
        <w:left w:val="none" w:sz="0" w:space="0" w:color="auto"/>
        <w:bottom w:val="none" w:sz="0" w:space="0" w:color="auto"/>
        <w:right w:val="none" w:sz="0" w:space="0" w:color="auto"/>
      </w:divBdr>
    </w:div>
    <w:div w:id="1059673614">
      <w:bodyDiv w:val="1"/>
      <w:marLeft w:val="0"/>
      <w:marRight w:val="0"/>
      <w:marTop w:val="0"/>
      <w:marBottom w:val="0"/>
      <w:divBdr>
        <w:top w:val="none" w:sz="0" w:space="0" w:color="auto"/>
        <w:left w:val="none" w:sz="0" w:space="0" w:color="auto"/>
        <w:bottom w:val="none" w:sz="0" w:space="0" w:color="auto"/>
        <w:right w:val="none" w:sz="0" w:space="0" w:color="auto"/>
      </w:divBdr>
    </w:div>
    <w:div w:id="1060716430">
      <w:bodyDiv w:val="1"/>
      <w:marLeft w:val="0"/>
      <w:marRight w:val="0"/>
      <w:marTop w:val="0"/>
      <w:marBottom w:val="0"/>
      <w:divBdr>
        <w:top w:val="none" w:sz="0" w:space="0" w:color="auto"/>
        <w:left w:val="none" w:sz="0" w:space="0" w:color="auto"/>
        <w:bottom w:val="none" w:sz="0" w:space="0" w:color="auto"/>
        <w:right w:val="none" w:sz="0" w:space="0" w:color="auto"/>
      </w:divBdr>
    </w:div>
    <w:div w:id="1065104438">
      <w:bodyDiv w:val="1"/>
      <w:marLeft w:val="0"/>
      <w:marRight w:val="0"/>
      <w:marTop w:val="0"/>
      <w:marBottom w:val="0"/>
      <w:divBdr>
        <w:top w:val="none" w:sz="0" w:space="0" w:color="auto"/>
        <w:left w:val="none" w:sz="0" w:space="0" w:color="auto"/>
        <w:bottom w:val="none" w:sz="0" w:space="0" w:color="auto"/>
        <w:right w:val="none" w:sz="0" w:space="0" w:color="auto"/>
      </w:divBdr>
    </w:div>
    <w:div w:id="1067651264">
      <w:bodyDiv w:val="1"/>
      <w:marLeft w:val="0"/>
      <w:marRight w:val="0"/>
      <w:marTop w:val="0"/>
      <w:marBottom w:val="0"/>
      <w:divBdr>
        <w:top w:val="none" w:sz="0" w:space="0" w:color="auto"/>
        <w:left w:val="none" w:sz="0" w:space="0" w:color="auto"/>
        <w:bottom w:val="none" w:sz="0" w:space="0" w:color="auto"/>
        <w:right w:val="none" w:sz="0" w:space="0" w:color="auto"/>
      </w:divBdr>
      <w:divsChild>
        <w:div w:id="835535858">
          <w:marLeft w:val="1080"/>
          <w:marRight w:val="0"/>
          <w:marTop w:val="0"/>
          <w:marBottom w:val="0"/>
          <w:divBdr>
            <w:top w:val="none" w:sz="0" w:space="0" w:color="auto"/>
            <w:left w:val="none" w:sz="0" w:space="0" w:color="auto"/>
            <w:bottom w:val="none" w:sz="0" w:space="0" w:color="auto"/>
            <w:right w:val="none" w:sz="0" w:space="0" w:color="auto"/>
          </w:divBdr>
        </w:div>
      </w:divsChild>
    </w:div>
    <w:div w:id="1071463914">
      <w:bodyDiv w:val="1"/>
      <w:marLeft w:val="0"/>
      <w:marRight w:val="0"/>
      <w:marTop w:val="0"/>
      <w:marBottom w:val="0"/>
      <w:divBdr>
        <w:top w:val="none" w:sz="0" w:space="0" w:color="auto"/>
        <w:left w:val="none" w:sz="0" w:space="0" w:color="auto"/>
        <w:bottom w:val="none" w:sz="0" w:space="0" w:color="auto"/>
        <w:right w:val="none" w:sz="0" w:space="0" w:color="auto"/>
      </w:divBdr>
    </w:div>
    <w:div w:id="1072041845">
      <w:bodyDiv w:val="1"/>
      <w:marLeft w:val="0"/>
      <w:marRight w:val="0"/>
      <w:marTop w:val="0"/>
      <w:marBottom w:val="0"/>
      <w:divBdr>
        <w:top w:val="none" w:sz="0" w:space="0" w:color="auto"/>
        <w:left w:val="none" w:sz="0" w:space="0" w:color="auto"/>
        <w:bottom w:val="none" w:sz="0" w:space="0" w:color="auto"/>
        <w:right w:val="none" w:sz="0" w:space="0" w:color="auto"/>
      </w:divBdr>
    </w:div>
    <w:div w:id="1073545347">
      <w:bodyDiv w:val="1"/>
      <w:marLeft w:val="0"/>
      <w:marRight w:val="0"/>
      <w:marTop w:val="0"/>
      <w:marBottom w:val="0"/>
      <w:divBdr>
        <w:top w:val="none" w:sz="0" w:space="0" w:color="auto"/>
        <w:left w:val="none" w:sz="0" w:space="0" w:color="auto"/>
        <w:bottom w:val="none" w:sz="0" w:space="0" w:color="auto"/>
        <w:right w:val="none" w:sz="0" w:space="0" w:color="auto"/>
      </w:divBdr>
    </w:div>
    <w:div w:id="1075280748">
      <w:bodyDiv w:val="1"/>
      <w:marLeft w:val="0"/>
      <w:marRight w:val="0"/>
      <w:marTop w:val="0"/>
      <w:marBottom w:val="0"/>
      <w:divBdr>
        <w:top w:val="none" w:sz="0" w:space="0" w:color="auto"/>
        <w:left w:val="none" w:sz="0" w:space="0" w:color="auto"/>
        <w:bottom w:val="none" w:sz="0" w:space="0" w:color="auto"/>
        <w:right w:val="none" w:sz="0" w:space="0" w:color="auto"/>
      </w:divBdr>
    </w:div>
    <w:div w:id="1076586062">
      <w:bodyDiv w:val="1"/>
      <w:marLeft w:val="0"/>
      <w:marRight w:val="0"/>
      <w:marTop w:val="0"/>
      <w:marBottom w:val="0"/>
      <w:divBdr>
        <w:top w:val="none" w:sz="0" w:space="0" w:color="auto"/>
        <w:left w:val="none" w:sz="0" w:space="0" w:color="auto"/>
        <w:bottom w:val="none" w:sz="0" w:space="0" w:color="auto"/>
        <w:right w:val="none" w:sz="0" w:space="0" w:color="auto"/>
      </w:divBdr>
    </w:div>
    <w:div w:id="1083182068">
      <w:bodyDiv w:val="1"/>
      <w:marLeft w:val="0"/>
      <w:marRight w:val="0"/>
      <w:marTop w:val="0"/>
      <w:marBottom w:val="0"/>
      <w:divBdr>
        <w:top w:val="none" w:sz="0" w:space="0" w:color="auto"/>
        <w:left w:val="none" w:sz="0" w:space="0" w:color="auto"/>
        <w:bottom w:val="none" w:sz="0" w:space="0" w:color="auto"/>
        <w:right w:val="none" w:sz="0" w:space="0" w:color="auto"/>
      </w:divBdr>
    </w:div>
    <w:div w:id="1089616844">
      <w:bodyDiv w:val="1"/>
      <w:marLeft w:val="0"/>
      <w:marRight w:val="0"/>
      <w:marTop w:val="0"/>
      <w:marBottom w:val="0"/>
      <w:divBdr>
        <w:top w:val="none" w:sz="0" w:space="0" w:color="auto"/>
        <w:left w:val="none" w:sz="0" w:space="0" w:color="auto"/>
        <w:bottom w:val="none" w:sz="0" w:space="0" w:color="auto"/>
        <w:right w:val="none" w:sz="0" w:space="0" w:color="auto"/>
      </w:divBdr>
    </w:div>
    <w:div w:id="1090855158">
      <w:bodyDiv w:val="1"/>
      <w:marLeft w:val="0"/>
      <w:marRight w:val="0"/>
      <w:marTop w:val="0"/>
      <w:marBottom w:val="0"/>
      <w:divBdr>
        <w:top w:val="none" w:sz="0" w:space="0" w:color="auto"/>
        <w:left w:val="none" w:sz="0" w:space="0" w:color="auto"/>
        <w:bottom w:val="none" w:sz="0" w:space="0" w:color="auto"/>
        <w:right w:val="none" w:sz="0" w:space="0" w:color="auto"/>
      </w:divBdr>
    </w:div>
    <w:div w:id="1091779975">
      <w:bodyDiv w:val="1"/>
      <w:marLeft w:val="0"/>
      <w:marRight w:val="0"/>
      <w:marTop w:val="0"/>
      <w:marBottom w:val="0"/>
      <w:divBdr>
        <w:top w:val="none" w:sz="0" w:space="0" w:color="auto"/>
        <w:left w:val="none" w:sz="0" w:space="0" w:color="auto"/>
        <w:bottom w:val="none" w:sz="0" w:space="0" w:color="auto"/>
        <w:right w:val="none" w:sz="0" w:space="0" w:color="auto"/>
      </w:divBdr>
    </w:div>
    <w:div w:id="1092048734">
      <w:bodyDiv w:val="1"/>
      <w:marLeft w:val="0"/>
      <w:marRight w:val="0"/>
      <w:marTop w:val="0"/>
      <w:marBottom w:val="0"/>
      <w:divBdr>
        <w:top w:val="none" w:sz="0" w:space="0" w:color="auto"/>
        <w:left w:val="none" w:sz="0" w:space="0" w:color="auto"/>
        <w:bottom w:val="none" w:sz="0" w:space="0" w:color="auto"/>
        <w:right w:val="none" w:sz="0" w:space="0" w:color="auto"/>
      </w:divBdr>
    </w:div>
    <w:div w:id="1093206285">
      <w:bodyDiv w:val="1"/>
      <w:marLeft w:val="0"/>
      <w:marRight w:val="0"/>
      <w:marTop w:val="0"/>
      <w:marBottom w:val="0"/>
      <w:divBdr>
        <w:top w:val="none" w:sz="0" w:space="0" w:color="auto"/>
        <w:left w:val="none" w:sz="0" w:space="0" w:color="auto"/>
        <w:bottom w:val="none" w:sz="0" w:space="0" w:color="auto"/>
        <w:right w:val="none" w:sz="0" w:space="0" w:color="auto"/>
      </w:divBdr>
    </w:div>
    <w:div w:id="1094936712">
      <w:bodyDiv w:val="1"/>
      <w:marLeft w:val="0"/>
      <w:marRight w:val="0"/>
      <w:marTop w:val="0"/>
      <w:marBottom w:val="0"/>
      <w:divBdr>
        <w:top w:val="none" w:sz="0" w:space="0" w:color="auto"/>
        <w:left w:val="none" w:sz="0" w:space="0" w:color="auto"/>
        <w:bottom w:val="none" w:sz="0" w:space="0" w:color="auto"/>
        <w:right w:val="none" w:sz="0" w:space="0" w:color="auto"/>
      </w:divBdr>
    </w:div>
    <w:div w:id="1095323824">
      <w:bodyDiv w:val="1"/>
      <w:marLeft w:val="0"/>
      <w:marRight w:val="0"/>
      <w:marTop w:val="0"/>
      <w:marBottom w:val="0"/>
      <w:divBdr>
        <w:top w:val="none" w:sz="0" w:space="0" w:color="auto"/>
        <w:left w:val="none" w:sz="0" w:space="0" w:color="auto"/>
        <w:bottom w:val="none" w:sz="0" w:space="0" w:color="auto"/>
        <w:right w:val="none" w:sz="0" w:space="0" w:color="auto"/>
      </w:divBdr>
    </w:div>
    <w:div w:id="1096439577">
      <w:bodyDiv w:val="1"/>
      <w:marLeft w:val="0"/>
      <w:marRight w:val="0"/>
      <w:marTop w:val="0"/>
      <w:marBottom w:val="0"/>
      <w:divBdr>
        <w:top w:val="none" w:sz="0" w:space="0" w:color="auto"/>
        <w:left w:val="none" w:sz="0" w:space="0" w:color="auto"/>
        <w:bottom w:val="none" w:sz="0" w:space="0" w:color="auto"/>
        <w:right w:val="none" w:sz="0" w:space="0" w:color="auto"/>
      </w:divBdr>
    </w:div>
    <w:div w:id="1100880725">
      <w:bodyDiv w:val="1"/>
      <w:marLeft w:val="0"/>
      <w:marRight w:val="0"/>
      <w:marTop w:val="0"/>
      <w:marBottom w:val="0"/>
      <w:divBdr>
        <w:top w:val="none" w:sz="0" w:space="0" w:color="auto"/>
        <w:left w:val="none" w:sz="0" w:space="0" w:color="auto"/>
        <w:bottom w:val="none" w:sz="0" w:space="0" w:color="auto"/>
        <w:right w:val="none" w:sz="0" w:space="0" w:color="auto"/>
      </w:divBdr>
    </w:div>
    <w:div w:id="1101409406">
      <w:bodyDiv w:val="1"/>
      <w:marLeft w:val="0"/>
      <w:marRight w:val="0"/>
      <w:marTop w:val="0"/>
      <w:marBottom w:val="0"/>
      <w:divBdr>
        <w:top w:val="none" w:sz="0" w:space="0" w:color="auto"/>
        <w:left w:val="none" w:sz="0" w:space="0" w:color="auto"/>
        <w:bottom w:val="none" w:sz="0" w:space="0" w:color="auto"/>
        <w:right w:val="none" w:sz="0" w:space="0" w:color="auto"/>
      </w:divBdr>
    </w:div>
    <w:div w:id="1102262472">
      <w:bodyDiv w:val="1"/>
      <w:marLeft w:val="0"/>
      <w:marRight w:val="0"/>
      <w:marTop w:val="0"/>
      <w:marBottom w:val="0"/>
      <w:divBdr>
        <w:top w:val="none" w:sz="0" w:space="0" w:color="auto"/>
        <w:left w:val="none" w:sz="0" w:space="0" w:color="auto"/>
        <w:bottom w:val="none" w:sz="0" w:space="0" w:color="auto"/>
        <w:right w:val="none" w:sz="0" w:space="0" w:color="auto"/>
      </w:divBdr>
    </w:div>
    <w:div w:id="1106971414">
      <w:bodyDiv w:val="1"/>
      <w:marLeft w:val="0"/>
      <w:marRight w:val="0"/>
      <w:marTop w:val="0"/>
      <w:marBottom w:val="0"/>
      <w:divBdr>
        <w:top w:val="none" w:sz="0" w:space="0" w:color="auto"/>
        <w:left w:val="none" w:sz="0" w:space="0" w:color="auto"/>
        <w:bottom w:val="none" w:sz="0" w:space="0" w:color="auto"/>
        <w:right w:val="none" w:sz="0" w:space="0" w:color="auto"/>
      </w:divBdr>
    </w:div>
    <w:div w:id="1111588133">
      <w:bodyDiv w:val="1"/>
      <w:marLeft w:val="0"/>
      <w:marRight w:val="0"/>
      <w:marTop w:val="0"/>
      <w:marBottom w:val="0"/>
      <w:divBdr>
        <w:top w:val="none" w:sz="0" w:space="0" w:color="auto"/>
        <w:left w:val="none" w:sz="0" w:space="0" w:color="auto"/>
        <w:bottom w:val="none" w:sz="0" w:space="0" w:color="auto"/>
        <w:right w:val="none" w:sz="0" w:space="0" w:color="auto"/>
      </w:divBdr>
    </w:div>
    <w:div w:id="1116942491">
      <w:bodyDiv w:val="1"/>
      <w:marLeft w:val="0"/>
      <w:marRight w:val="0"/>
      <w:marTop w:val="0"/>
      <w:marBottom w:val="0"/>
      <w:divBdr>
        <w:top w:val="none" w:sz="0" w:space="0" w:color="auto"/>
        <w:left w:val="none" w:sz="0" w:space="0" w:color="auto"/>
        <w:bottom w:val="none" w:sz="0" w:space="0" w:color="auto"/>
        <w:right w:val="none" w:sz="0" w:space="0" w:color="auto"/>
      </w:divBdr>
    </w:div>
    <w:div w:id="1117602030">
      <w:bodyDiv w:val="1"/>
      <w:marLeft w:val="0"/>
      <w:marRight w:val="0"/>
      <w:marTop w:val="0"/>
      <w:marBottom w:val="0"/>
      <w:divBdr>
        <w:top w:val="none" w:sz="0" w:space="0" w:color="auto"/>
        <w:left w:val="none" w:sz="0" w:space="0" w:color="auto"/>
        <w:bottom w:val="none" w:sz="0" w:space="0" w:color="auto"/>
        <w:right w:val="none" w:sz="0" w:space="0" w:color="auto"/>
      </w:divBdr>
    </w:div>
    <w:div w:id="1118453411">
      <w:bodyDiv w:val="1"/>
      <w:marLeft w:val="0"/>
      <w:marRight w:val="0"/>
      <w:marTop w:val="0"/>
      <w:marBottom w:val="0"/>
      <w:divBdr>
        <w:top w:val="none" w:sz="0" w:space="0" w:color="auto"/>
        <w:left w:val="none" w:sz="0" w:space="0" w:color="auto"/>
        <w:bottom w:val="none" w:sz="0" w:space="0" w:color="auto"/>
        <w:right w:val="none" w:sz="0" w:space="0" w:color="auto"/>
      </w:divBdr>
    </w:div>
    <w:div w:id="1123960263">
      <w:bodyDiv w:val="1"/>
      <w:marLeft w:val="0"/>
      <w:marRight w:val="0"/>
      <w:marTop w:val="0"/>
      <w:marBottom w:val="0"/>
      <w:divBdr>
        <w:top w:val="none" w:sz="0" w:space="0" w:color="auto"/>
        <w:left w:val="none" w:sz="0" w:space="0" w:color="auto"/>
        <w:bottom w:val="none" w:sz="0" w:space="0" w:color="auto"/>
        <w:right w:val="none" w:sz="0" w:space="0" w:color="auto"/>
      </w:divBdr>
    </w:div>
    <w:div w:id="1131366708">
      <w:bodyDiv w:val="1"/>
      <w:marLeft w:val="0"/>
      <w:marRight w:val="0"/>
      <w:marTop w:val="0"/>
      <w:marBottom w:val="0"/>
      <w:divBdr>
        <w:top w:val="none" w:sz="0" w:space="0" w:color="auto"/>
        <w:left w:val="none" w:sz="0" w:space="0" w:color="auto"/>
        <w:bottom w:val="none" w:sz="0" w:space="0" w:color="auto"/>
        <w:right w:val="none" w:sz="0" w:space="0" w:color="auto"/>
      </w:divBdr>
    </w:div>
    <w:div w:id="1131482335">
      <w:bodyDiv w:val="1"/>
      <w:marLeft w:val="0"/>
      <w:marRight w:val="0"/>
      <w:marTop w:val="0"/>
      <w:marBottom w:val="0"/>
      <w:divBdr>
        <w:top w:val="none" w:sz="0" w:space="0" w:color="auto"/>
        <w:left w:val="none" w:sz="0" w:space="0" w:color="auto"/>
        <w:bottom w:val="none" w:sz="0" w:space="0" w:color="auto"/>
        <w:right w:val="none" w:sz="0" w:space="0" w:color="auto"/>
      </w:divBdr>
    </w:div>
    <w:div w:id="1135639686">
      <w:bodyDiv w:val="1"/>
      <w:marLeft w:val="0"/>
      <w:marRight w:val="0"/>
      <w:marTop w:val="0"/>
      <w:marBottom w:val="0"/>
      <w:divBdr>
        <w:top w:val="none" w:sz="0" w:space="0" w:color="auto"/>
        <w:left w:val="none" w:sz="0" w:space="0" w:color="auto"/>
        <w:bottom w:val="none" w:sz="0" w:space="0" w:color="auto"/>
        <w:right w:val="none" w:sz="0" w:space="0" w:color="auto"/>
      </w:divBdr>
    </w:div>
    <w:div w:id="1139105394">
      <w:bodyDiv w:val="1"/>
      <w:marLeft w:val="0"/>
      <w:marRight w:val="0"/>
      <w:marTop w:val="0"/>
      <w:marBottom w:val="0"/>
      <w:divBdr>
        <w:top w:val="none" w:sz="0" w:space="0" w:color="auto"/>
        <w:left w:val="none" w:sz="0" w:space="0" w:color="auto"/>
        <w:bottom w:val="none" w:sz="0" w:space="0" w:color="auto"/>
        <w:right w:val="none" w:sz="0" w:space="0" w:color="auto"/>
      </w:divBdr>
    </w:div>
    <w:div w:id="1140029029">
      <w:bodyDiv w:val="1"/>
      <w:marLeft w:val="0"/>
      <w:marRight w:val="0"/>
      <w:marTop w:val="0"/>
      <w:marBottom w:val="0"/>
      <w:divBdr>
        <w:top w:val="none" w:sz="0" w:space="0" w:color="auto"/>
        <w:left w:val="none" w:sz="0" w:space="0" w:color="auto"/>
        <w:bottom w:val="none" w:sz="0" w:space="0" w:color="auto"/>
        <w:right w:val="none" w:sz="0" w:space="0" w:color="auto"/>
      </w:divBdr>
    </w:div>
    <w:div w:id="1161386914">
      <w:bodyDiv w:val="1"/>
      <w:marLeft w:val="0"/>
      <w:marRight w:val="0"/>
      <w:marTop w:val="0"/>
      <w:marBottom w:val="0"/>
      <w:divBdr>
        <w:top w:val="none" w:sz="0" w:space="0" w:color="auto"/>
        <w:left w:val="none" w:sz="0" w:space="0" w:color="auto"/>
        <w:bottom w:val="none" w:sz="0" w:space="0" w:color="auto"/>
        <w:right w:val="none" w:sz="0" w:space="0" w:color="auto"/>
      </w:divBdr>
    </w:div>
    <w:div w:id="1166748272">
      <w:bodyDiv w:val="1"/>
      <w:marLeft w:val="0"/>
      <w:marRight w:val="0"/>
      <w:marTop w:val="0"/>
      <w:marBottom w:val="0"/>
      <w:divBdr>
        <w:top w:val="none" w:sz="0" w:space="0" w:color="auto"/>
        <w:left w:val="none" w:sz="0" w:space="0" w:color="auto"/>
        <w:bottom w:val="none" w:sz="0" w:space="0" w:color="auto"/>
        <w:right w:val="none" w:sz="0" w:space="0" w:color="auto"/>
      </w:divBdr>
    </w:div>
    <w:div w:id="1171677862">
      <w:bodyDiv w:val="1"/>
      <w:marLeft w:val="0"/>
      <w:marRight w:val="0"/>
      <w:marTop w:val="0"/>
      <w:marBottom w:val="0"/>
      <w:divBdr>
        <w:top w:val="none" w:sz="0" w:space="0" w:color="auto"/>
        <w:left w:val="none" w:sz="0" w:space="0" w:color="auto"/>
        <w:bottom w:val="none" w:sz="0" w:space="0" w:color="auto"/>
        <w:right w:val="none" w:sz="0" w:space="0" w:color="auto"/>
      </w:divBdr>
    </w:div>
    <w:div w:id="1174884151">
      <w:bodyDiv w:val="1"/>
      <w:marLeft w:val="0"/>
      <w:marRight w:val="0"/>
      <w:marTop w:val="0"/>
      <w:marBottom w:val="0"/>
      <w:divBdr>
        <w:top w:val="none" w:sz="0" w:space="0" w:color="auto"/>
        <w:left w:val="none" w:sz="0" w:space="0" w:color="auto"/>
        <w:bottom w:val="none" w:sz="0" w:space="0" w:color="auto"/>
        <w:right w:val="none" w:sz="0" w:space="0" w:color="auto"/>
      </w:divBdr>
    </w:div>
    <w:div w:id="1178041979">
      <w:bodyDiv w:val="1"/>
      <w:marLeft w:val="0"/>
      <w:marRight w:val="0"/>
      <w:marTop w:val="0"/>
      <w:marBottom w:val="0"/>
      <w:divBdr>
        <w:top w:val="none" w:sz="0" w:space="0" w:color="auto"/>
        <w:left w:val="none" w:sz="0" w:space="0" w:color="auto"/>
        <w:bottom w:val="none" w:sz="0" w:space="0" w:color="auto"/>
        <w:right w:val="none" w:sz="0" w:space="0" w:color="auto"/>
      </w:divBdr>
    </w:div>
    <w:div w:id="1180585559">
      <w:bodyDiv w:val="1"/>
      <w:marLeft w:val="0"/>
      <w:marRight w:val="0"/>
      <w:marTop w:val="0"/>
      <w:marBottom w:val="0"/>
      <w:divBdr>
        <w:top w:val="none" w:sz="0" w:space="0" w:color="auto"/>
        <w:left w:val="none" w:sz="0" w:space="0" w:color="auto"/>
        <w:bottom w:val="none" w:sz="0" w:space="0" w:color="auto"/>
        <w:right w:val="none" w:sz="0" w:space="0" w:color="auto"/>
      </w:divBdr>
    </w:div>
    <w:div w:id="1181698096">
      <w:bodyDiv w:val="1"/>
      <w:marLeft w:val="0"/>
      <w:marRight w:val="0"/>
      <w:marTop w:val="0"/>
      <w:marBottom w:val="0"/>
      <w:divBdr>
        <w:top w:val="none" w:sz="0" w:space="0" w:color="auto"/>
        <w:left w:val="none" w:sz="0" w:space="0" w:color="auto"/>
        <w:bottom w:val="none" w:sz="0" w:space="0" w:color="auto"/>
        <w:right w:val="none" w:sz="0" w:space="0" w:color="auto"/>
      </w:divBdr>
    </w:div>
    <w:div w:id="1182162287">
      <w:bodyDiv w:val="1"/>
      <w:marLeft w:val="0"/>
      <w:marRight w:val="0"/>
      <w:marTop w:val="0"/>
      <w:marBottom w:val="0"/>
      <w:divBdr>
        <w:top w:val="none" w:sz="0" w:space="0" w:color="auto"/>
        <w:left w:val="none" w:sz="0" w:space="0" w:color="auto"/>
        <w:bottom w:val="none" w:sz="0" w:space="0" w:color="auto"/>
        <w:right w:val="none" w:sz="0" w:space="0" w:color="auto"/>
      </w:divBdr>
    </w:div>
    <w:div w:id="1197889676">
      <w:bodyDiv w:val="1"/>
      <w:marLeft w:val="0"/>
      <w:marRight w:val="0"/>
      <w:marTop w:val="0"/>
      <w:marBottom w:val="0"/>
      <w:divBdr>
        <w:top w:val="none" w:sz="0" w:space="0" w:color="auto"/>
        <w:left w:val="none" w:sz="0" w:space="0" w:color="auto"/>
        <w:bottom w:val="none" w:sz="0" w:space="0" w:color="auto"/>
        <w:right w:val="none" w:sz="0" w:space="0" w:color="auto"/>
      </w:divBdr>
    </w:div>
    <w:div w:id="1201090746">
      <w:bodyDiv w:val="1"/>
      <w:marLeft w:val="0"/>
      <w:marRight w:val="0"/>
      <w:marTop w:val="0"/>
      <w:marBottom w:val="0"/>
      <w:divBdr>
        <w:top w:val="none" w:sz="0" w:space="0" w:color="auto"/>
        <w:left w:val="none" w:sz="0" w:space="0" w:color="auto"/>
        <w:bottom w:val="none" w:sz="0" w:space="0" w:color="auto"/>
        <w:right w:val="none" w:sz="0" w:space="0" w:color="auto"/>
      </w:divBdr>
    </w:div>
    <w:div w:id="1203592952">
      <w:bodyDiv w:val="1"/>
      <w:marLeft w:val="0"/>
      <w:marRight w:val="0"/>
      <w:marTop w:val="0"/>
      <w:marBottom w:val="0"/>
      <w:divBdr>
        <w:top w:val="none" w:sz="0" w:space="0" w:color="auto"/>
        <w:left w:val="none" w:sz="0" w:space="0" w:color="auto"/>
        <w:bottom w:val="none" w:sz="0" w:space="0" w:color="auto"/>
        <w:right w:val="none" w:sz="0" w:space="0" w:color="auto"/>
      </w:divBdr>
    </w:div>
    <w:div w:id="1204295324">
      <w:bodyDiv w:val="1"/>
      <w:marLeft w:val="0"/>
      <w:marRight w:val="0"/>
      <w:marTop w:val="0"/>
      <w:marBottom w:val="0"/>
      <w:divBdr>
        <w:top w:val="none" w:sz="0" w:space="0" w:color="auto"/>
        <w:left w:val="none" w:sz="0" w:space="0" w:color="auto"/>
        <w:bottom w:val="none" w:sz="0" w:space="0" w:color="auto"/>
        <w:right w:val="none" w:sz="0" w:space="0" w:color="auto"/>
      </w:divBdr>
    </w:div>
    <w:div w:id="1209495429">
      <w:bodyDiv w:val="1"/>
      <w:marLeft w:val="0"/>
      <w:marRight w:val="0"/>
      <w:marTop w:val="0"/>
      <w:marBottom w:val="0"/>
      <w:divBdr>
        <w:top w:val="none" w:sz="0" w:space="0" w:color="auto"/>
        <w:left w:val="none" w:sz="0" w:space="0" w:color="auto"/>
        <w:bottom w:val="none" w:sz="0" w:space="0" w:color="auto"/>
        <w:right w:val="none" w:sz="0" w:space="0" w:color="auto"/>
      </w:divBdr>
    </w:div>
    <w:div w:id="1230730484">
      <w:bodyDiv w:val="1"/>
      <w:marLeft w:val="0"/>
      <w:marRight w:val="0"/>
      <w:marTop w:val="0"/>
      <w:marBottom w:val="0"/>
      <w:divBdr>
        <w:top w:val="none" w:sz="0" w:space="0" w:color="auto"/>
        <w:left w:val="none" w:sz="0" w:space="0" w:color="auto"/>
        <w:bottom w:val="none" w:sz="0" w:space="0" w:color="auto"/>
        <w:right w:val="none" w:sz="0" w:space="0" w:color="auto"/>
      </w:divBdr>
    </w:div>
    <w:div w:id="1232496370">
      <w:bodyDiv w:val="1"/>
      <w:marLeft w:val="0"/>
      <w:marRight w:val="0"/>
      <w:marTop w:val="0"/>
      <w:marBottom w:val="0"/>
      <w:divBdr>
        <w:top w:val="none" w:sz="0" w:space="0" w:color="auto"/>
        <w:left w:val="none" w:sz="0" w:space="0" w:color="auto"/>
        <w:bottom w:val="none" w:sz="0" w:space="0" w:color="auto"/>
        <w:right w:val="none" w:sz="0" w:space="0" w:color="auto"/>
      </w:divBdr>
    </w:div>
    <w:div w:id="1234513790">
      <w:bodyDiv w:val="1"/>
      <w:marLeft w:val="0"/>
      <w:marRight w:val="0"/>
      <w:marTop w:val="0"/>
      <w:marBottom w:val="0"/>
      <w:divBdr>
        <w:top w:val="none" w:sz="0" w:space="0" w:color="auto"/>
        <w:left w:val="none" w:sz="0" w:space="0" w:color="auto"/>
        <w:bottom w:val="none" w:sz="0" w:space="0" w:color="auto"/>
        <w:right w:val="none" w:sz="0" w:space="0" w:color="auto"/>
      </w:divBdr>
    </w:div>
    <w:div w:id="1237127384">
      <w:bodyDiv w:val="1"/>
      <w:marLeft w:val="0"/>
      <w:marRight w:val="0"/>
      <w:marTop w:val="0"/>
      <w:marBottom w:val="0"/>
      <w:divBdr>
        <w:top w:val="none" w:sz="0" w:space="0" w:color="auto"/>
        <w:left w:val="none" w:sz="0" w:space="0" w:color="auto"/>
        <w:bottom w:val="none" w:sz="0" w:space="0" w:color="auto"/>
        <w:right w:val="none" w:sz="0" w:space="0" w:color="auto"/>
      </w:divBdr>
    </w:div>
    <w:div w:id="1242570427">
      <w:bodyDiv w:val="1"/>
      <w:marLeft w:val="0"/>
      <w:marRight w:val="0"/>
      <w:marTop w:val="0"/>
      <w:marBottom w:val="0"/>
      <w:divBdr>
        <w:top w:val="none" w:sz="0" w:space="0" w:color="auto"/>
        <w:left w:val="none" w:sz="0" w:space="0" w:color="auto"/>
        <w:bottom w:val="none" w:sz="0" w:space="0" w:color="auto"/>
        <w:right w:val="none" w:sz="0" w:space="0" w:color="auto"/>
      </w:divBdr>
    </w:div>
    <w:div w:id="1246301643">
      <w:bodyDiv w:val="1"/>
      <w:marLeft w:val="0"/>
      <w:marRight w:val="0"/>
      <w:marTop w:val="0"/>
      <w:marBottom w:val="0"/>
      <w:divBdr>
        <w:top w:val="none" w:sz="0" w:space="0" w:color="auto"/>
        <w:left w:val="none" w:sz="0" w:space="0" w:color="auto"/>
        <w:bottom w:val="none" w:sz="0" w:space="0" w:color="auto"/>
        <w:right w:val="none" w:sz="0" w:space="0" w:color="auto"/>
      </w:divBdr>
    </w:div>
    <w:div w:id="1247106749">
      <w:bodyDiv w:val="1"/>
      <w:marLeft w:val="0"/>
      <w:marRight w:val="0"/>
      <w:marTop w:val="0"/>
      <w:marBottom w:val="0"/>
      <w:divBdr>
        <w:top w:val="none" w:sz="0" w:space="0" w:color="auto"/>
        <w:left w:val="none" w:sz="0" w:space="0" w:color="auto"/>
        <w:bottom w:val="none" w:sz="0" w:space="0" w:color="auto"/>
        <w:right w:val="none" w:sz="0" w:space="0" w:color="auto"/>
      </w:divBdr>
    </w:div>
    <w:div w:id="1266235535">
      <w:bodyDiv w:val="1"/>
      <w:marLeft w:val="0"/>
      <w:marRight w:val="0"/>
      <w:marTop w:val="0"/>
      <w:marBottom w:val="0"/>
      <w:divBdr>
        <w:top w:val="none" w:sz="0" w:space="0" w:color="auto"/>
        <w:left w:val="none" w:sz="0" w:space="0" w:color="auto"/>
        <w:bottom w:val="none" w:sz="0" w:space="0" w:color="auto"/>
        <w:right w:val="none" w:sz="0" w:space="0" w:color="auto"/>
      </w:divBdr>
    </w:div>
    <w:div w:id="1273976431">
      <w:bodyDiv w:val="1"/>
      <w:marLeft w:val="0"/>
      <w:marRight w:val="0"/>
      <w:marTop w:val="0"/>
      <w:marBottom w:val="0"/>
      <w:divBdr>
        <w:top w:val="none" w:sz="0" w:space="0" w:color="auto"/>
        <w:left w:val="none" w:sz="0" w:space="0" w:color="auto"/>
        <w:bottom w:val="none" w:sz="0" w:space="0" w:color="auto"/>
        <w:right w:val="none" w:sz="0" w:space="0" w:color="auto"/>
      </w:divBdr>
    </w:div>
    <w:div w:id="1278221611">
      <w:bodyDiv w:val="1"/>
      <w:marLeft w:val="0"/>
      <w:marRight w:val="0"/>
      <w:marTop w:val="0"/>
      <w:marBottom w:val="0"/>
      <w:divBdr>
        <w:top w:val="none" w:sz="0" w:space="0" w:color="auto"/>
        <w:left w:val="none" w:sz="0" w:space="0" w:color="auto"/>
        <w:bottom w:val="none" w:sz="0" w:space="0" w:color="auto"/>
        <w:right w:val="none" w:sz="0" w:space="0" w:color="auto"/>
      </w:divBdr>
    </w:div>
    <w:div w:id="1283658827">
      <w:bodyDiv w:val="1"/>
      <w:marLeft w:val="0"/>
      <w:marRight w:val="0"/>
      <w:marTop w:val="0"/>
      <w:marBottom w:val="0"/>
      <w:divBdr>
        <w:top w:val="none" w:sz="0" w:space="0" w:color="auto"/>
        <w:left w:val="none" w:sz="0" w:space="0" w:color="auto"/>
        <w:bottom w:val="none" w:sz="0" w:space="0" w:color="auto"/>
        <w:right w:val="none" w:sz="0" w:space="0" w:color="auto"/>
      </w:divBdr>
    </w:div>
    <w:div w:id="1284530992">
      <w:bodyDiv w:val="1"/>
      <w:marLeft w:val="0"/>
      <w:marRight w:val="0"/>
      <w:marTop w:val="0"/>
      <w:marBottom w:val="0"/>
      <w:divBdr>
        <w:top w:val="none" w:sz="0" w:space="0" w:color="auto"/>
        <w:left w:val="none" w:sz="0" w:space="0" w:color="auto"/>
        <w:bottom w:val="none" w:sz="0" w:space="0" w:color="auto"/>
        <w:right w:val="none" w:sz="0" w:space="0" w:color="auto"/>
      </w:divBdr>
    </w:div>
    <w:div w:id="1300957461">
      <w:bodyDiv w:val="1"/>
      <w:marLeft w:val="0"/>
      <w:marRight w:val="0"/>
      <w:marTop w:val="0"/>
      <w:marBottom w:val="0"/>
      <w:divBdr>
        <w:top w:val="none" w:sz="0" w:space="0" w:color="auto"/>
        <w:left w:val="none" w:sz="0" w:space="0" w:color="auto"/>
        <w:bottom w:val="none" w:sz="0" w:space="0" w:color="auto"/>
        <w:right w:val="none" w:sz="0" w:space="0" w:color="auto"/>
      </w:divBdr>
    </w:div>
    <w:div w:id="1303730801">
      <w:bodyDiv w:val="1"/>
      <w:marLeft w:val="0"/>
      <w:marRight w:val="0"/>
      <w:marTop w:val="0"/>
      <w:marBottom w:val="0"/>
      <w:divBdr>
        <w:top w:val="none" w:sz="0" w:space="0" w:color="auto"/>
        <w:left w:val="none" w:sz="0" w:space="0" w:color="auto"/>
        <w:bottom w:val="none" w:sz="0" w:space="0" w:color="auto"/>
        <w:right w:val="none" w:sz="0" w:space="0" w:color="auto"/>
      </w:divBdr>
    </w:div>
    <w:div w:id="1320420457">
      <w:bodyDiv w:val="1"/>
      <w:marLeft w:val="0"/>
      <w:marRight w:val="0"/>
      <w:marTop w:val="0"/>
      <w:marBottom w:val="0"/>
      <w:divBdr>
        <w:top w:val="none" w:sz="0" w:space="0" w:color="auto"/>
        <w:left w:val="none" w:sz="0" w:space="0" w:color="auto"/>
        <w:bottom w:val="none" w:sz="0" w:space="0" w:color="auto"/>
        <w:right w:val="none" w:sz="0" w:space="0" w:color="auto"/>
      </w:divBdr>
    </w:div>
    <w:div w:id="1329673221">
      <w:bodyDiv w:val="1"/>
      <w:marLeft w:val="0"/>
      <w:marRight w:val="0"/>
      <w:marTop w:val="0"/>
      <w:marBottom w:val="0"/>
      <w:divBdr>
        <w:top w:val="none" w:sz="0" w:space="0" w:color="auto"/>
        <w:left w:val="none" w:sz="0" w:space="0" w:color="auto"/>
        <w:bottom w:val="none" w:sz="0" w:space="0" w:color="auto"/>
        <w:right w:val="none" w:sz="0" w:space="0" w:color="auto"/>
      </w:divBdr>
    </w:div>
    <w:div w:id="1333988450">
      <w:bodyDiv w:val="1"/>
      <w:marLeft w:val="0"/>
      <w:marRight w:val="0"/>
      <w:marTop w:val="0"/>
      <w:marBottom w:val="0"/>
      <w:divBdr>
        <w:top w:val="none" w:sz="0" w:space="0" w:color="auto"/>
        <w:left w:val="none" w:sz="0" w:space="0" w:color="auto"/>
        <w:bottom w:val="none" w:sz="0" w:space="0" w:color="auto"/>
        <w:right w:val="none" w:sz="0" w:space="0" w:color="auto"/>
      </w:divBdr>
    </w:div>
    <w:div w:id="1335571522">
      <w:bodyDiv w:val="1"/>
      <w:marLeft w:val="0"/>
      <w:marRight w:val="0"/>
      <w:marTop w:val="0"/>
      <w:marBottom w:val="0"/>
      <w:divBdr>
        <w:top w:val="none" w:sz="0" w:space="0" w:color="auto"/>
        <w:left w:val="none" w:sz="0" w:space="0" w:color="auto"/>
        <w:bottom w:val="none" w:sz="0" w:space="0" w:color="auto"/>
        <w:right w:val="none" w:sz="0" w:space="0" w:color="auto"/>
      </w:divBdr>
    </w:div>
    <w:div w:id="1335844746">
      <w:bodyDiv w:val="1"/>
      <w:marLeft w:val="0"/>
      <w:marRight w:val="0"/>
      <w:marTop w:val="0"/>
      <w:marBottom w:val="0"/>
      <w:divBdr>
        <w:top w:val="none" w:sz="0" w:space="0" w:color="auto"/>
        <w:left w:val="none" w:sz="0" w:space="0" w:color="auto"/>
        <w:bottom w:val="none" w:sz="0" w:space="0" w:color="auto"/>
        <w:right w:val="none" w:sz="0" w:space="0" w:color="auto"/>
      </w:divBdr>
    </w:div>
    <w:div w:id="1341856363">
      <w:bodyDiv w:val="1"/>
      <w:marLeft w:val="0"/>
      <w:marRight w:val="0"/>
      <w:marTop w:val="0"/>
      <w:marBottom w:val="0"/>
      <w:divBdr>
        <w:top w:val="none" w:sz="0" w:space="0" w:color="auto"/>
        <w:left w:val="none" w:sz="0" w:space="0" w:color="auto"/>
        <w:bottom w:val="none" w:sz="0" w:space="0" w:color="auto"/>
        <w:right w:val="none" w:sz="0" w:space="0" w:color="auto"/>
      </w:divBdr>
    </w:div>
    <w:div w:id="1347832069">
      <w:bodyDiv w:val="1"/>
      <w:marLeft w:val="0"/>
      <w:marRight w:val="0"/>
      <w:marTop w:val="0"/>
      <w:marBottom w:val="0"/>
      <w:divBdr>
        <w:top w:val="none" w:sz="0" w:space="0" w:color="auto"/>
        <w:left w:val="none" w:sz="0" w:space="0" w:color="auto"/>
        <w:bottom w:val="none" w:sz="0" w:space="0" w:color="auto"/>
        <w:right w:val="none" w:sz="0" w:space="0" w:color="auto"/>
      </w:divBdr>
    </w:div>
    <w:div w:id="1348092494">
      <w:bodyDiv w:val="1"/>
      <w:marLeft w:val="0"/>
      <w:marRight w:val="0"/>
      <w:marTop w:val="0"/>
      <w:marBottom w:val="0"/>
      <w:divBdr>
        <w:top w:val="none" w:sz="0" w:space="0" w:color="auto"/>
        <w:left w:val="none" w:sz="0" w:space="0" w:color="auto"/>
        <w:bottom w:val="none" w:sz="0" w:space="0" w:color="auto"/>
        <w:right w:val="none" w:sz="0" w:space="0" w:color="auto"/>
      </w:divBdr>
    </w:div>
    <w:div w:id="1349942109">
      <w:bodyDiv w:val="1"/>
      <w:marLeft w:val="0"/>
      <w:marRight w:val="0"/>
      <w:marTop w:val="0"/>
      <w:marBottom w:val="0"/>
      <w:divBdr>
        <w:top w:val="none" w:sz="0" w:space="0" w:color="auto"/>
        <w:left w:val="none" w:sz="0" w:space="0" w:color="auto"/>
        <w:bottom w:val="none" w:sz="0" w:space="0" w:color="auto"/>
        <w:right w:val="none" w:sz="0" w:space="0" w:color="auto"/>
      </w:divBdr>
    </w:div>
    <w:div w:id="1350063979">
      <w:bodyDiv w:val="1"/>
      <w:marLeft w:val="0"/>
      <w:marRight w:val="0"/>
      <w:marTop w:val="0"/>
      <w:marBottom w:val="0"/>
      <w:divBdr>
        <w:top w:val="none" w:sz="0" w:space="0" w:color="auto"/>
        <w:left w:val="none" w:sz="0" w:space="0" w:color="auto"/>
        <w:bottom w:val="none" w:sz="0" w:space="0" w:color="auto"/>
        <w:right w:val="none" w:sz="0" w:space="0" w:color="auto"/>
      </w:divBdr>
    </w:div>
    <w:div w:id="1366371579">
      <w:bodyDiv w:val="1"/>
      <w:marLeft w:val="0"/>
      <w:marRight w:val="0"/>
      <w:marTop w:val="0"/>
      <w:marBottom w:val="0"/>
      <w:divBdr>
        <w:top w:val="none" w:sz="0" w:space="0" w:color="auto"/>
        <w:left w:val="none" w:sz="0" w:space="0" w:color="auto"/>
        <w:bottom w:val="none" w:sz="0" w:space="0" w:color="auto"/>
        <w:right w:val="none" w:sz="0" w:space="0" w:color="auto"/>
      </w:divBdr>
    </w:div>
    <w:div w:id="1367608251">
      <w:bodyDiv w:val="1"/>
      <w:marLeft w:val="0"/>
      <w:marRight w:val="0"/>
      <w:marTop w:val="0"/>
      <w:marBottom w:val="0"/>
      <w:divBdr>
        <w:top w:val="none" w:sz="0" w:space="0" w:color="auto"/>
        <w:left w:val="none" w:sz="0" w:space="0" w:color="auto"/>
        <w:bottom w:val="none" w:sz="0" w:space="0" w:color="auto"/>
        <w:right w:val="none" w:sz="0" w:space="0" w:color="auto"/>
      </w:divBdr>
    </w:div>
    <w:div w:id="1369644947">
      <w:bodyDiv w:val="1"/>
      <w:marLeft w:val="0"/>
      <w:marRight w:val="0"/>
      <w:marTop w:val="0"/>
      <w:marBottom w:val="0"/>
      <w:divBdr>
        <w:top w:val="none" w:sz="0" w:space="0" w:color="auto"/>
        <w:left w:val="none" w:sz="0" w:space="0" w:color="auto"/>
        <w:bottom w:val="none" w:sz="0" w:space="0" w:color="auto"/>
        <w:right w:val="none" w:sz="0" w:space="0" w:color="auto"/>
      </w:divBdr>
      <w:divsChild>
        <w:div w:id="220409758">
          <w:marLeft w:val="1080"/>
          <w:marRight w:val="0"/>
          <w:marTop w:val="0"/>
          <w:marBottom w:val="0"/>
          <w:divBdr>
            <w:top w:val="none" w:sz="0" w:space="0" w:color="auto"/>
            <w:left w:val="none" w:sz="0" w:space="0" w:color="auto"/>
            <w:bottom w:val="none" w:sz="0" w:space="0" w:color="auto"/>
            <w:right w:val="none" w:sz="0" w:space="0" w:color="auto"/>
          </w:divBdr>
        </w:div>
      </w:divsChild>
    </w:div>
    <w:div w:id="1372000759">
      <w:bodyDiv w:val="1"/>
      <w:marLeft w:val="0"/>
      <w:marRight w:val="0"/>
      <w:marTop w:val="0"/>
      <w:marBottom w:val="0"/>
      <w:divBdr>
        <w:top w:val="none" w:sz="0" w:space="0" w:color="auto"/>
        <w:left w:val="none" w:sz="0" w:space="0" w:color="auto"/>
        <w:bottom w:val="none" w:sz="0" w:space="0" w:color="auto"/>
        <w:right w:val="none" w:sz="0" w:space="0" w:color="auto"/>
      </w:divBdr>
    </w:div>
    <w:div w:id="1372727673">
      <w:bodyDiv w:val="1"/>
      <w:marLeft w:val="0"/>
      <w:marRight w:val="0"/>
      <w:marTop w:val="0"/>
      <w:marBottom w:val="0"/>
      <w:divBdr>
        <w:top w:val="none" w:sz="0" w:space="0" w:color="auto"/>
        <w:left w:val="none" w:sz="0" w:space="0" w:color="auto"/>
        <w:bottom w:val="none" w:sz="0" w:space="0" w:color="auto"/>
        <w:right w:val="none" w:sz="0" w:space="0" w:color="auto"/>
      </w:divBdr>
    </w:div>
    <w:div w:id="1375035535">
      <w:bodyDiv w:val="1"/>
      <w:marLeft w:val="0"/>
      <w:marRight w:val="0"/>
      <w:marTop w:val="0"/>
      <w:marBottom w:val="0"/>
      <w:divBdr>
        <w:top w:val="none" w:sz="0" w:space="0" w:color="auto"/>
        <w:left w:val="none" w:sz="0" w:space="0" w:color="auto"/>
        <w:bottom w:val="none" w:sz="0" w:space="0" w:color="auto"/>
        <w:right w:val="none" w:sz="0" w:space="0" w:color="auto"/>
      </w:divBdr>
    </w:div>
    <w:div w:id="1375695332">
      <w:bodyDiv w:val="1"/>
      <w:marLeft w:val="0"/>
      <w:marRight w:val="0"/>
      <w:marTop w:val="0"/>
      <w:marBottom w:val="0"/>
      <w:divBdr>
        <w:top w:val="none" w:sz="0" w:space="0" w:color="auto"/>
        <w:left w:val="none" w:sz="0" w:space="0" w:color="auto"/>
        <w:bottom w:val="none" w:sz="0" w:space="0" w:color="auto"/>
        <w:right w:val="none" w:sz="0" w:space="0" w:color="auto"/>
      </w:divBdr>
    </w:div>
    <w:div w:id="1377004563">
      <w:bodyDiv w:val="1"/>
      <w:marLeft w:val="0"/>
      <w:marRight w:val="0"/>
      <w:marTop w:val="0"/>
      <w:marBottom w:val="0"/>
      <w:divBdr>
        <w:top w:val="none" w:sz="0" w:space="0" w:color="auto"/>
        <w:left w:val="none" w:sz="0" w:space="0" w:color="auto"/>
        <w:bottom w:val="none" w:sz="0" w:space="0" w:color="auto"/>
        <w:right w:val="none" w:sz="0" w:space="0" w:color="auto"/>
      </w:divBdr>
    </w:div>
    <w:div w:id="1378510396">
      <w:bodyDiv w:val="1"/>
      <w:marLeft w:val="0"/>
      <w:marRight w:val="0"/>
      <w:marTop w:val="0"/>
      <w:marBottom w:val="0"/>
      <w:divBdr>
        <w:top w:val="none" w:sz="0" w:space="0" w:color="auto"/>
        <w:left w:val="none" w:sz="0" w:space="0" w:color="auto"/>
        <w:bottom w:val="none" w:sz="0" w:space="0" w:color="auto"/>
        <w:right w:val="none" w:sz="0" w:space="0" w:color="auto"/>
      </w:divBdr>
    </w:div>
    <w:div w:id="1380058957">
      <w:bodyDiv w:val="1"/>
      <w:marLeft w:val="0"/>
      <w:marRight w:val="0"/>
      <w:marTop w:val="0"/>
      <w:marBottom w:val="0"/>
      <w:divBdr>
        <w:top w:val="none" w:sz="0" w:space="0" w:color="auto"/>
        <w:left w:val="none" w:sz="0" w:space="0" w:color="auto"/>
        <w:bottom w:val="none" w:sz="0" w:space="0" w:color="auto"/>
        <w:right w:val="none" w:sz="0" w:space="0" w:color="auto"/>
      </w:divBdr>
    </w:div>
    <w:div w:id="1391074639">
      <w:bodyDiv w:val="1"/>
      <w:marLeft w:val="0"/>
      <w:marRight w:val="0"/>
      <w:marTop w:val="0"/>
      <w:marBottom w:val="0"/>
      <w:divBdr>
        <w:top w:val="none" w:sz="0" w:space="0" w:color="auto"/>
        <w:left w:val="none" w:sz="0" w:space="0" w:color="auto"/>
        <w:bottom w:val="none" w:sz="0" w:space="0" w:color="auto"/>
        <w:right w:val="none" w:sz="0" w:space="0" w:color="auto"/>
      </w:divBdr>
    </w:div>
    <w:div w:id="1391152728">
      <w:bodyDiv w:val="1"/>
      <w:marLeft w:val="0"/>
      <w:marRight w:val="0"/>
      <w:marTop w:val="0"/>
      <w:marBottom w:val="0"/>
      <w:divBdr>
        <w:top w:val="none" w:sz="0" w:space="0" w:color="auto"/>
        <w:left w:val="none" w:sz="0" w:space="0" w:color="auto"/>
        <w:bottom w:val="none" w:sz="0" w:space="0" w:color="auto"/>
        <w:right w:val="none" w:sz="0" w:space="0" w:color="auto"/>
      </w:divBdr>
    </w:div>
    <w:div w:id="1398241809">
      <w:bodyDiv w:val="1"/>
      <w:marLeft w:val="0"/>
      <w:marRight w:val="0"/>
      <w:marTop w:val="0"/>
      <w:marBottom w:val="0"/>
      <w:divBdr>
        <w:top w:val="none" w:sz="0" w:space="0" w:color="auto"/>
        <w:left w:val="none" w:sz="0" w:space="0" w:color="auto"/>
        <w:bottom w:val="none" w:sz="0" w:space="0" w:color="auto"/>
        <w:right w:val="none" w:sz="0" w:space="0" w:color="auto"/>
      </w:divBdr>
    </w:div>
    <w:div w:id="1402218339">
      <w:bodyDiv w:val="1"/>
      <w:marLeft w:val="0"/>
      <w:marRight w:val="0"/>
      <w:marTop w:val="0"/>
      <w:marBottom w:val="0"/>
      <w:divBdr>
        <w:top w:val="none" w:sz="0" w:space="0" w:color="auto"/>
        <w:left w:val="none" w:sz="0" w:space="0" w:color="auto"/>
        <w:bottom w:val="none" w:sz="0" w:space="0" w:color="auto"/>
        <w:right w:val="none" w:sz="0" w:space="0" w:color="auto"/>
      </w:divBdr>
    </w:div>
    <w:div w:id="1411461355">
      <w:bodyDiv w:val="1"/>
      <w:marLeft w:val="0"/>
      <w:marRight w:val="0"/>
      <w:marTop w:val="0"/>
      <w:marBottom w:val="0"/>
      <w:divBdr>
        <w:top w:val="none" w:sz="0" w:space="0" w:color="auto"/>
        <w:left w:val="none" w:sz="0" w:space="0" w:color="auto"/>
        <w:bottom w:val="none" w:sz="0" w:space="0" w:color="auto"/>
        <w:right w:val="none" w:sz="0" w:space="0" w:color="auto"/>
      </w:divBdr>
    </w:div>
    <w:div w:id="1412316478">
      <w:bodyDiv w:val="1"/>
      <w:marLeft w:val="0"/>
      <w:marRight w:val="0"/>
      <w:marTop w:val="0"/>
      <w:marBottom w:val="0"/>
      <w:divBdr>
        <w:top w:val="none" w:sz="0" w:space="0" w:color="auto"/>
        <w:left w:val="none" w:sz="0" w:space="0" w:color="auto"/>
        <w:bottom w:val="none" w:sz="0" w:space="0" w:color="auto"/>
        <w:right w:val="none" w:sz="0" w:space="0" w:color="auto"/>
      </w:divBdr>
    </w:div>
    <w:div w:id="1412897508">
      <w:bodyDiv w:val="1"/>
      <w:marLeft w:val="0"/>
      <w:marRight w:val="0"/>
      <w:marTop w:val="0"/>
      <w:marBottom w:val="0"/>
      <w:divBdr>
        <w:top w:val="none" w:sz="0" w:space="0" w:color="auto"/>
        <w:left w:val="none" w:sz="0" w:space="0" w:color="auto"/>
        <w:bottom w:val="none" w:sz="0" w:space="0" w:color="auto"/>
        <w:right w:val="none" w:sz="0" w:space="0" w:color="auto"/>
      </w:divBdr>
    </w:div>
    <w:div w:id="1413234424">
      <w:bodyDiv w:val="1"/>
      <w:marLeft w:val="0"/>
      <w:marRight w:val="0"/>
      <w:marTop w:val="0"/>
      <w:marBottom w:val="0"/>
      <w:divBdr>
        <w:top w:val="none" w:sz="0" w:space="0" w:color="auto"/>
        <w:left w:val="none" w:sz="0" w:space="0" w:color="auto"/>
        <w:bottom w:val="none" w:sz="0" w:space="0" w:color="auto"/>
        <w:right w:val="none" w:sz="0" w:space="0" w:color="auto"/>
      </w:divBdr>
    </w:div>
    <w:div w:id="1415854411">
      <w:bodyDiv w:val="1"/>
      <w:marLeft w:val="0"/>
      <w:marRight w:val="0"/>
      <w:marTop w:val="0"/>
      <w:marBottom w:val="0"/>
      <w:divBdr>
        <w:top w:val="none" w:sz="0" w:space="0" w:color="auto"/>
        <w:left w:val="none" w:sz="0" w:space="0" w:color="auto"/>
        <w:bottom w:val="none" w:sz="0" w:space="0" w:color="auto"/>
        <w:right w:val="none" w:sz="0" w:space="0" w:color="auto"/>
      </w:divBdr>
    </w:div>
    <w:div w:id="1421948645">
      <w:bodyDiv w:val="1"/>
      <w:marLeft w:val="0"/>
      <w:marRight w:val="0"/>
      <w:marTop w:val="0"/>
      <w:marBottom w:val="0"/>
      <w:divBdr>
        <w:top w:val="none" w:sz="0" w:space="0" w:color="auto"/>
        <w:left w:val="none" w:sz="0" w:space="0" w:color="auto"/>
        <w:bottom w:val="none" w:sz="0" w:space="0" w:color="auto"/>
        <w:right w:val="none" w:sz="0" w:space="0" w:color="auto"/>
      </w:divBdr>
    </w:div>
    <w:div w:id="1427074231">
      <w:bodyDiv w:val="1"/>
      <w:marLeft w:val="0"/>
      <w:marRight w:val="0"/>
      <w:marTop w:val="0"/>
      <w:marBottom w:val="0"/>
      <w:divBdr>
        <w:top w:val="none" w:sz="0" w:space="0" w:color="auto"/>
        <w:left w:val="none" w:sz="0" w:space="0" w:color="auto"/>
        <w:bottom w:val="none" w:sz="0" w:space="0" w:color="auto"/>
        <w:right w:val="none" w:sz="0" w:space="0" w:color="auto"/>
      </w:divBdr>
    </w:div>
    <w:div w:id="1427267900">
      <w:bodyDiv w:val="1"/>
      <w:marLeft w:val="0"/>
      <w:marRight w:val="0"/>
      <w:marTop w:val="0"/>
      <w:marBottom w:val="0"/>
      <w:divBdr>
        <w:top w:val="none" w:sz="0" w:space="0" w:color="auto"/>
        <w:left w:val="none" w:sz="0" w:space="0" w:color="auto"/>
        <w:bottom w:val="none" w:sz="0" w:space="0" w:color="auto"/>
        <w:right w:val="none" w:sz="0" w:space="0" w:color="auto"/>
      </w:divBdr>
    </w:div>
    <w:div w:id="1433280591">
      <w:bodyDiv w:val="1"/>
      <w:marLeft w:val="0"/>
      <w:marRight w:val="0"/>
      <w:marTop w:val="0"/>
      <w:marBottom w:val="0"/>
      <w:divBdr>
        <w:top w:val="none" w:sz="0" w:space="0" w:color="auto"/>
        <w:left w:val="none" w:sz="0" w:space="0" w:color="auto"/>
        <w:bottom w:val="none" w:sz="0" w:space="0" w:color="auto"/>
        <w:right w:val="none" w:sz="0" w:space="0" w:color="auto"/>
      </w:divBdr>
    </w:div>
    <w:div w:id="1440296455">
      <w:bodyDiv w:val="1"/>
      <w:marLeft w:val="0"/>
      <w:marRight w:val="0"/>
      <w:marTop w:val="0"/>
      <w:marBottom w:val="0"/>
      <w:divBdr>
        <w:top w:val="none" w:sz="0" w:space="0" w:color="auto"/>
        <w:left w:val="none" w:sz="0" w:space="0" w:color="auto"/>
        <w:bottom w:val="none" w:sz="0" w:space="0" w:color="auto"/>
        <w:right w:val="none" w:sz="0" w:space="0" w:color="auto"/>
      </w:divBdr>
    </w:div>
    <w:div w:id="1447965729">
      <w:bodyDiv w:val="1"/>
      <w:marLeft w:val="0"/>
      <w:marRight w:val="0"/>
      <w:marTop w:val="0"/>
      <w:marBottom w:val="0"/>
      <w:divBdr>
        <w:top w:val="none" w:sz="0" w:space="0" w:color="auto"/>
        <w:left w:val="none" w:sz="0" w:space="0" w:color="auto"/>
        <w:bottom w:val="none" w:sz="0" w:space="0" w:color="auto"/>
        <w:right w:val="none" w:sz="0" w:space="0" w:color="auto"/>
      </w:divBdr>
    </w:div>
    <w:div w:id="1449619892">
      <w:bodyDiv w:val="1"/>
      <w:marLeft w:val="0"/>
      <w:marRight w:val="0"/>
      <w:marTop w:val="0"/>
      <w:marBottom w:val="0"/>
      <w:divBdr>
        <w:top w:val="none" w:sz="0" w:space="0" w:color="auto"/>
        <w:left w:val="none" w:sz="0" w:space="0" w:color="auto"/>
        <w:bottom w:val="none" w:sz="0" w:space="0" w:color="auto"/>
        <w:right w:val="none" w:sz="0" w:space="0" w:color="auto"/>
      </w:divBdr>
    </w:div>
    <w:div w:id="1455709585">
      <w:bodyDiv w:val="1"/>
      <w:marLeft w:val="0"/>
      <w:marRight w:val="0"/>
      <w:marTop w:val="0"/>
      <w:marBottom w:val="0"/>
      <w:divBdr>
        <w:top w:val="none" w:sz="0" w:space="0" w:color="auto"/>
        <w:left w:val="none" w:sz="0" w:space="0" w:color="auto"/>
        <w:bottom w:val="none" w:sz="0" w:space="0" w:color="auto"/>
        <w:right w:val="none" w:sz="0" w:space="0" w:color="auto"/>
      </w:divBdr>
    </w:div>
    <w:div w:id="1459303871">
      <w:bodyDiv w:val="1"/>
      <w:marLeft w:val="0"/>
      <w:marRight w:val="0"/>
      <w:marTop w:val="0"/>
      <w:marBottom w:val="0"/>
      <w:divBdr>
        <w:top w:val="none" w:sz="0" w:space="0" w:color="auto"/>
        <w:left w:val="none" w:sz="0" w:space="0" w:color="auto"/>
        <w:bottom w:val="none" w:sz="0" w:space="0" w:color="auto"/>
        <w:right w:val="none" w:sz="0" w:space="0" w:color="auto"/>
      </w:divBdr>
    </w:div>
    <w:div w:id="1462965673">
      <w:bodyDiv w:val="1"/>
      <w:marLeft w:val="0"/>
      <w:marRight w:val="0"/>
      <w:marTop w:val="0"/>
      <w:marBottom w:val="0"/>
      <w:divBdr>
        <w:top w:val="none" w:sz="0" w:space="0" w:color="auto"/>
        <w:left w:val="none" w:sz="0" w:space="0" w:color="auto"/>
        <w:bottom w:val="none" w:sz="0" w:space="0" w:color="auto"/>
        <w:right w:val="none" w:sz="0" w:space="0" w:color="auto"/>
      </w:divBdr>
    </w:div>
    <w:div w:id="1465847568">
      <w:bodyDiv w:val="1"/>
      <w:marLeft w:val="0"/>
      <w:marRight w:val="0"/>
      <w:marTop w:val="0"/>
      <w:marBottom w:val="0"/>
      <w:divBdr>
        <w:top w:val="none" w:sz="0" w:space="0" w:color="auto"/>
        <w:left w:val="none" w:sz="0" w:space="0" w:color="auto"/>
        <w:bottom w:val="none" w:sz="0" w:space="0" w:color="auto"/>
        <w:right w:val="none" w:sz="0" w:space="0" w:color="auto"/>
      </w:divBdr>
    </w:div>
    <w:div w:id="1466653163">
      <w:bodyDiv w:val="1"/>
      <w:marLeft w:val="0"/>
      <w:marRight w:val="0"/>
      <w:marTop w:val="0"/>
      <w:marBottom w:val="0"/>
      <w:divBdr>
        <w:top w:val="none" w:sz="0" w:space="0" w:color="auto"/>
        <w:left w:val="none" w:sz="0" w:space="0" w:color="auto"/>
        <w:bottom w:val="none" w:sz="0" w:space="0" w:color="auto"/>
        <w:right w:val="none" w:sz="0" w:space="0" w:color="auto"/>
      </w:divBdr>
    </w:div>
    <w:div w:id="1468549099">
      <w:bodyDiv w:val="1"/>
      <w:marLeft w:val="0"/>
      <w:marRight w:val="0"/>
      <w:marTop w:val="0"/>
      <w:marBottom w:val="0"/>
      <w:divBdr>
        <w:top w:val="none" w:sz="0" w:space="0" w:color="auto"/>
        <w:left w:val="none" w:sz="0" w:space="0" w:color="auto"/>
        <w:bottom w:val="none" w:sz="0" w:space="0" w:color="auto"/>
        <w:right w:val="none" w:sz="0" w:space="0" w:color="auto"/>
      </w:divBdr>
    </w:div>
    <w:div w:id="1478765894">
      <w:bodyDiv w:val="1"/>
      <w:marLeft w:val="0"/>
      <w:marRight w:val="0"/>
      <w:marTop w:val="0"/>
      <w:marBottom w:val="0"/>
      <w:divBdr>
        <w:top w:val="none" w:sz="0" w:space="0" w:color="auto"/>
        <w:left w:val="none" w:sz="0" w:space="0" w:color="auto"/>
        <w:bottom w:val="none" w:sz="0" w:space="0" w:color="auto"/>
        <w:right w:val="none" w:sz="0" w:space="0" w:color="auto"/>
      </w:divBdr>
    </w:div>
    <w:div w:id="1480461276">
      <w:bodyDiv w:val="1"/>
      <w:marLeft w:val="0"/>
      <w:marRight w:val="0"/>
      <w:marTop w:val="0"/>
      <w:marBottom w:val="0"/>
      <w:divBdr>
        <w:top w:val="none" w:sz="0" w:space="0" w:color="auto"/>
        <w:left w:val="none" w:sz="0" w:space="0" w:color="auto"/>
        <w:bottom w:val="none" w:sz="0" w:space="0" w:color="auto"/>
        <w:right w:val="none" w:sz="0" w:space="0" w:color="auto"/>
      </w:divBdr>
    </w:div>
    <w:div w:id="1490167442">
      <w:bodyDiv w:val="1"/>
      <w:marLeft w:val="0"/>
      <w:marRight w:val="0"/>
      <w:marTop w:val="0"/>
      <w:marBottom w:val="0"/>
      <w:divBdr>
        <w:top w:val="none" w:sz="0" w:space="0" w:color="auto"/>
        <w:left w:val="none" w:sz="0" w:space="0" w:color="auto"/>
        <w:bottom w:val="none" w:sz="0" w:space="0" w:color="auto"/>
        <w:right w:val="none" w:sz="0" w:space="0" w:color="auto"/>
      </w:divBdr>
    </w:div>
    <w:div w:id="1494679631">
      <w:bodyDiv w:val="1"/>
      <w:marLeft w:val="0"/>
      <w:marRight w:val="0"/>
      <w:marTop w:val="0"/>
      <w:marBottom w:val="0"/>
      <w:divBdr>
        <w:top w:val="none" w:sz="0" w:space="0" w:color="auto"/>
        <w:left w:val="none" w:sz="0" w:space="0" w:color="auto"/>
        <w:bottom w:val="none" w:sz="0" w:space="0" w:color="auto"/>
        <w:right w:val="none" w:sz="0" w:space="0" w:color="auto"/>
      </w:divBdr>
    </w:div>
    <w:div w:id="1496997984">
      <w:bodyDiv w:val="1"/>
      <w:marLeft w:val="0"/>
      <w:marRight w:val="0"/>
      <w:marTop w:val="0"/>
      <w:marBottom w:val="0"/>
      <w:divBdr>
        <w:top w:val="none" w:sz="0" w:space="0" w:color="auto"/>
        <w:left w:val="none" w:sz="0" w:space="0" w:color="auto"/>
        <w:bottom w:val="none" w:sz="0" w:space="0" w:color="auto"/>
        <w:right w:val="none" w:sz="0" w:space="0" w:color="auto"/>
      </w:divBdr>
    </w:div>
    <w:div w:id="1499349883">
      <w:bodyDiv w:val="1"/>
      <w:marLeft w:val="0"/>
      <w:marRight w:val="0"/>
      <w:marTop w:val="0"/>
      <w:marBottom w:val="0"/>
      <w:divBdr>
        <w:top w:val="none" w:sz="0" w:space="0" w:color="auto"/>
        <w:left w:val="none" w:sz="0" w:space="0" w:color="auto"/>
        <w:bottom w:val="none" w:sz="0" w:space="0" w:color="auto"/>
        <w:right w:val="none" w:sz="0" w:space="0" w:color="auto"/>
      </w:divBdr>
    </w:div>
    <w:div w:id="1499540892">
      <w:bodyDiv w:val="1"/>
      <w:marLeft w:val="0"/>
      <w:marRight w:val="0"/>
      <w:marTop w:val="0"/>
      <w:marBottom w:val="0"/>
      <w:divBdr>
        <w:top w:val="none" w:sz="0" w:space="0" w:color="auto"/>
        <w:left w:val="none" w:sz="0" w:space="0" w:color="auto"/>
        <w:bottom w:val="none" w:sz="0" w:space="0" w:color="auto"/>
        <w:right w:val="none" w:sz="0" w:space="0" w:color="auto"/>
      </w:divBdr>
    </w:div>
    <w:div w:id="1501699793">
      <w:bodyDiv w:val="1"/>
      <w:marLeft w:val="0"/>
      <w:marRight w:val="0"/>
      <w:marTop w:val="0"/>
      <w:marBottom w:val="0"/>
      <w:divBdr>
        <w:top w:val="none" w:sz="0" w:space="0" w:color="auto"/>
        <w:left w:val="none" w:sz="0" w:space="0" w:color="auto"/>
        <w:bottom w:val="none" w:sz="0" w:space="0" w:color="auto"/>
        <w:right w:val="none" w:sz="0" w:space="0" w:color="auto"/>
      </w:divBdr>
    </w:div>
    <w:div w:id="1503010495">
      <w:bodyDiv w:val="1"/>
      <w:marLeft w:val="0"/>
      <w:marRight w:val="0"/>
      <w:marTop w:val="0"/>
      <w:marBottom w:val="0"/>
      <w:divBdr>
        <w:top w:val="none" w:sz="0" w:space="0" w:color="auto"/>
        <w:left w:val="none" w:sz="0" w:space="0" w:color="auto"/>
        <w:bottom w:val="none" w:sz="0" w:space="0" w:color="auto"/>
        <w:right w:val="none" w:sz="0" w:space="0" w:color="auto"/>
      </w:divBdr>
    </w:div>
    <w:div w:id="1509950531">
      <w:bodyDiv w:val="1"/>
      <w:marLeft w:val="0"/>
      <w:marRight w:val="0"/>
      <w:marTop w:val="0"/>
      <w:marBottom w:val="0"/>
      <w:divBdr>
        <w:top w:val="none" w:sz="0" w:space="0" w:color="auto"/>
        <w:left w:val="none" w:sz="0" w:space="0" w:color="auto"/>
        <w:bottom w:val="none" w:sz="0" w:space="0" w:color="auto"/>
        <w:right w:val="none" w:sz="0" w:space="0" w:color="auto"/>
      </w:divBdr>
    </w:div>
    <w:div w:id="1510750210">
      <w:bodyDiv w:val="1"/>
      <w:marLeft w:val="0"/>
      <w:marRight w:val="0"/>
      <w:marTop w:val="0"/>
      <w:marBottom w:val="0"/>
      <w:divBdr>
        <w:top w:val="none" w:sz="0" w:space="0" w:color="auto"/>
        <w:left w:val="none" w:sz="0" w:space="0" w:color="auto"/>
        <w:bottom w:val="none" w:sz="0" w:space="0" w:color="auto"/>
        <w:right w:val="none" w:sz="0" w:space="0" w:color="auto"/>
      </w:divBdr>
    </w:div>
    <w:div w:id="1511942889">
      <w:bodyDiv w:val="1"/>
      <w:marLeft w:val="0"/>
      <w:marRight w:val="0"/>
      <w:marTop w:val="0"/>
      <w:marBottom w:val="0"/>
      <w:divBdr>
        <w:top w:val="none" w:sz="0" w:space="0" w:color="auto"/>
        <w:left w:val="none" w:sz="0" w:space="0" w:color="auto"/>
        <w:bottom w:val="none" w:sz="0" w:space="0" w:color="auto"/>
        <w:right w:val="none" w:sz="0" w:space="0" w:color="auto"/>
      </w:divBdr>
    </w:div>
    <w:div w:id="1512527225">
      <w:bodyDiv w:val="1"/>
      <w:marLeft w:val="0"/>
      <w:marRight w:val="0"/>
      <w:marTop w:val="0"/>
      <w:marBottom w:val="0"/>
      <w:divBdr>
        <w:top w:val="none" w:sz="0" w:space="0" w:color="auto"/>
        <w:left w:val="none" w:sz="0" w:space="0" w:color="auto"/>
        <w:bottom w:val="none" w:sz="0" w:space="0" w:color="auto"/>
        <w:right w:val="none" w:sz="0" w:space="0" w:color="auto"/>
      </w:divBdr>
    </w:div>
    <w:div w:id="1514418069">
      <w:bodyDiv w:val="1"/>
      <w:marLeft w:val="0"/>
      <w:marRight w:val="0"/>
      <w:marTop w:val="0"/>
      <w:marBottom w:val="0"/>
      <w:divBdr>
        <w:top w:val="none" w:sz="0" w:space="0" w:color="auto"/>
        <w:left w:val="none" w:sz="0" w:space="0" w:color="auto"/>
        <w:bottom w:val="none" w:sz="0" w:space="0" w:color="auto"/>
        <w:right w:val="none" w:sz="0" w:space="0" w:color="auto"/>
      </w:divBdr>
    </w:div>
    <w:div w:id="1516260905">
      <w:bodyDiv w:val="1"/>
      <w:marLeft w:val="0"/>
      <w:marRight w:val="0"/>
      <w:marTop w:val="0"/>
      <w:marBottom w:val="0"/>
      <w:divBdr>
        <w:top w:val="none" w:sz="0" w:space="0" w:color="auto"/>
        <w:left w:val="none" w:sz="0" w:space="0" w:color="auto"/>
        <w:bottom w:val="none" w:sz="0" w:space="0" w:color="auto"/>
        <w:right w:val="none" w:sz="0" w:space="0" w:color="auto"/>
      </w:divBdr>
    </w:div>
    <w:div w:id="1520510706">
      <w:bodyDiv w:val="1"/>
      <w:marLeft w:val="0"/>
      <w:marRight w:val="0"/>
      <w:marTop w:val="0"/>
      <w:marBottom w:val="0"/>
      <w:divBdr>
        <w:top w:val="none" w:sz="0" w:space="0" w:color="auto"/>
        <w:left w:val="none" w:sz="0" w:space="0" w:color="auto"/>
        <w:bottom w:val="none" w:sz="0" w:space="0" w:color="auto"/>
        <w:right w:val="none" w:sz="0" w:space="0" w:color="auto"/>
      </w:divBdr>
    </w:div>
    <w:div w:id="1527058075">
      <w:bodyDiv w:val="1"/>
      <w:marLeft w:val="0"/>
      <w:marRight w:val="0"/>
      <w:marTop w:val="0"/>
      <w:marBottom w:val="0"/>
      <w:divBdr>
        <w:top w:val="none" w:sz="0" w:space="0" w:color="auto"/>
        <w:left w:val="none" w:sz="0" w:space="0" w:color="auto"/>
        <w:bottom w:val="none" w:sz="0" w:space="0" w:color="auto"/>
        <w:right w:val="none" w:sz="0" w:space="0" w:color="auto"/>
      </w:divBdr>
    </w:div>
    <w:div w:id="1527520058">
      <w:bodyDiv w:val="1"/>
      <w:marLeft w:val="0"/>
      <w:marRight w:val="0"/>
      <w:marTop w:val="0"/>
      <w:marBottom w:val="0"/>
      <w:divBdr>
        <w:top w:val="none" w:sz="0" w:space="0" w:color="auto"/>
        <w:left w:val="none" w:sz="0" w:space="0" w:color="auto"/>
        <w:bottom w:val="none" w:sz="0" w:space="0" w:color="auto"/>
        <w:right w:val="none" w:sz="0" w:space="0" w:color="auto"/>
      </w:divBdr>
    </w:div>
    <w:div w:id="1532842122">
      <w:bodyDiv w:val="1"/>
      <w:marLeft w:val="0"/>
      <w:marRight w:val="0"/>
      <w:marTop w:val="0"/>
      <w:marBottom w:val="0"/>
      <w:divBdr>
        <w:top w:val="none" w:sz="0" w:space="0" w:color="auto"/>
        <w:left w:val="none" w:sz="0" w:space="0" w:color="auto"/>
        <w:bottom w:val="none" w:sz="0" w:space="0" w:color="auto"/>
        <w:right w:val="none" w:sz="0" w:space="0" w:color="auto"/>
      </w:divBdr>
    </w:div>
    <w:div w:id="1535726531">
      <w:bodyDiv w:val="1"/>
      <w:marLeft w:val="0"/>
      <w:marRight w:val="0"/>
      <w:marTop w:val="0"/>
      <w:marBottom w:val="0"/>
      <w:divBdr>
        <w:top w:val="none" w:sz="0" w:space="0" w:color="auto"/>
        <w:left w:val="none" w:sz="0" w:space="0" w:color="auto"/>
        <w:bottom w:val="none" w:sz="0" w:space="0" w:color="auto"/>
        <w:right w:val="none" w:sz="0" w:space="0" w:color="auto"/>
      </w:divBdr>
    </w:div>
    <w:div w:id="1536775741">
      <w:bodyDiv w:val="1"/>
      <w:marLeft w:val="0"/>
      <w:marRight w:val="0"/>
      <w:marTop w:val="0"/>
      <w:marBottom w:val="0"/>
      <w:divBdr>
        <w:top w:val="none" w:sz="0" w:space="0" w:color="auto"/>
        <w:left w:val="none" w:sz="0" w:space="0" w:color="auto"/>
        <w:bottom w:val="none" w:sz="0" w:space="0" w:color="auto"/>
        <w:right w:val="none" w:sz="0" w:space="0" w:color="auto"/>
      </w:divBdr>
    </w:div>
    <w:div w:id="1537809899">
      <w:bodyDiv w:val="1"/>
      <w:marLeft w:val="0"/>
      <w:marRight w:val="0"/>
      <w:marTop w:val="0"/>
      <w:marBottom w:val="0"/>
      <w:divBdr>
        <w:top w:val="none" w:sz="0" w:space="0" w:color="auto"/>
        <w:left w:val="none" w:sz="0" w:space="0" w:color="auto"/>
        <w:bottom w:val="none" w:sz="0" w:space="0" w:color="auto"/>
        <w:right w:val="none" w:sz="0" w:space="0" w:color="auto"/>
      </w:divBdr>
    </w:div>
    <w:div w:id="1537961670">
      <w:bodyDiv w:val="1"/>
      <w:marLeft w:val="0"/>
      <w:marRight w:val="0"/>
      <w:marTop w:val="0"/>
      <w:marBottom w:val="0"/>
      <w:divBdr>
        <w:top w:val="none" w:sz="0" w:space="0" w:color="auto"/>
        <w:left w:val="none" w:sz="0" w:space="0" w:color="auto"/>
        <w:bottom w:val="none" w:sz="0" w:space="0" w:color="auto"/>
        <w:right w:val="none" w:sz="0" w:space="0" w:color="auto"/>
      </w:divBdr>
    </w:div>
    <w:div w:id="1546404775">
      <w:bodyDiv w:val="1"/>
      <w:marLeft w:val="0"/>
      <w:marRight w:val="0"/>
      <w:marTop w:val="0"/>
      <w:marBottom w:val="0"/>
      <w:divBdr>
        <w:top w:val="none" w:sz="0" w:space="0" w:color="auto"/>
        <w:left w:val="none" w:sz="0" w:space="0" w:color="auto"/>
        <w:bottom w:val="none" w:sz="0" w:space="0" w:color="auto"/>
        <w:right w:val="none" w:sz="0" w:space="0" w:color="auto"/>
      </w:divBdr>
    </w:div>
    <w:div w:id="1548953297">
      <w:bodyDiv w:val="1"/>
      <w:marLeft w:val="0"/>
      <w:marRight w:val="0"/>
      <w:marTop w:val="0"/>
      <w:marBottom w:val="0"/>
      <w:divBdr>
        <w:top w:val="none" w:sz="0" w:space="0" w:color="auto"/>
        <w:left w:val="none" w:sz="0" w:space="0" w:color="auto"/>
        <w:bottom w:val="none" w:sz="0" w:space="0" w:color="auto"/>
        <w:right w:val="none" w:sz="0" w:space="0" w:color="auto"/>
      </w:divBdr>
    </w:div>
    <w:div w:id="1560282966">
      <w:bodyDiv w:val="1"/>
      <w:marLeft w:val="0"/>
      <w:marRight w:val="0"/>
      <w:marTop w:val="0"/>
      <w:marBottom w:val="0"/>
      <w:divBdr>
        <w:top w:val="none" w:sz="0" w:space="0" w:color="auto"/>
        <w:left w:val="none" w:sz="0" w:space="0" w:color="auto"/>
        <w:bottom w:val="none" w:sz="0" w:space="0" w:color="auto"/>
        <w:right w:val="none" w:sz="0" w:space="0" w:color="auto"/>
      </w:divBdr>
    </w:div>
    <w:div w:id="1563786817">
      <w:bodyDiv w:val="1"/>
      <w:marLeft w:val="0"/>
      <w:marRight w:val="0"/>
      <w:marTop w:val="0"/>
      <w:marBottom w:val="0"/>
      <w:divBdr>
        <w:top w:val="none" w:sz="0" w:space="0" w:color="auto"/>
        <w:left w:val="none" w:sz="0" w:space="0" w:color="auto"/>
        <w:bottom w:val="none" w:sz="0" w:space="0" w:color="auto"/>
        <w:right w:val="none" w:sz="0" w:space="0" w:color="auto"/>
      </w:divBdr>
    </w:div>
    <w:div w:id="1566725385">
      <w:bodyDiv w:val="1"/>
      <w:marLeft w:val="0"/>
      <w:marRight w:val="0"/>
      <w:marTop w:val="0"/>
      <w:marBottom w:val="0"/>
      <w:divBdr>
        <w:top w:val="none" w:sz="0" w:space="0" w:color="auto"/>
        <w:left w:val="none" w:sz="0" w:space="0" w:color="auto"/>
        <w:bottom w:val="none" w:sz="0" w:space="0" w:color="auto"/>
        <w:right w:val="none" w:sz="0" w:space="0" w:color="auto"/>
      </w:divBdr>
    </w:div>
    <w:div w:id="1570849373">
      <w:bodyDiv w:val="1"/>
      <w:marLeft w:val="0"/>
      <w:marRight w:val="0"/>
      <w:marTop w:val="0"/>
      <w:marBottom w:val="0"/>
      <w:divBdr>
        <w:top w:val="none" w:sz="0" w:space="0" w:color="auto"/>
        <w:left w:val="none" w:sz="0" w:space="0" w:color="auto"/>
        <w:bottom w:val="none" w:sz="0" w:space="0" w:color="auto"/>
        <w:right w:val="none" w:sz="0" w:space="0" w:color="auto"/>
      </w:divBdr>
    </w:div>
    <w:div w:id="1575436079">
      <w:bodyDiv w:val="1"/>
      <w:marLeft w:val="0"/>
      <w:marRight w:val="0"/>
      <w:marTop w:val="0"/>
      <w:marBottom w:val="0"/>
      <w:divBdr>
        <w:top w:val="none" w:sz="0" w:space="0" w:color="auto"/>
        <w:left w:val="none" w:sz="0" w:space="0" w:color="auto"/>
        <w:bottom w:val="none" w:sz="0" w:space="0" w:color="auto"/>
        <w:right w:val="none" w:sz="0" w:space="0" w:color="auto"/>
      </w:divBdr>
    </w:div>
    <w:div w:id="1577671051">
      <w:bodyDiv w:val="1"/>
      <w:marLeft w:val="0"/>
      <w:marRight w:val="0"/>
      <w:marTop w:val="0"/>
      <w:marBottom w:val="0"/>
      <w:divBdr>
        <w:top w:val="none" w:sz="0" w:space="0" w:color="auto"/>
        <w:left w:val="none" w:sz="0" w:space="0" w:color="auto"/>
        <w:bottom w:val="none" w:sz="0" w:space="0" w:color="auto"/>
        <w:right w:val="none" w:sz="0" w:space="0" w:color="auto"/>
      </w:divBdr>
    </w:div>
    <w:div w:id="1581983404">
      <w:bodyDiv w:val="1"/>
      <w:marLeft w:val="0"/>
      <w:marRight w:val="0"/>
      <w:marTop w:val="0"/>
      <w:marBottom w:val="0"/>
      <w:divBdr>
        <w:top w:val="none" w:sz="0" w:space="0" w:color="auto"/>
        <w:left w:val="none" w:sz="0" w:space="0" w:color="auto"/>
        <w:bottom w:val="none" w:sz="0" w:space="0" w:color="auto"/>
        <w:right w:val="none" w:sz="0" w:space="0" w:color="auto"/>
      </w:divBdr>
    </w:div>
    <w:div w:id="1582569705">
      <w:bodyDiv w:val="1"/>
      <w:marLeft w:val="0"/>
      <w:marRight w:val="0"/>
      <w:marTop w:val="0"/>
      <w:marBottom w:val="0"/>
      <w:divBdr>
        <w:top w:val="none" w:sz="0" w:space="0" w:color="auto"/>
        <w:left w:val="none" w:sz="0" w:space="0" w:color="auto"/>
        <w:bottom w:val="none" w:sz="0" w:space="0" w:color="auto"/>
        <w:right w:val="none" w:sz="0" w:space="0" w:color="auto"/>
      </w:divBdr>
    </w:div>
    <w:div w:id="1600984815">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07883102">
      <w:bodyDiv w:val="1"/>
      <w:marLeft w:val="0"/>
      <w:marRight w:val="0"/>
      <w:marTop w:val="0"/>
      <w:marBottom w:val="0"/>
      <w:divBdr>
        <w:top w:val="none" w:sz="0" w:space="0" w:color="auto"/>
        <w:left w:val="none" w:sz="0" w:space="0" w:color="auto"/>
        <w:bottom w:val="none" w:sz="0" w:space="0" w:color="auto"/>
        <w:right w:val="none" w:sz="0" w:space="0" w:color="auto"/>
      </w:divBdr>
    </w:div>
    <w:div w:id="1608345964">
      <w:bodyDiv w:val="1"/>
      <w:marLeft w:val="0"/>
      <w:marRight w:val="0"/>
      <w:marTop w:val="0"/>
      <w:marBottom w:val="0"/>
      <w:divBdr>
        <w:top w:val="none" w:sz="0" w:space="0" w:color="auto"/>
        <w:left w:val="none" w:sz="0" w:space="0" w:color="auto"/>
        <w:bottom w:val="none" w:sz="0" w:space="0" w:color="auto"/>
        <w:right w:val="none" w:sz="0" w:space="0" w:color="auto"/>
      </w:divBdr>
    </w:div>
    <w:div w:id="1608854125">
      <w:bodyDiv w:val="1"/>
      <w:marLeft w:val="0"/>
      <w:marRight w:val="0"/>
      <w:marTop w:val="0"/>
      <w:marBottom w:val="0"/>
      <w:divBdr>
        <w:top w:val="none" w:sz="0" w:space="0" w:color="auto"/>
        <w:left w:val="none" w:sz="0" w:space="0" w:color="auto"/>
        <w:bottom w:val="none" w:sz="0" w:space="0" w:color="auto"/>
        <w:right w:val="none" w:sz="0" w:space="0" w:color="auto"/>
      </w:divBdr>
    </w:div>
    <w:div w:id="1609041295">
      <w:bodyDiv w:val="1"/>
      <w:marLeft w:val="0"/>
      <w:marRight w:val="0"/>
      <w:marTop w:val="0"/>
      <w:marBottom w:val="0"/>
      <w:divBdr>
        <w:top w:val="none" w:sz="0" w:space="0" w:color="auto"/>
        <w:left w:val="none" w:sz="0" w:space="0" w:color="auto"/>
        <w:bottom w:val="none" w:sz="0" w:space="0" w:color="auto"/>
        <w:right w:val="none" w:sz="0" w:space="0" w:color="auto"/>
      </w:divBdr>
    </w:div>
    <w:div w:id="1610311725">
      <w:bodyDiv w:val="1"/>
      <w:marLeft w:val="0"/>
      <w:marRight w:val="0"/>
      <w:marTop w:val="0"/>
      <w:marBottom w:val="0"/>
      <w:divBdr>
        <w:top w:val="none" w:sz="0" w:space="0" w:color="auto"/>
        <w:left w:val="none" w:sz="0" w:space="0" w:color="auto"/>
        <w:bottom w:val="none" w:sz="0" w:space="0" w:color="auto"/>
        <w:right w:val="none" w:sz="0" w:space="0" w:color="auto"/>
      </w:divBdr>
    </w:div>
    <w:div w:id="1613707775">
      <w:bodyDiv w:val="1"/>
      <w:marLeft w:val="0"/>
      <w:marRight w:val="0"/>
      <w:marTop w:val="0"/>
      <w:marBottom w:val="0"/>
      <w:divBdr>
        <w:top w:val="none" w:sz="0" w:space="0" w:color="auto"/>
        <w:left w:val="none" w:sz="0" w:space="0" w:color="auto"/>
        <w:bottom w:val="none" w:sz="0" w:space="0" w:color="auto"/>
        <w:right w:val="none" w:sz="0" w:space="0" w:color="auto"/>
      </w:divBdr>
    </w:div>
    <w:div w:id="1616254169">
      <w:bodyDiv w:val="1"/>
      <w:marLeft w:val="0"/>
      <w:marRight w:val="0"/>
      <w:marTop w:val="0"/>
      <w:marBottom w:val="0"/>
      <w:divBdr>
        <w:top w:val="none" w:sz="0" w:space="0" w:color="auto"/>
        <w:left w:val="none" w:sz="0" w:space="0" w:color="auto"/>
        <w:bottom w:val="none" w:sz="0" w:space="0" w:color="auto"/>
        <w:right w:val="none" w:sz="0" w:space="0" w:color="auto"/>
      </w:divBdr>
    </w:div>
    <w:div w:id="1621499495">
      <w:bodyDiv w:val="1"/>
      <w:marLeft w:val="0"/>
      <w:marRight w:val="0"/>
      <w:marTop w:val="0"/>
      <w:marBottom w:val="0"/>
      <w:divBdr>
        <w:top w:val="none" w:sz="0" w:space="0" w:color="auto"/>
        <w:left w:val="none" w:sz="0" w:space="0" w:color="auto"/>
        <w:bottom w:val="none" w:sz="0" w:space="0" w:color="auto"/>
        <w:right w:val="none" w:sz="0" w:space="0" w:color="auto"/>
      </w:divBdr>
    </w:div>
    <w:div w:id="1624920105">
      <w:bodyDiv w:val="1"/>
      <w:marLeft w:val="0"/>
      <w:marRight w:val="0"/>
      <w:marTop w:val="0"/>
      <w:marBottom w:val="0"/>
      <w:divBdr>
        <w:top w:val="none" w:sz="0" w:space="0" w:color="auto"/>
        <w:left w:val="none" w:sz="0" w:space="0" w:color="auto"/>
        <w:bottom w:val="none" w:sz="0" w:space="0" w:color="auto"/>
        <w:right w:val="none" w:sz="0" w:space="0" w:color="auto"/>
      </w:divBdr>
    </w:div>
    <w:div w:id="1625308946">
      <w:bodyDiv w:val="1"/>
      <w:marLeft w:val="0"/>
      <w:marRight w:val="0"/>
      <w:marTop w:val="0"/>
      <w:marBottom w:val="0"/>
      <w:divBdr>
        <w:top w:val="none" w:sz="0" w:space="0" w:color="auto"/>
        <w:left w:val="none" w:sz="0" w:space="0" w:color="auto"/>
        <w:bottom w:val="none" w:sz="0" w:space="0" w:color="auto"/>
        <w:right w:val="none" w:sz="0" w:space="0" w:color="auto"/>
      </w:divBdr>
    </w:div>
    <w:div w:id="1633441580">
      <w:bodyDiv w:val="1"/>
      <w:marLeft w:val="0"/>
      <w:marRight w:val="0"/>
      <w:marTop w:val="0"/>
      <w:marBottom w:val="0"/>
      <w:divBdr>
        <w:top w:val="none" w:sz="0" w:space="0" w:color="auto"/>
        <w:left w:val="none" w:sz="0" w:space="0" w:color="auto"/>
        <w:bottom w:val="none" w:sz="0" w:space="0" w:color="auto"/>
        <w:right w:val="none" w:sz="0" w:space="0" w:color="auto"/>
      </w:divBdr>
    </w:div>
    <w:div w:id="1645239373">
      <w:bodyDiv w:val="1"/>
      <w:marLeft w:val="0"/>
      <w:marRight w:val="0"/>
      <w:marTop w:val="0"/>
      <w:marBottom w:val="0"/>
      <w:divBdr>
        <w:top w:val="none" w:sz="0" w:space="0" w:color="auto"/>
        <w:left w:val="none" w:sz="0" w:space="0" w:color="auto"/>
        <w:bottom w:val="none" w:sz="0" w:space="0" w:color="auto"/>
        <w:right w:val="none" w:sz="0" w:space="0" w:color="auto"/>
      </w:divBdr>
    </w:div>
    <w:div w:id="1645892270">
      <w:bodyDiv w:val="1"/>
      <w:marLeft w:val="0"/>
      <w:marRight w:val="0"/>
      <w:marTop w:val="0"/>
      <w:marBottom w:val="0"/>
      <w:divBdr>
        <w:top w:val="none" w:sz="0" w:space="0" w:color="auto"/>
        <w:left w:val="none" w:sz="0" w:space="0" w:color="auto"/>
        <w:bottom w:val="none" w:sz="0" w:space="0" w:color="auto"/>
        <w:right w:val="none" w:sz="0" w:space="0" w:color="auto"/>
      </w:divBdr>
    </w:div>
    <w:div w:id="1649624165">
      <w:bodyDiv w:val="1"/>
      <w:marLeft w:val="0"/>
      <w:marRight w:val="0"/>
      <w:marTop w:val="0"/>
      <w:marBottom w:val="0"/>
      <w:divBdr>
        <w:top w:val="none" w:sz="0" w:space="0" w:color="auto"/>
        <w:left w:val="none" w:sz="0" w:space="0" w:color="auto"/>
        <w:bottom w:val="none" w:sz="0" w:space="0" w:color="auto"/>
        <w:right w:val="none" w:sz="0" w:space="0" w:color="auto"/>
      </w:divBdr>
    </w:div>
    <w:div w:id="1652438515">
      <w:bodyDiv w:val="1"/>
      <w:marLeft w:val="0"/>
      <w:marRight w:val="0"/>
      <w:marTop w:val="0"/>
      <w:marBottom w:val="0"/>
      <w:divBdr>
        <w:top w:val="none" w:sz="0" w:space="0" w:color="auto"/>
        <w:left w:val="none" w:sz="0" w:space="0" w:color="auto"/>
        <w:bottom w:val="none" w:sz="0" w:space="0" w:color="auto"/>
        <w:right w:val="none" w:sz="0" w:space="0" w:color="auto"/>
      </w:divBdr>
    </w:div>
    <w:div w:id="1660645582">
      <w:bodyDiv w:val="1"/>
      <w:marLeft w:val="0"/>
      <w:marRight w:val="0"/>
      <w:marTop w:val="0"/>
      <w:marBottom w:val="0"/>
      <w:divBdr>
        <w:top w:val="none" w:sz="0" w:space="0" w:color="auto"/>
        <w:left w:val="none" w:sz="0" w:space="0" w:color="auto"/>
        <w:bottom w:val="none" w:sz="0" w:space="0" w:color="auto"/>
        <w:right w:val="none" w:sz="0" w:space="0" w:color="auto"/>
      </w:divBdr>
    </w:div>
    <w:div w:id="1662925221">
      <w:bodyDiv w:val="1"/>
      <w:marLeft w:val="0"/>
      <w:marRight w:val="0"/>
      <w:marTop w:val="0"/>
      <w:marBottom w:val="0"/>
      <w:divBdr>
        <w:top w:val="none" w:sz="0" w:space="0" w:color="auto"/>
        <w:left w:val="none" w:sz="0" w:space="0" w:color="auto"/>
        <w:bottom w:val="none" w:sz="0" w:space="0" w:color="auto"/>
        <w:right w:val="none" w:sz="0" w:space="0" w:color="auto"/>
      </w:divBdr>
    </w:div>
    <w:div w:id="1663387167">
      <w:bodyDiv w:val="1"/>
      <w:marLeft w:val="0"/>
      <w:marRight w:val="0"/>
      <w:marTop w:val="0"/>
      <w:marBottom w:val="0"/>
      <w:divBdr>
        <w:top w:val="none" w:sz="0" w:space="0" w:color="auto"/>
        <w:left w:val="none" w:sz="0" w:space="0" w:color="auto"/>
        <w:bottom w:val="none" w:sz="0" w:space="0" w:color="auto"/>
        <w:right w:val="none" w:sz="0" w:space="0" w:color="auto"/>
      </w:divBdr>
    </w:div>
    <w:div w:id="1663972457">
      <w:bodyDiv w:val="1"/>
      <w:marLeft w:val="0"/>
      <w:marRight w:val="0"/>
      <w:marTop w:val="0"/>
      <w:marBottom w:val="0"/>
      <w:divBdr>
        <w:top w:val="none" w:sz="0" w:space="0" w:color="auto"/>
        <w:left w:val="none" w:sz="0" w:space="0" w:color="auto"/>
        <w:bottom w:val="none" w:sz="0" w:space="0" w:color="auto"/>
        <w:right w:val="none" w:sz="0" w:space="0" w:color="auto"/>
      </w:divBdr>
    </w:div>
    <w:div w:id="1668167939">
      <w:bodyDiv w:val="1"/>
      <w:marLeft w:val="0"/>
      <w:marRight w:val="0"/>
      <w:marTop w:val="0"/>
      <w:marBottom w:val="0"/>
      <w:divBdr>
        <w:top w:val="none" w:sz="0" w:space="0" w:color="auto"/>
        <w:left w:val="none" w:sz="0" w:space="0" w:color="auto"/>
        <w:bottom w:val="none" w:sz="0" w:space="0" w:color="auto"/>
        <w:right w:val="none" w:sz="0" w:space="0" w:color="auto"/>
      </w:divBdr>
    </w:div>
    <w:div w:id="1669140581">
      <w:bodyDiv w:val="1"/>
      <w:marLeft w:val="0"/>
      <w:marRight w:val="0"/>
      <w:marTop w:val="0"/>
      <w:marBottom w:val="0"/>
      <w:divBdr>
        <w:top w:val="none" w:sz="0" w:space="0" w:color="auto"/>
        <w:left w:val="none" w:sz="0" w:space="0" w:color="auto"/>
        <w:bottom w:val="none" w:sz="0" w:space="0" w:color="auto"/>
        <w:right w:val="none" w:sz="0" w:space="0" w:color="auto"/>
      </w:divBdr>
    </w:div>
    <w:div w:id="1671904163">
      <w:bodyDiv w:val="1"/>
      <w:marLeft w:val="0"/>
      <w:marRight w:val="0"/>
      <w:marTop w:val="0"/>
      <w:marBottom w:val="0"/>
      <w:divBdr>
        <w:top w:val="none" w:sz="0" w:space="0" w:color="auto"/>
        <w:left w:val="none" w:sz="0" w:space="0" w:color="auto"/>
        <w:bottom w:val="none" w:sz="0" w:space="0" w:color="auto"/>
        <w:right w:val="none" w:sz="0" w:space="0" w:color="auto"/>
      </w:divBdr>
    </w:div>
    <w:div w:id="1673533008">
      <w:bodyDiv w:val="1"/>
      <w:marLeft w:val="0"/>
      <w:marRight w:val="0"/>
      <w:marTop w:val="0"/>
      <w:marBottom w:val="0"/>
      <w:divBdr>
        <w:top w:val="none" w:sz="0" w:space="0" w:color="auto"/>
        <w:left w:val="none" w:sz="0" w:space="0" w:color="auto"/>
        <w:bottom w:val="none" w:sz="0" w:space="0" w:color="auto"/>
        <w:right w:val="none" w:sz="0" w:space="0" w:color="auto"/>
      </w:divBdr>
    </w:div>
    <w:div w:id="1674599773">
      <w:bodyDiv w:val="1"/>
      <w:marLeft w:val="0"/>
      <w:marRight w:val="0"/>
      <w:marTop w:val="0"/>
      <w:marBottom w:val="0"/>
      <w:divBdr>
        <w:top w:val="none" w:sz="0" w:space="0" w:color="auto"/>
        <w:left w:val="none" w:sz="0" w:space="0" w:color="auto"/>
        <w:bottom w:val="none" w:sz="0" w:space="0" w:color="auto"/>
        <w:right w:val="none" w:sz="0" w:space="0" w:color="auto"/>
      </w:divBdr>
    </w:div>
    <w:div w:id="1676149137">
      <w:bodyDiv w:val="1"/>
      <w:marLeft w:val="0"/>
      <w:marRight w:val="0"/>
      <w:marTop w:val="0"/>
      <w:marBottom w:val="0"/>
      <w:divBdr>
        <w:top w:val="none" w:sz="0" w:space="0" w:color="auto"/>
        <w:left w:val="none" w:sz="0" w:space="0" w:color="auto"/>
        <w:bottom w:val="none" w:sz="0" w:space="0" w:color="auto"/>
        <w:right w:val="none" w:sz="0" w:space="0" w:color="auto"/>
      </w:divBdr>
    </w:div>
    <w:div w:id="1677536298">
      <w:bodyDiv w:val="1"/>
      <w:marLeft w:val="0"/>
      <w:marRight w:val="0"/>
      <w:marTop w:val="0"/>
      <w:marBottom w:val="0"/>
      <w:divBdr>
        <w:top w:val="none" w:sz="0" w:space="0" w:color="auto"/>
        <w:left w:val="none" w:sz="0" w:space="0" w:color="auto"/>
        <w:bottom w:val="none" w:sz="0" w:space="0" w:color="auto"/>
        <w:right w:val="none" w:sz="0" w:space="0" w:color="auto"/>
      </w:divBdr>
    </w:div>
    <w:div w:id="1681548146">
      <w:bodyDiv w:val="1"/>
      <w:marLeft w:val="0"/>
      <w:marRight w:val="0"/>
      <w:marTop w:val="0"/>
      <w:marBottom w:val="0"/>
      <w:divBdr>
        <w:top w:val="none" w:sz="0" w:space="0" w:color="auto"/>
        <w:left w:val="none" w:sz="0" w:space="0" w:color="auto"/>
        <w:bottom w:val="none" w:sz="0" w:space="0" w:color="auto"/>
        <w:right w:val="none" w:sz="0" w:space="0" w:color="auto"/>
      </w:divBdr>
    </w:div>
    <w:div w:id="1682316986">
      <w:bodyDiv w:val="1"/>
      <w:marLeft w:val="0"/>
      <w:marRight w:val="0"/>
      <w:marTop w:val="0"/>
      <w:marBottom w:val="0"/>
      <w:divBdr>
        <w:top w:val="none" w:sz="0" w:space="0" w:color="auto"/>
        <w:left w:val="none" w:sz="0" w:space="0" w:color="auto"/>
        <w:bottom w:val="none" w:sz="0" w:space="0" w:color="auto"/>
        <w:right w:val="none" w:sz="0" w:space="0" w:color="auto"/>
      </w:divBdr>
    </w:div>
    <w:div w:id="1685206028">
      <w:bodyDiv w:val="1"/>
      <w:marLeft w:val="0"/>
      <w:marRight w:val="0"/>
      <w:marTop w:val="0"/>
      <w:marBottom w:val="0"/>
      <w:divBdr>
        <w:top w:val="none" w:sz="0" w:space="0" w:color="auto"/>
        <w:left w:val="none" w:sz="0" w:space="0" w:color="auto"/>
        <w:bottom w:val="none" w:sz="0" w:space="0" w:color="auto"/>
        <w:right w:val="none" w:sz="0" w:space="0" w:color="auto"/>
      </w:divBdr>
    </w:div>
    <w:div w:id="1686441215">
      <w:bodyDiv w:val="1"/>
      <w:marLeft w:val="0"/>
      <w:marRight w:val="0"/>
      <w:marTop w:val="0"/>
      <w:marBottom w:val="0"/>
      <w:divBdr>
        <w:top w:val="none" w:sz="0" w:space="0" w:color="auto"/>
        <w:left w:val="none" w:sz="0" w:space="0" w:color="auto"/>
        <w:bottom w:val="none" w:sz="0" w:space="0" w:color="auto"/>
        <w:right w:val="none" w:sz="0" w:space="0" w:color="auto"/>
      </w:divBdr>
    </w:div>
    <w:div w:id="1690058703">
      <w:bodyDiv w:val="1"/>
      <w:marLeft w:val="0"/>
      <w:marRight w:val="0"/>
      <w:marTop w:val="0"/>
      <w:marBottom w:val="0"/>
      <w:divBdr>
        <w:top w:val="none" w:sz="0" w:space="0" w:color="auto"/>
        <w:left w:val="none" w:sz="0" w:space="0" w:color="auto"/>
        <w:bottom w:val="none" w:sz="0" w:space="0" w:color="auto"/>
        <w:right w:val="none" w:sz="0" w:space="0" w:color="auto"/>
      </w:divBdr>
    </w:div>
    <w:div w:id="1697733947">
      <w:bodyDiv w:val="1"/>
      <w:marLeft w:val="0"/>
      <w:marRight w:val="0"/>
      <w:marTop w:val="0"/>
      <w:marBottom w:val="0"/>
      <w:divBdr>
        <w:top w:val="none" w:sz="0" w:space="0" w:color="auto"/>
        <w:left w:val="none" w:sz="0" w:space="0" w:color="auto"/>
        <w:bottom w:val="none" w:sz="0" w:space="0" w:color="auto"/>
        <w:right w:val="none" w:sz="0" w:space="0" w:color="auto"/>
      </w:divBdr>
    </w:div>
    <w:div w:id="1703936142">
      <w:bodyDiv w:val="1"/>
      <w:marLeft w:val="0"/>
      <w:marRight w:val="0"/>
      <w:marTop w:val="0"/>
      <w:marBottom w:val="0"/>
      <w:divBdr>
        <w:top w:val="none" w:sz="0" w:space="0" w:color="auto"/>
        <w:left w:val="none" w:sz="0" w:space="0" w:color="auto"/>
        <w:bottom w:val="none" w:sz="0" w:space="0" w:color="auto"/>
        <w:right w:val="none" w:sz="0" w:space="0" w:color="auto"/>
      </w:divBdr>
    </w:div>
    <w:div w:id="1707296348">
      <w:bodyDiv w:val="1"/>
      <w:marLeft w:val="0"/>
      <w:marRight w:val="0"/>
      <w:marTop w:val="0"/>
      <w:marBottom w:val="0"/>
      <w:divBdr>
        <w:top w:val="none" w:sz="0" w:space="0" w:color="auto"/>
        <w:left w:val="none" w:sz="0" w:space="0" w:color="auto"/>
        <w:bottom w:val="none" w:sz="0" w:space="0" w:color="auto"/>
        <w:right w:val="none" w:sz="0" w:space="0" w:color="auto"/>
      </w:divBdr>
    </w:div>
    <w:div w:id="1707488193">
      <w:bodyDiv w:val="1"/>
      <w:marLeft w:val="0"/>
      <w:marRight w:val="0"/>
      <w:marTop w:val="0"/>
      <w:marBottom w:val="0"/>
      <w:divBdr>
        <w:top w:val="none" w:sz="0" w:space="0" w:color="auto"/>
        <w:left w:val="none" w:sz="0" w:space="0" w:color="auto"/>
        <w:bottom w:val="none" w:sz="0" w:space="0" w:color="auto"/>
        <w:right w:val="none" w:sz="0" w:space="0" w:color="auto"/>
      </w:divBdr>
    </w:div>
    <w:div w:id="1709529141">
      <w:bodyDiv w:val="1"/>
      <w:marLeft w:val="0"/>
      <w:marRight w:val="0"/>
      <w:marTop w:val="0"/>
      <w:marBottom w:val="0"/>
      <w:divBdr>
        <w:top w:val="none" w:sz="0" w:space="0" w:color="auto"/>
        <w:left w:val="none" w:sz="0" w:space="0" w:color="auto"/>
        <w:bottom w:val="none" w:sz="0" w:space="0" w:color="auto"/>
        <w:right w:val="none" w:sz="0" w:space="0" w:color="auto"/>
      </w:divBdr>
    </w:div>
    <w:div w:id="1709598906">
      <w:bodyDiv w:val="1"/>
      <w:marLeft w:val="0"/>
      <w:marRight w:val="0"/>
      <w:marTop w:val="0"/>
      <w:marBottom w:val="0"/>
      <w:divBdr>
        <w:top w:val="none" w:sz="0" w:space="0" w:color="auto"/>
        <w:left w:val="none" w:sz="0" w:space="0" w:color="auto"/>
        <w:bottom w:val="none" w:sz="0" w:space="0" w:color="auto"/>
        <w:right w:val="none" w:sz="0" w:space="0" w:color="auto"/>
      </w:divBdr>
      <w:divsChild>
        <w:div w:id="276370473">
          <w:marLeft w:val="1166"/>
          <w:marRight w:val="0"/>
          <w:marTop w:val="0"/>
          <w:marBottom w:val="0"/>
          <w:divBdr>
            <w:top w:val="none" w:sz="0" w:space="0" w:color="auto"/>
            <w:left w:val="none" w:sz="0" w:space="0" w:color="auto"/>
            <w:bottom w:val="none" w:sz="0" w:space="0" w:color="auto"/>
            <w:right w:val="none" w:sz="0" w:space="0" w:color="auto"/>
          </w:divBdr>
        </w:div>
        <w:div w:id="395056123">
          <w:marLeft w:val="1800"/>
          <w:marRight w:val="0"/>
          <w:marTop w:val="0"/>
          <w:marBottom w:val="0"/>
          <w:divBdr>
            <w:top w:val="none" w:sz="0" w:space="0" w:color="auto"/>
            <w:left w:val="none" w:sz="0" w:space="0" w:color="auto"/>
            <w:bottom w:val="none" w:sz="0" w:space="0" w:color="auto"/>
            <w:right w:val="none" w:sz="0" w:space="0" w:color="auto"/>
          </w:divBdr>
        </w:div>
        <w:div w:id="639043648">
          <w:marLeft w:val="1800"/>
          <w:marRight w:val="0"/>
          <w:marTop w:val="0"/>
          <w:marBottom w:val="0"/>
          <w:divBdr>
            <w:top w:val="none" w:sz="0" w:space="0" w:color="auto"/>
            <w:left w:val="none" w:sz="0" w:space="0" w:color="auto"/>
            <w:bottom w:val="none" w:sz="0" w:space="0" w:color="auto"/>
            <w:right w:val="none" w:sz="0" w:space="0" w:color="auto"/>
          </w:divBdr>
        </w:div>
        <w:div w:id="681056467">
          <w:marLeft w:val="1800"/>
          <w:marRight w:val="0"/>
          <w:marTop w:val="0"/>
          <w:marBottom w:val="0"/>
          <w:divBdr>
            <w:top w:val="none" w:sz="0" w:space="0" w:color="auto"/>
            <w:left w:val="none" w:sz="0" w:space="0" w:color="auto"/>
            <w:bottom w:val="none" w:sz="0" w:space="0" w:color="auto"/>
            <w:right w:val="none" w:sz="0" w:space="0" w:color="auto"/>
          </w:divBdr>
        </w:div>
        <w:div w:id="779838251">
          <w:marLeft w:val="547"/>
          <w:marRight w:val="0"/>
          <w:marTop w:val="0"/>
          <w:marBottom w:val="0"/>
          <w:divBdr>
            <w:top w:val="none" w:sz="0" w:space="0" w:color="auto"/>
            <w:left w:val="none" w:sz="0" w:space="0" w:color="auto"/>
            <w:bottom w:val="none" w:sz="0" w:space="0" w:color="auto"/>
            <w:right w:val="none" w:sz="0" w:space="0" w:color="auto"/>
          </w:divBdr>
        </w:div>
        <w:div w:id="1121847132">
          <w:marLeft w:val="1800"/>
          <w:marRight w:val="0"/>
          <w:marTop w:val="0"/>
          <w:marBottom w:val="0"/>
          <w:divBdr>
            <w:top w:val="none" w:sz="0" w:space="0" w:color="auto"/>
            <w:left w:val="none" w:sz="0" w:space="0" w:color="auto"/>
            <w:bottom w:val="none" w:sz="0" w:space="0" w:color="auto"/>
            <w:right w:val="none" w:sz="0" w:space="0" w:color="auto"/>
          </w:divBdr>
        </w:div>
        <w:div w:id="1237398651">
          <w:marLeft w:val="2520"/>
          <w:marRight w:val="0"/>
          <w:marTop w:val="0"/>
          <w:marBottom w:val="0"/>
          <w:divBdr>
            <w:top w:val="none" w:sz="0" w:space="0" w:color="auto"/>
            <w:left w:val="none" w:sz="0" w:space="0" w:color="auto"/>
            <w:bottom w:val="none" w:sz="0" w:space="0" w:color="auto"/>
            <w:right w:val="none" w:sz="0" w:space="0" w:color="auto"/>
          </w:divBdr>
        </w:div>
        <w:div w:id="1543666331">
          <w:marLeft w:val="1800"/>
          <w:marRight w:val="0"/>
          <w:marTop w:val="0"/>
          <w:marBottom w:val="0"/>
          <w:divBdr>
            <w:top w:val="none" w:sz="0" w:space="0" w:color="auto"/>
            <w:left w:val="none" w:sz="0" w:space="0" w:color="auto"/>
            <w:bottom w:val="none" w:sz="0" w:space="0" w:color="auto"/>
            <w:right w:val="none" w:sz="0" w:space="0" w:color="auto"/>
          </w:divBdr>
        </w:div>
        <w:div w:id="1631007596">
          <w:marLeft w:val="2520"/>
          <w:marRight w:val="0"/>
          <w:marTop w:val="0"/>
          <w:marBottom w:val="0"/>
          <w:divBdr>
            <w:top w:val="none" w:sz="0" w:space="0" w:color="auto"/>
            <w:left w:val="none" w:sz="0" w:space="0" w:color="auto"/>
            <w:bottom w:val="none" w:sz="0" w:space="0" w:color="auto"/>
            <w:right w:val="none" w:sz="0" w:space="0" w:color="auto"/>
          </w:divBdr>
        </w:div>
        <w:div w:id="1914201427">
          <w:marLeft w:val="1800"/>
          <w:marRight w:val="0"/>
          <w:marTop w:val="0"/>
          <w:marBottom w:val="0"/>
          <w:divBdr>
            <w:top w:val="none" w:sz="0" w:space="0" w:color="auto"/>
            <w:left w:val="none" w:sz="0" w:space="0" w:color="auto"/>
            <w:bottom w:val="none" w:sz="0" w:space="0" w:color="auto"/>
            <w:right w:val="none" w:sz="0" w:space="0" w:color="auto"/>
          </w:divBdr>
        </w:div>
        <w:div w:id="2068993851">
          <w:marLeft w:val="1166"/>
          <w:marRight w:val="0"/>
          <w:marTop w:val="0"/>
          <w:marBottom w:val="0"/>
          <w:divBdr>
            <w:top w:val="none" w:sz="0" w:space="0" w:color="auto"/>
            <w:left w:val="none" w:sz="0" w:space="0" w:color="auto"/>
            <w:bottom w:val="none" w:sz="0" w:space="0" w:color="auto"/>
            <w:right w:val="none" w:sz="0" w:space="0" w:color="auto"/>
          </w:divBdr>
        </w:div>
      </w:divsChild>
    </w:div>
    <w:div w:id="1715539212">
      <w:bodyDiv w:val="1"/>
      <w:marLeft w:val="0"/>
      <w:marRight w:val="0"/>
      <w:marTop w:val="0"/>
      <w:marBottom w:val="0"/>
      <w:divBdr>
        <w:top w:val="none" w:sz="0" w:space="0" w:color="auto"/>
        <w:left w:val="none" w:sz="0" w:space="0" w:color="auto"/>
        <w:bottom w:val="none" w:sz="0" w:space="0" w:color="auto"/>
        <w:right w:val="none" w:sz="0" w:space="0" w:color="auto"/>
      </w:divBdr>
    </w:div>
    <w:div w:id="1719354179">
      <w:bodyDiv w:val="1"/>
      <w:marLeft w:val="0"/>
      <w:marRight w:val="0"/>
      <w:marTop w:val="0"/>
      <w:marBottom w:val="0"/>
      <w:divBdr>
        <w:top w:val="none" w:sz="0" w:space="0" w:color="auto"/>
        <w:left w:val="none" w:sz="0" w:space="0" w:color="auto"/>
        <w:bottom w:val="none" w:sz="0" w:space="0" w:color="auto"/>
        <w:right w:val="none" w:sz="0" w:space="0" w:color="auto"/>
      </w:divBdr>
    </w:div>
    <w:div w:id="1720010472">
      <w:bodyDiv w:val="1"/>
      <w:marLeft w:val="0"/>
      <w:marRight w:val="0"/>
      <w:marTop w:val="0"/>
      <w:marBottom w:val="0"/>
      <w:divBdr>
        <w:top w:val="none" w:sz="0" w:space="0" w:color="auto"/>
        <w:left w:val="none" w:sz="0" w:space="0" w:color="auto"/>
        <w:bottom w:val="none" w:sz="0" w:space="0" w:color="auto"/>
        <w:right w:val="none" w:sz="0" w:space="0" w:color="auto"/>
      </w:divBdr>
    </w:div>
    <w:div w:id="1721514543">
      <w:bodyDiv w:val="1"/>
      <w:marLeft w:val="0"/>
      <w:marRight w:val="0"/>
      <w:marTop w:val="0"/>
      <w:marBottom w:val="0"/>
      <w:divBdr>
        <w:top w:val="none" w:sz="0" w:space="0" w:color="auto"/>
        <w:left w:val="none" w:sz="0" w:space="0" w:color="auto"/>
        <w:bottom w:val="none" w:sz="0" w:space="0" w:color="auto"/>
        <w:right w:val="none" w:sz="0" w:space="0" w:color="auto"/>
      </w:divBdr>
    </w:div>
    <w:div w:id="1723479627">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27803300">
      <w:bodyDiv w:val="1"/>
      <w:marLeft w:val="0"/>
      <w:marRight w:val="0"/>
      <w:marTop w:val="0"/>
      <w:marBottom w:val="0"/>
      <w:divBdr>
        <w:top w:val="none" w:sz="0" w:space="0" w:color="auto"/>
        <w:left w:val="none" w:sz="0" w:space="0" w:color="auto"/>
        <w:bottom w:val="none" w:sz="0" w:space="0" w:color="auto"/>
        <w:right w:val="none" w:sz="0" w:space="0" w:color="auto"/>
      </w:divBdr>
    </w:div>
    <w:div w:id="1732800912">
      <w:bodyDiv w:val="1"/>
      <w:marLeft w:val="0"/>
      <w:marRight w:val="0"/>
      <w:marTop w:val="0"/>
      <w:marBottom w:val="0"/>
      <w:divBdr>
        <w:top w:val="none" w:sz="0" w:space="0" w:color="auto"/>
        <w:left w:val="none" w:sz="0" w:space="0" w:color="auto"/>
        <w:bottom w:val="none" w:sz="0" w:space="0" w:color="auto"/>
        <w:right w:val="none" w:sz="0" w:space="0" w:color="auto"/>
      </w:divBdr>
    </w:div>
    <w:div w:id="1736469944">
      <w:bodyDiv w:val="1"/>
      <w:marLeft w:val="0"/>
      <w:marRight w:val="0"/>
      <w:marTop w:val="0"/>
      <w:marBottom w:val="0"/>
      <w:divBdr>
        <w:top w:val="none" w:sz="0" w:space="0" w:color="auto"/>
        <w:left w:val="none" w:sz="0" w:space="0" w:color="auto"/>
        <w:bottom w:val="none" w:sz="0" w:space="0" w:color="auto"/>
        <w:right w:val="none" w:sz="0" w:space="0" w:color="auto"/>
      </w:divBdr>
    </w:div>
    <w:div w:id="1738160500">
      <w:bodyDiv w:val="1"/>
      <w:marLeft w:val="0"/>
      <w:marRight w:val="0"/>
      <w:marTop w:val="0"/>
      <w:marBottom w:val="0"/>
      <w:divBdr>
        <w:top w:val="none" w:sz="0" w:space="0" w:color="auto"/>
        <w:left w:val="none" w:sz="0" w:space="0" w:color="auto"/>
        <w:bottom w:val="none" w:sz="0" w:space="0" w:color="auto"/>
        <w:right w:val="none" w:sz="0" w:space="0" w:color="auto"/>
      </w:divBdr>
    </w:div>
    <w:div w:id="1745452343">
      <w:bodyDiv w:val="1"/>
      <w:marLeft w:val="0"/>
      <w:marRight w:val="0"/>
      <w:marTop w:val="0"/>
      <w:marBottom w:val="0"/>
      <w:divBdr>
        <w:top w:val="none" w:sz="0" w:space="0" w:color="auto"/>
        <w:left w:val="none" w:sz="0" w:space="0" w:color="auto"/>
        <w:bottom w:val="none" w:sz="0" w:space="0" w:color="auto"/>
        <w:right w:val="none" w:sz="0" w:space="0" w:color="auto"/>
      </w:divBdr>
    </w:div>
    <w:div w:id="1745486945">
      <w:bodyDiv w:val="1"/>
      <w:marLeft w:val="0"/>
      <w:marRight w:val="0"/>
      <w:marTop w:val="0"/>
      <w:marBottom w:val="0"/>
      <w:divBdr>
        <w:top w:val="none" w:sz="0" w:space="0" w:color="auto"/>
        <w:left w:val="none" w:sz="0" w:space="0" w:color="auto"/>
        <w:bottom w:val="none" w:sz="0" w:space="0" w:color="auto"/>
        <w:right w:val="none" w:sz="0" w:space="0" w:color="auto"/>
      </w:divBdr>
    </w:div>
    <w:div w:id="1750495339">
      <w:bodyDiv w:val="1"/>
      <w:marLeft w:val="0"/>
      <w:marRight w:val="0"/>
      <w:marTop w:val="0"/>
      <w:marBottom w:val="0"/>
      <w:divBdr>
        <w:top w:val="none" w:sz="0" w:space="0" w:color="auto"/>
        <w:left w:val="none" w:sz="0" w:space="0" w:color="auto"/>
        <w:bottom w:val="none" w:sz="0" w:space="0" w:color="auto"/>
        <w:right w:val="none" w:sz="0" w:space="0" w:color="auto"/>
      </w:divBdr>
    </w:div>
    <w:div w:id="1751002349">
      <w:bodyDiv w:val="1"/>
      <w:marLeft w:val="0"/>
      <w:marRight w:val="0"/>
      <w:marTop w:val="0"/>
      <w:marBottom w:val="0"/>
      <w:divBdr>
        <w:top w:val="none" w:sz="0" w:space="0" w:color="auto"/>
        <w:left w:val="none" w:sz="0" w:space="0" w:color="auto"/>
        <w:bottom w:val="none" w:sz="0" w:space="0" w:color="auto"/>
        <w:right w:val="none" w:sz="0" w:space="0" w:color="auto"/>
      </w:divBdr>
    </w:div>
    <w:div w:id="1751656333">
      <w:bodyDiv w:val="1"/>
      <w:marLeft w:val="0"/>
      <w:marRight w:val="0"/>
      <w:marTop w:val="0"/>
      <w:marBottom w:val="0"/>
      <w:divBdr>
        <w:top w:val="none" w:sz="0" w:space="0" w:color="auto"/>
        <w:left w:val="none" w:sz="0" w:space="0" w:color="auto"/>
        <w:bottom w:val="none" w:sz="0" w:space="0" w:color="auto"/>
        <w:right w:val="none" w:sz="0" w:space="0" w:color="auto"/>
      </w:divBdr>
    </w:div>
    <w:div w:id="1764061094">
      <w:bodyDiv w:val="1"/>
      <w:marLeft w:val="0"/>
      <w:marRight w:val="0"/>
      <w:marTop w:val="0"/>
      <w:marBottom w:val="0"/>
      <w:divBdr>
        <w:top w:val="none" w:sz="0" w:space="0" w:color="auto"/>
        <w:left w:val="none" w:sz="0" w:space="0" w:color="auto"/>
        <w:bottom w:val="none" w:sz="0" w:space="0" w:color="auto"/>
        <w:right w:val="none" w:sz="0" w:space="0" w:color="auto"/>
      </w:divBdr>
    </w:div>
    <w:div w:id="1766729070">
      <w:bodyDiv w:val="1"/>
      <w:marLeft w:val="0"/>
      <w:marRight w:val="0"/>
      <w:marTop w:val="0"/>
      <w:marBottom w:val="0"/>
      <w:divBdr>
        <w:top w:val="none" w:sz="0" w:space="0" w:color="auto"/>
        <w:left w:val="none" w:sz="0" w:space="0" w:color="auto"/>
        <w:bottom w:val="none" w:sz="0" w:space="0" w:color="auto"/>
        <w:right w:val="none" w:sz="0" w:space="0" w:color="auto"/>
      </w:divBdr>
    </w:div>
    <w:div w:id="1766805601">
      <w:bodyDiv w:val="1"/>
      <w:marLeft w:val="0"/>
      <w:marRight w:val="0"/>
      <w:marTop w:val="0"/>
      <w:marBottom w:val="0"/>
      <w:divBdr>
        <w:top w:val="none" w:sz="0" w:space="0" w:color="auto"/>
        <w:left w:val="none" w:sz="0" w:space="0" w:color="auto"/>
        <w:bottom w:val="none" w:sz="0" w:space="0" w:color="auto"/>
        <w:right w:val="none" w:sz="0" w:space="0" w:color="auto"/>
      </w:divBdr>
    </w:div>
    <w:div w:id="1770084839">
      <w:bodyDiv w:val="1"/>
      <w:marLeft w:val="0"/>
      <w:marRight w:val="0"/>
      <w:marTop w:val="0"/>
      <w:marBottom w:val="0"/>
      <w:divBdr>
        <w:top w:val="none" w:sz="0" w:space="0" w:color="auto"/>
        <w:left w:val="none" w:sz="0" w:space="0" w:color="auto"/>
        <w:bottom w:val="none" w:sz="0" w:space="0" w:color="auto"/>
        <w:right w:val="none" w:sz="0" w:space="0" w:color="auto"/>
      </w:divBdr>
    </w:div>
    <w:div w:id="1781531907">
      <w:bodyDiv w:val="1"/>
      <w:marLeft w:val="0"/>
      <w:marRight w:val="0"/>
      <w:marTop w:val="0"/>
      <w:marBottom w:val="0"/>
      <w:divBdr>
        <w:top w:val="none" w:sz="0" w:space="0" w:color="auto"/>
        <w:left w:val="none" w:sz="0" w:space="0" w:color="auto"/>
        <w:bottom w:val="none" w:sz="0" w:space="0" w:color="auto"/>
        <w:right w:val="none" w:sz="0" w:space="0" w:color="auto"/>
      </w:divBdr>
    </w:div>
    <w:div w:id="1784613966">
      <w:bodyDiv w:val="1"/>
      <w:marLeft w:val="0"/>
      <w:marRight w:val="0"/>
      <w:marTop w:val="0"/>
      <w:marBottom w:val="0"/>
      <w:divBdr>
        <w:top w:val="none" w:sz="0" w:space="0" w:color="auto"/>
        <w:left w:val="none" w:sz="0" w:space="0" w:color="auto"/>
        <w:bottom w:val="none" w:sz="0" w:space="0" w:color="auto"/>
        <w:right w:val="none" w:sz="0" w:space="0" w:color="auto"/>
      </w:divBdr>
    </w:div>
    <w:div w:id="1785808610">
      <w:bodyDiv w:val="1"/>
      <w:marLeft w:val="0"/>
      <w:marRight w:val="0"/>
      <w:marTop w:val="0"/>
      <w:marBottom w:val="0"/>
      <w:divBdr>
        <w:top w:val="none" w:sz="0" w:space="0" w:color="auto"/>
        <w:left w:val="none" w:sz="0" w:space="0" w:color="auto"/>
        <w:bottom w:val="none" w:sz="0" w:space="0" w:color="auto"/>
        <w:right w:val="none" w:sz="0" w:space="0" w:color="auto"/>
      </w:divBdr>
    </w:div>
    <w:div w:id="1796824453">
      <w:bodyDiv w:val="1"/>
      <w:marLeft w:val="0"/>
      <w:marRight w:val="0"/>
      <w:marTop w:val="0"/>
      <w:marBottom w:val="0"/>
      <w:divBdr>
        <w:top w:val="none" w:sz="0" w:space="0" w:color="auto"/>
        <w:left w:val="none" w:sz="0" w:space="0" w:color="auto"/>
        <w:bottom w:val="none" w:sz="0" w:space="0" w:color="auto"/>
        <w:right w:val="none" w:sz="0" w:space="0" w:color="auto"/>
      </w:divBdr>
    </w:div>
    <w:div w:id="1797720316">
      <w:bodyDiv w:val="1"/>
      <w:marLeft w:val="0"/>
      <w:marRight w:val="0"/>
      <w:marTop w:val="0"/>
      <w:marBottom w:val="0"/>
      <w:divBdr>
        <w:top w:val="none" w:sz="0" w:space="0" w:color="auto"/>
        <w:left w:val="none" w:sz="0" w:space="0" w:color="auto"/>
        <w:bottom w:val="none" w:sz="0" w:space="0" w:color="auto"/>
        <w:right w:val="none" w:sz="0" w:space="0" w:color="auto"/>
      </w:divBdr>
    </w:div>
    <w:div w:id="1800874302">
      <w:bodyDiv w:val="1"/>
      <w:marLeft w:val="0"/>
      <w:marRight w:val="0"/>
      <w:marTop w:val="0"/>
      <w:marBottom w:val="0"/>
      <w:divBdr>
        <w:top w:val="none" w:sz="0" w:space="0" w:color="auto"/>
        <w:left w:val="none" w:sz="0" w:space="0" w:color="auto"/>
        <w:bottom w:val="none" w:sz="0" w:space="0" w:color="auto"/>
        <w:right w:val="none" w:sz="0" w:space="0" w:color="auto"/>
      </w:divBdr>
    </w:div>
    <w:div w:id="1804276417">
      <w:bodyDiv w:val="1"/>
      <w:marLeft w:val="0"/>
      <w:marRight w:val="0"/>
      <w:marTop w:val="0"/>
      <w:marBottom w:val="0"/>
      <w:divBdr>
        <w:top w:val="none" w:sz="0" w:space="0" w:color="auto"/>
        <w:left w:val="none" w:sz="0" w:space="0" w:color="auto"/>
        <w:bottom w:val="none" w:sz="0" w:space="0" w:color="auto"/>
        <w:right w:val="none" w:sz="0" w:space="0" w:color="auto"/>
      </w:divBdr>
    </w:div>
    <w:div w:id="1808352827">
      <w:bodyDiv w:val="1"/>
      <w:marLeft w:val="0"/>
      <w:marRight w:val="0"/>
      <w:marTop w:val="0"/>
      <w:marBottom w:val="0"/>
      <w:divBdr>
        <w:top w:val="none" w:sz="0" w:space="0" w:color="auto"/>
        <w:left w:val="none" w:sz="0" w:space="0" w:color="auto"/>
        <w:bottom w:val="none" w:sz="0" w:space="0" w:color="auto"/>
        <w:right w:val="none" w:sz="0" w:space="0" w:color="auto"/>
      </w:divBdr>
    </w:div>
    <w:div w:id="1819109034">
      <w:bodyDiv w:val="1"/>
      <w:marLeft w:val="0"/>
      <w:marRight w:val="0"/>
      <w:marTop w:val="0"/>
      <w:marBottom w:val="0"/>
      <w:divBdr>
        <w:top w:val="none" w:sz="0" w:space="0" w:color="auto"/>
        <w:left w:val="none" w:sz="0" w:space="0" w:color="auto"/>
        <w:bottom w:val="none" w:sz="0" w:space="0" w:color="auto"/>
        <w:right w:val="none" w:sz="0" w:space="0" w:color="auto"/>
      </w:divBdr>
    </w:div>
    <w:div w:id="1822767577">
      <w:bodyDiv w:val="1"/>
      <w:marLeft w:val="0"/>
      <w:marRight w:val="0"/>
      <w:marTop w:val="0"/>
      <w:marBottom w:val="0"/>
      <w:divBdr>
        <w:top w:val="none" w:sz="0" w:space="0" w:color="auto"/>
        <w:left w:val="none" w:sz="0" w:space="0" w:color="auto"/>
        <w:bottom w:val="none" w:sz="0" w:space="0" w:color="auto"/>
        <w:right w:val="none" w:sz="0" w:space="0" w:color="auto"/>
      </w:divBdr>
    </w:div>
    <w:div w:id="1841576664">
      <w:bodyDiv w:val="1"/>
      <w:marLeft w:val="0"/>
      <w:marRight w:val="0"/>
      <w:marTop w:val="0"/>
      <w:marBottom w:val="0"/>
      <w:divBdr>
        <w:top w:val="none" w:sz="0" w:space="0" w:color="auto"/>
        <w:left w:val="none" w:sz="0" w:space="0" w:color="auto"/>
        <w:bottom w:val="none" w:sz="0" w:space="0" w:color="auto"/>
        <w:right w:val="none" w:sz="0" w:space="0" w:color="auto"/>
      </w:divBdr>
    </w:div>
    <w:div w:id="1845823793">
      <w:bodyDiv w:val="1"/>
      <w:marLeft w:val="0"/>
      <w:marRight w:val="0"/>
      <w:marTop w:val="0"/>
      <w:marBottom w:val="0"/>
      <w:divBdr>
        <w:top w:val="none" w:sz="0" w:space="0" w:color="auto"/>
        <w:left w:val="none" w:sz="0" w:space="0" w:color="auto"/>
        <w:bottom w:val="none" w:sz="0" w:space="0" w:color="auto"/>
        <w:right w:val="none" w:sz="0" w:space="0" w:color="auto"/>
      </w:divBdr>
    </w:div>
    <w:div w:id="1846088720">
      <w:bodyDiv w:val="1"/>
      <w:marLeft w:val="0"/>
      <w:marRight w:val="0"/>
      <w:marTop w:val="0"/>
      <w:marBottom w:val="0"/>
      <w:divBdr>
        <w:top w:val="none" w:sz="0" w:space="0" w:color="auto"/>
        <w:left w:val="none" w:sz="0" w:space="0" w:color="auto"/>
        <w:bottom w:val="none" w:sz="0" w:space="0" w:color="auto"/>
        <w:right w:val="none" w:sz="0" w:space="0" w:color="auto"/>
      </w:divBdr>
    </w:div>
    <w:div w:id="1853955540">
      <w:bodyDiv w:val="1"/>
      <w:marLeft w:val="0"/>
      <w:marRight w:val="0"/>
      <w:marTop w:val="0"/>
      <w:marBottom w:val="0"/>
      <w:divBdr>
        <w:top w:val="none" w:sz="0" w:space="0" w:color="auto"/>
        <w:left w:val="none" w:sz="0" w:space="0" w:color="auto"/>
        <w:bottom w:val="none" w:sz="0" w:space="0" w:color="auto"/>
        <w:right w:val="none" w:sz="0" w:space="0" w:color="auto"/>
      </w:divBdr>
    </w:div>
    <w:div w:id="1857570687">
      <w:bodyDiv w:val="1"/>
      <w:marLeft w:val="0"/>
      <w:marRight w:val="0"/>
      <w:marTop w:val="0"/>
      <w:marBottom w:val="0"/>
      <w:divBdr>
        <w:top w:val="none" w:sz="0" w:space="0" w:color="auto"/>
        <w:left w:val="none" w:sz="0" w:space="0" w:color="auto"/>
        <w:bottom w:val="none" w:sz="0" w:space="0" w:color="auto"/>
        <w:right w:val="none" w:sz="0" w:space="0" w:color="auto"/>
      </w:divBdr>
    </w:div>
    <w:div w:id="1868326085">
      <w:bodyDiv w:val="1"/>
      <w:marLeft w:val="0"/>
      <w:marRight w:val="0"/>
      <w:marTop w:val="0"/>
      <w:marBottom w:val="0"/>
      <w:divBdr>
        <w:top w:val="none" w:sz="0" w:space="0" w:color="auto"/>
        <w:left w:val="none" w:sz="0" w:space="0" w:color="auto"/>
        <w:bottom w:val="none" w:sz="0" w:space="0" w:color="auto"/>
        <w:right w:val="none" w:sz="0" w:space="0" w:color="auto"/>
      </w:divBdr>
    </w:div>
    <w:div w:id="1876430426">
      <w:bodyDiv w:val="1"/>
      <w:marLeft w:val="0"/>
      <w:marRight w:val="0"/>
      <w:marTop w:val="0"/>
      <w:marBottom w:val="0"/>
      <w:divBdr>
        <w:top w:val="none" w:sz="0" w:space="0" w:color="auto"/>
        <w:left w:val="none" w:sz="0" w:space="0" w:color="auto"/>
        <w:bottom w:val="none" w:sz="0" w:space="0" w:color="auto"/>
        <w:right w:val="none" w:sz="0" w:space="0" w:color="auto"/>
      </w:divBdr>
    </w:div>
    <w:div w:id="1878003121">
      <w:bodyDiv w:val="1"/>
      <w:marLeft w:val="0"/>
      <w:marRight w:val="0"/>
      <w:marTop w:val="0"/>
      <w:marBottom w:val="0"/>
      <w:divBdr>
        <w:top w:val="none" w:sz="0" w:space="0" w:color="auto"/>
        <w:left w:val="none" w:sz="0" w:space="0" w:color="auto"/>
        <w:bottom w:val="none" w:sz="0" w:space="0" w:color="auto"/>
        <w:right w:val="none" w:sz="0" w:space="0" w:color="auto"/>
      </w:divBdr>
    </w:div>
    <w:div w:id="1880584006">
      <w:bodyDiv w:val="1"/>
      <w:marLeft w:val="0"/>
      <w:marRight w:val="0"/>
      <w:marTop w:val="0"/>
      <w:marBottom w:val="0"/>
      <w:divBdr>
        <w:top w:val="none" w:sz="0" w:space="0" w:color="auto"/>
        <w:left w:val="none" w:sz="0" w:space="0" w:color="auto"/>
        <w:bottom w:val="none" w:sz="0" w:space="0" w:color="auto"/>
        <w:right w:val="none" w:sz="0" w:space="0" w:color="auto"/>
      </w:divBdr>
    </w:div>
    <w:div w:id="1885630204">
      <w:bodyDiv w:val="1"/>
      <w:marLeft w:val="0"/>
      <w:marRight w:val="0"/>
      <w:marTop w:val="0"/>
      <w:marBottom w:val="0"/>
      <w:divBdr>
        <w:top w:val="none" w:sz="0" w:space="0" w:color="auto"/>
        <w:left w:val="none" w:sz="0" w:space="0" w:color="auto"/>
        <w:bottom w:val="none" w:sz="0" w:space="0" w:color="auto"/>
        <w:right w:val="none" w:sz="0" w:space="0" w:color="auto"/>
      </w:divBdr>
    </w:div>
    <w:div w:id="1893347534">
      <w:bodyDiv w:val="1"/>
      <w:marLeft w:val="0"/>
      <w:marRight w:val="0"/>
      <w:marTop w:val="0"/>
      <w:marBottom w:val="0"/>
      <w:divBdr>
        <w:top w:val="none" w:sz="0" w:space="0" w:color="auto"/>
        <w:left w:val="none" w:sz="0" w:space="0" w:color="auto"/>
        <w:bottom w:val="none" w:sz="0" w:space="0" w:color="auto"/>
        <w:right w:val="none" w:sz="0" w:space="0" w:color="auto"/>
      </w:divBdr>
    </w:div>
    <w:div w:id="1895460788">
      <w:bodyDiv w:val="1"/>
      <w:marLeft w:val="0"/>
      <w:marRight w:val="0"/>
      <w:marTop w:val="0"/>
      <w:marBottom w:val="0"/>
      <w:divBdr>
        <w:top w:val="none" w:sz="0" w:space="0" w:color="auto"/>
        <w:left w:val="none" w:sz="0" w:space="0" w:color="auto"/>
        <w:bottom w:val="none" w:sz="0" w:space="0" w:color="auto"/>
        <w:right w:val="none" w:sz="0" w:space="0" w:color="auto"/>
      </w:divBdr>
    </w:div>
    <w:div w:id="1901405390">
      <w:bodyDiv w:val="1"/>
      <w:marLeft w:val="0"/>
      <w:marRight w:val="0"/>
      <w:marTop w:val="0"/>
      <w:marBottom w:val="0"/>
      <w:divBdr>
        <w:top w:val="none" w:sz="0" w:space="0" w:color="auto"/>
        <w:left w:val="none" w:sz="0" w:space="0" w:color="auto"/>
        <w:bottom w:val="none" w:sz="0" w:space="0" w:color="auto"/>
        <w:right w:val="none" w:sz="0" w:space="0" w:color="auto"/>
      </w:divBdr>
    </w:div>
    <w:div w:id="1901818833">
      <w:bodyDiv w:val="1"/>
      <w:marLeft w:val="0"/>
      <w:marRight w:val="0"/>
      <w:marTop w:val="0"/>
      <w:marBottom w:val="0"/>
      <w:divBdr>
        <w:top w:val="none" w:sz="0" w:space="0" w:color="auto"/>
        <w:left w:val="none" w:sz="0" w:space="0" w:color="auto"/>
        <w:bottom w:val="none" w:sz="0" w:space="0" w:color="auto"/>
        <w:right w:val="none" w:sz="0" w:space="0" w:color="auto"/>
      </w:divBdr>
    </w:div>
    <w:div w:id="1906525507">
      <w:bodyDiv w:val="1"/>
      <w:marLeft w:val="0"/>
      <w:marRight w:val="0"/>
      <w:marTop w:val="0"/>
      <w:marBottom w:val="0"/>
      <w:divBdr>
        <w:top w:val="none" w:sz="0" w:space="0" w:color="auto"/>
        <w:left w:val="none" w:sz="0" w:space="0" w:color="auto"/>
        <w:bottom w:val="none" w:sz="0" w:space="0" w:color="auto"/>
        <w:right w:val="none" w:sz="0" w:space="0" w:color="auto"/>
      </w:divBdr>
    </w:div>
    <w:div w:id="1906573954">
      <w:bodyDiv w:val="1"/>
      <w:marLeft w:val="0"/>
      <w:marRight w:val="0"/>
      <w:marTop w:val="0"/>
      <w:marBottom w:val="0"/>
      <w:divBdr>
        <w:top w:val="none" w:sz="0" w:space="0" w:color="auto"/>
        <w:left w:val="none" w:sz="0" w:space="0" w:color="auto"/>
        <w:bottom w:val="none" w:sz="0" w:space="0" w:color="auto"/>
        <w:right w:val="none" w:sz="0" w:space="0" w:color="auto"/>
      </w:divBdr>
    </w:div>
    <w:div w:id="1909991595">
      <w:bodyDiv w:val="1"/>
      <w:marLeft w:val="0"/>
      <w:marRight w:val="0"/>
      <w:marTop w:val="0"/>
      <w:marBottom w:val="0"/>
      <w:divBdr>
        <w:top w:val="none" w:sz="0" w:space="0" w:color="auto"/>
        <w:left w:val="none" w:sz="0" w:space="0" w:color="auto"/>
        <w:bottom w:val="none" w:sz="0" w:space="0" w:color="auto"/>
        <w:right w:val="none" w:sz="0" w:space="0" w:color="auto"/>
      </w:divBdr>
    </w:div>
    <w:div w:id="1912277818">
      <w:bodyDiv w:val="1"/>
      <w:marLeft w:val="0"/>
      <w:marRight w:val="0"/>
      <w:marTop w:val="0"/>
      <w:marBottom w:val="0"/>
      <w:divBdr>
        <w:top w:val="none" w:sz="0" w:space="0" w:color="auto"/>
        <w:left w:val="none" w:sz="0" w:space="0" w:color="auto"/>
        <w:bottom w:val="none" w:sz="0" w:space="0" w:color="auto"/>
        <w:right w:val="none" w:sz="0" w:space="0" w:color="auto"/>
      </w:divBdr>
    </w:div>
    <w:div w:id="1912429121">
      <w:bodyDiv w:val="1"/>
      <w:marLeft w:val="0"/>
      <w:marRight w:val="0"/>
      <w:marTop w:val="0"/>
      <w:marBottom w:val="0"/>
      <w:divBdr>
        <w:top w:val="none" w:sz="0" w:space="0" w:color="auto"/>
        <w:left w:val="none" w:sz="0" w:space="0" w:color="auto"/>
        <w:bottom w:val="none" w:sz="0" w:space="0" w:color="auto"/>
        <w:right w:val="none" w:sz="0" w:space="0" w:color="auto"/>
      </w:divBdr>
    </w:div>
    <w:div w:id="1914271294">
      <w:bodyDiv w:val="1"/>
      <w:marLeft w:val="0"/>
      <w:marRight w:val="0"/>
      <w:marTop w:val="0"/>
      <w:marBottom w:val="0"/>
      <w:divBdr>
        <w:top w:val="none" w:sz="0" w:space="0" w:color="auto"/>
        <w:left w:val="none" w:sz="0" w:space="0" w:color="auto"/>
        <w:bottom w:val="none" w:sz="0" w:space="0" w:color="auto"/>
        <w:right w:val="none" w:sz="0" w:space="0" w:color="auto"/>
      </w:divBdr>
      <w:divsChild>
        <w:div w:id="422453691">
          <w:marLeft w:val="1080"/>
          <w:marRight w:val="0"/>
          <w:marTop w:val="0"/>
          <w:marBottom w:val="0"/>
          <w:divBdr>
            <w:top w:val="none" w:sz="0" w:space="0" w:color="auto"/>
            <w:left w:val="none" w:sz="0" w:space="0" w:color="auto"/>
            <w:bottom w:val="none" w:sz="0" w:space="0" w:color="auto"/>
            <w:right w:val="none" w:sz="0" w:space="0" w:color="auto"/>
          </w:divBdr>
        </w:div>
        <w:div w:id="520510300">
          <w:marLeft w:val="1080"/>
          <w:marRight w:val="0"/>
          <w:marTop w:val="0"/>
          <w:marBottom w:val="0"/>
          <w:divBdr>
            <w:top w:val="none" w:sz="0" w:space="0" w:color="auto"/>
            <w:left w:val="none" w:sz="0" w:space="0" w:color="auto"/>
            <w:bottom w:val="none" w:sz="0" w:space="0" w:color="auto"/>
            <w:right w:val="none" w:sz="0" w:space="0" w:color="auto"/>
          </w:divBdr>
        </w:div>
      </w:divsChild>
    </w:div>
    <w:div w:id="1919051957">
      <w:bodyDiv w:val="1"/>
      <w:marLeft w:val="0"/>
      <w:marRight w:val="0"/>
      <w:marTop w:val="0"/>
      <w:marBottom w:val="0"/>
      <w:divBdr>
        <w:top w:val="none" w:sz="0" w:space="0" w:color="auto"/>
        <w:left w:val="none" w:sz="0" w:space="0" w:color="auto"/>
        <w:bottom w:val="none" w:sz="0" w:space="0" w:color="auto"/>
        <w:right w:val="none" w:sz="0" w:space="0" w:color="auto"/>
      </w:divBdr>
    </w:div>
    <w:div w:id="1920826424">
      <w:bodyDiv w:val="1"/>
      <w:marLeft w:val="0"/>
      <w:marRight w:val="0"/>
      <w:marTop w:val="0"/>
      <w:marBottom w:val="0"/>
      <w:divBdr>
        <w:top w:val="none" w:sz="0" w:space="0" w:color="auto"/>
        <w:left w:val="none" w:sz="0" w:space="0" w:color="auto"/>
        <w:bottom w:val="none" w:sz="0" w:space="0" w:color="auto"/>
        <w:right w:val="none" w:sz="0" w:space="0" w:color="auto"/>
      </w:divBdr>
    </w:div>
    <w:div w:id="1926302978">
      <w:bodyDiv w:val="1"/>
      <w:marLeft w:val="0"/>
      <w:marRight w:val="0"/>
      <w:marTop w:val="0"/>
      <w:marBottom w:val="0"/>
      <w:divBdr>
        <w:top w:val="none" w:sz="0" w:space="0" w:color="auto"/>
        <w:left w:val="none" w:sz="0" w:space="0" w:color="auto"/>
        <w:bottom w:val="none" w:sz="0" w:space="0" w:color="auto"/>
        <w:right w:val="none" w:sz="0" w:space="0" w:color="auto"/>
      </w:divBdr>
    </w:div>
    <w:div w:id="1927686517">
      <w:bodyDiv w:val="1"/>
      <w:marLeft w:val="0"/>
      <w:marRight w:val="0"/>
      <w:marTop w:val="0"/>
      <w:marBottom w:val="0"/>
      <w:divBdr>
        <w:top w:val="none" w:sz="0" w:space="0" w:color="auto"/>
        <w:left w:val="none" w:sz="0" w:space="0" w:color="auto"/>
        <w:bottom w:val="none" w:sz="0" w:space="0" w:color="auto"/>
        <w:right w:val="none" w:sz="0" w:space="0" w:color="auto"/>
      </w:divBdr>
    </w:div>
    <w:div w:id="1928147538">
      <w:bodyDiv w:val="1"/>
      <w:marLeft w:val="0"/>
      <w:marRight w:val="0"/>
      <w:marTop w:val="0"/>
      <w:marBottom w:val="0"/>
      <w:divBdr>
        <w:top w:val="none" w:sz="0" w:space="0" w:color="auto"/>
        <w:left w:val="none" w:sz="0" w:space="0" w:color="auto"/>
        <w:bottom w:val="none" w:sz="0" w:space="0" w:color="auto"/>
        <w:right w:val="none" w:sz="0" w:space="0" w:color="auto"/>
      </w:divBdr>
    </w:div>
    <w:div w:id="1941259937">
      <w:bodyDiv w:val="1"/>
      <w:marLeft w:val="0"/>
      <w:marRight w:val="0"/>
      <w:marTop w:val="0"/>
      <w:marBottom w:val="0"/>
      <w:divBdr>
        <w:top w:val="none" w:sz="0" w:space="0" w:color="auto"/>
        <w:left w:val="none" w:sz="0" w:space="0" w:color="auto"/>
        <w:bottom w:val="none" w:sz="0" w:space="0" w:color="auto"/>
        <w:right w:val="none" w:sz="0" w:space="0" w:color="auto"/>
      </w:divBdr>
    </w:div>
    <w:div w:id="1942487834">
      <w:bodyDiv w:val="1"/>
      <w:marLeft w:val="0"/>
      <w:marRight w:val="0"/>
      <w:marTop w:val="0"/>
      <w:marBottom w:val="0"/>
      <w:divBdr>
        <w:top w:val="none" w:sz="0" w:space="0" w:color="auto"/>
        <w:left w:val="none" w:sz="0" w:space="0" w:color="auto"/>
        <w:bottom w:val="none" w:sz="0" w:space="0" w:color="auto"/>
        <w:right w:val="none" w:sz="0" w:space="0" w:color="auto"/>
      </w:divBdr>
      <w:divsChild>
        <w:div w:id="986516727">
          <w:marLeft w:val="1080"/>
          <w:marRight w:val="0"/>
          <w:marTop w:val="0"/>
          <w:marBottom w:val="0"/>
          <w:divBdr>
            <w:top w:val="none" w:sz="0" w:space="0" w:color="auto"/>
            <w:left w:val="none" w:sz="0" w:space="0" w:color="auto"/>
            <w:bottom w:val="none" w:sz="0" w:space="0" w:color="auto"/>
            <w:right w:val="none" w:sz="0" w:space="0" w:color="auto"/>
          </w:divBdr>
        </w:div>
      </w:divsChild>
    </w:div>
    <w:div w:id="1946158164">
      <w:bodyDiv w:val="1"/>
      <w:marLeft w:val="0"/>
      <w:marRight w:val="0"/>
      <w:marTop w:val="0"/>
      <w:marBottom w:val="0"/>
      <w:divBdr>
        <w:top w:val="none" w:sz="0" w:space="0" w:color="auto"/>
        <w:left w:val="none" w:sz="0" w:space="0" w:color="auto"/>
        <w:bottom w:val="none" w:sz="0" w:space="0" w:color="auto"/>
        <w:right w:val="none" w:sz="0" w:space="0" w:color="auto"/>
      </w:divBdr>
    </w:div>
    <w:div w:id="1946885233">
      <w:bodyDiv w:val="1"/>
      <w:marLeft w:val="0"/>
      <w:marRight w:val="0"/>
      <w:marTop w:val="0"/>
      <w:marBottom w:val="0"/>
      <w:divBdr>
        <w:top w:val="none" w:sz="0" w:space="0" w:color="auto"/>
        <w:left w:val="none" w:sz="0" w:space="0" w:color="auto"/>
        <w:bottom w:val="none" w:sz="0" w:space="0" w:color="auto"/>
        <w:right w:val="none" w:sz="0" w:space="0" w:color="auto"/>
      </w:divBdr>
    </w:div>
    <w:div w:id="1947350642">
      <w:bodyDiv w:val="1"/>
      <w:marLeft w:val="0"/>
      <w:marRight w:val="0"/>
      <w:marTop w:val="0"/>
      <w:marBottom w:val="0"/>
      <w:divBdr>
        <w:top w:val="none" w:sz="0" w:space="0" w:color="auto"/>
        <w:left w:val="none" w:sz="0" w:space="0" w:color="auto"/>
        <w:bottom w:val="none" w:sz="0" w:space="0" w:color="auto"/>
        <w:right w:val="none" w:sz="0" w:space="0" w:color="auto"/>
      </w:divBdr>
    </w:div>
    <w:div w:id="1948195998">
      <w:bodyDiv w:val="1"/>
      <w:marLeft w:val="0"/>
      <w:marRight w:val="0"/>
      <w:marTop w:val="0"/>
      <w:marBottom w:val="0"/>
      <w:divBdr>
        <w:top w:val="none" w:sz="0" w:space="0" w:color="auto"/>
        <w:left w:val="none" w:sz="0" w:space="0" w:color="auto"/>
        <w:bottom w:val="none" w:sz="0" w:space="0" w:color="auto"/>
        <w:right w:val="none" w:sz="0" w:space="0" w:color="auto"/>
      </w:divBdr>
    </w:div>
    <w:div w:id="1950504263">
      <w:bodyDiv w:val="1"/>
      <w:marLeft w:val="0"/>
      <w:marRight w:val="0"/>
      <w:marTop w:val="0"/>
      <w:marBottom w:val="0"/>
      <w:divBdr>
        <w:top w:val="none" w:sz="0" w:space="0" w:color="auto"/>
        <w:left w:val="none" w:sz="0" w:space="0" w:color="auto"/>
        <w:bottom w:val="none" w:sz="0" w:space="0" w:color="auto"/>
        <w:right w:val="none" w:sz="0" w:space="0" w:color="auto"/>
      </w:divBdr>
    </w:div>
    <w:div w:id="1952082753">
      <w:bodyDiv w:val="1"/>
      <w:marLeft w:val="0"/>
      <w:marRight w:val="0"/>
      <w:marTop w:val="0"/>
      <w:marBottom w:val="0"/>
      <w:divBdr>
        <w:top w:val="none" w:sz="0" w:space="0" w:color="auto"/>
        <w:left w:val="none" w:sz="0" w:space="0" w:color="auto"/>
        <w:bottom w:val="none" w:sz="0" w:space="0" w:color="auto"/>
        <w:right w:val="none" w:sz="0" w:space="0" w:color="auto"/>
      </w:divBdr>
    </w:div>
    <w:div w:id="1957982809">
      <w:bodyDiv w:val="1"/>
      <w:marLeft w:val="0"/>
      <w:marRight w:val="0"/>
      <w:marTop w:val="0"/>
      <w:marBottom w:val="0"/>
      <w:divBdr>
        <w:top w:val="none" w:sz="0" w:space="0" w:color="auto"/>
        <w:left w:val="none" w:sz="0" w:space="0" w:color="auto"/>
        <w:bottom w:val="none" w:sz="0" w:space="0" w:color="auto"/>
        <w:right w:val="none" w:sz="0" w:space="0" w:color="auto"/>
      </w:divBdr>
    </w:div>
    <w:div w:id="1959027809">
      <w:bodyDiv w:val="1"/>
      <w:marLeft w:val="0"/>
      <w:marRight w:val="0"/>
      <w:marTop w:val="0"/>
      <w:marBottom w:val="0"/>
      <w:divBdr>
        <w:top w:val="none" w:sz="0" w:space="0" w:color="auto"/>
        <w:left w:val="none" w:sz="0" w:space="0" w:color="auto"/>
        <w:bottom w:val="none" w:sz="0" w:space="0" w:color="auto"/>
        <w:right w:val="none" w:sz="0" w:space="0" w:color="auto"/>
      </w:divBdr>
    </w:div>
    <w:div w:id="1969126129">
      <w:bodyDiv w:val="1"/>
      <w:marLeft w:val="0"/>
      <w:marRight w:val="0"/>
      <w:marTop w:val="0"/>
      <w:marBottom w:val="0"/>
      <w:divBdr>
        <w:top w:val="none" w:sz="0" w:space="0" w:color="auto"/>
        <w:left w:val="none" w:sz="0" w:space="0" w:color="auto"/>
        <w:bottom w:val="none" w:sz="0" w:space="0" w:color="auto"/>
        <w:right w:val="none" w:sz="0" w:space="0" w:color="auto"/>
      </w:divBdr>
    </w:div>
    <w:div w:id="1970546066">
      <w:bodyDiv w:val="1"/>
      <w:marLeft w:val="0"/>
      <w:marRight w:val="0"/>
      <w:marTop w:val="0"/>
      <w:marBottom w:val="0"/>
      <w:divBdr>
        <w:top w:val="none" w:sz="0" w:space="0" w:color="auto"/>
        <w:left w:val="none" w:sz="0" w:space="0" w:color="auto"/>
        <w:bottom w:val="none" w:sz="0" w:space="0" w:color="auto"/>
        <w:right w:val="none" w:sz="0" w:space="0" w:color="auto"/>
      </w:divBdr>
    </w:div>
    <w:div w:id="1972905341">
      <w:bodyDiv w:val="1"/>
      <w:marLeft w:val="0"/>
      <w:marRight w:val="0"/>
      <w:marTop w:val="0"/>
      <w:marBottom w:val="0"/>
      <w:divBdr>
        <w:top w:val="none" w:sz="0" w:space="0" w:color="auto"/>
        <w:left w:val="none" w:sz="0" w:space="0" w:color="auto"/>
        <w:bottom w:val="none" w:sz="0" w:space="0" w:color="auto"/>
        <w:right w:val="none" w:sz="0" w:space="0" w:color="auto"/>
      </w:divBdr>
    </w:div>
    <w:div w:id="1980573287">
      <w:bodyDiv w:val="1"/>
      <w:marLeft w:val="0"/>
      <w:marRight w:val="0"/>
      <w:marTop w:val="0"/>
      <w:marBottom w:val="0"/>
      <w:divBdr>
        <w:top w:val="none" w:sz="0" w:space="0" w:color="auto"/>
        <w:left w:val="none" w:sz="0" w:space="0" w:color="auto"/>
        <w:bottom w:val="none" w:sz="0" w:space="0" w:color="auto"/>
        <w:right w:val="none" w:sz="0" w:space="0" w:color="auto"/>
      </w:divBdr>
    </w:div>
    <w:div w:id="1981302550">
      <w:bodyDiv w:val="1"/>
      <w:marLeft w:val="0"/>
      <w:marRight w:val="0"/>
      <w:marTop w:val="0"/>
      <w:marBottom w:val="0"/>
      <w:divBdr>
        <w:top w:val="none" w:sz="0" w:space="0" w:color="auto"/>
        <w:left w:val="none" w:sz="0" w:space="0" w:color="auto"/>
        <w:bottom w:val="none" w:sz="0" w:space="0" w:color="auto"/>
        <w:right w:val="none" w:sz="0" w:space="0" w:color="auto"/>
      </w:divBdr>
    </w:div>
    <w:div w:id="1981961281">
      <w:bodyDiv w:val="1"/>
      <w:marLeft w:val="0"/>
      <w:marRight w:val="0"/>
      <w:marTop w:val="0"/>
      <w:marBottom w:val="0"/>
      <w:divBdr>
        <w:top w:val="none" w:sz="0" w:space="0" w:color="auto"/>
        <w:left w:val="none" w:sz="0" w:space="0" w:color="auto"/>
        <w:bottom w:val="none" w:sz="0" w:space="0" w:color="auto"/>
        <w:right w:val="none" w:sz="0" w:space="0" w:color="auto"/>
      </w:divBdr>
    </w:div>
    <w:div w:id="1991322610">
      <w:bodyDiv w:val="1"/>
      <w:marLeft w:val="0"/>
      <w:marRight w:val="0"/>
      <w:marTop w:val="0"/>
      <w:marBottom w:val="0"/>
      <w:divBdr>
        <w:top w:val="none" w:sz="0" w:space="0" w:color="auto"/>
        <w:left w:val="none" w:sz="0" w:space="0" w:color="auto"/>
        <w:bottom w:val="none" w:sz="0" w:space="0" w:color="auto"/>
        <w:right w:val="none" w:sz="0" w:space="0" w:color="auto"/>
      </w:divBdr>
    </w:div>
    <w:div w:id="1992052634">
      <w:bodyDiv w:val="1"/>
      <w:marLeft w:val="0"/>
      <w:marRight w:val="0"/>
      <w:marTop w:val="0"/>
      <w:marBottom w:val="0"/>
      <w:divBdr>
        <w:top w:val="none" w:sz="0" w:space="0" w:color="auto"/>
        <w:left w:val="none" w:sz="0" w:space="0" w:color="auto"/>
        <w:bottom w:val="none" w:sz="0" w:space="0" w:color="auto"/>
        <w:right w:val="none" w:sz="0" w:space="0" w:color="auto"/>
      </w:divBdr>
    </w:div>
    <w:div w:id="1996451466">
      <w:bodyDiv w:val="1"/>
      <w:marLeft w:val="0"/>
      <w:marRight w:val="0"/>
      <w:marTop w:val="0"/>
      <w:marBottom w:val="0"/>
      <w:divBdr>
        <w:top w:val="none" w:sz="0" w:space="0" w:color="auto"/>
        <w:left w:val="none" w:sz="0" w:space="0" w:color="auto"/>
        <w:bottom w:val="none" w:sz="0" w:space="0" w:color="auto"/>
        <w:right w:val="none" w:sz="0" w:space="0" w:color="auto"/>
      </w:divBdr>
    </w:div>
    <w:div w:id="1999655238">
      <w:bodyDiv w:val="1"/>
      <w:marLeft w:val="0"/>
      <w:marRight w:val="0"/>
      <w:marTop w:val="0"/>
      <w:marBottom w:val="0"/>
      <w:divBdr>
        <w:top w:val="none" w:sz="0" w:space="0" w:color="auto"/>
        <w:left w:val="none" w:sz="0" w:space="0" w:color="auto"/>
        <w:bottom w:val="none" w:sz="0" w:space="0" w:color="auto"/>
        <w:right w:val="none" w:sz="0" w:space="0" w:color="auto"/>
      </w:divBdr>
    </w:div>
    <w:div w:id="2000503068">
      <w:bodyDiv w:val="1"/>
      <w:marLeft w:val="0"/>
      <w:marRight w:val="0"/>
      <w:marTop w:val="0"/>
      <w:marBottom w:val="0"/>
      <w:divBdr>
        <w:top w:val="none" w:sz="0" w:space="0" w:color="auto"/>
        <w:left w:val="none" w:sz="0" w:space="0" w:color="auto"/>
        <w:bottom w:val="none" w:sz="0" w:space="0" w:color="auto"/>
        <w:right w:val="none" w:sz="0" w:space="0" w:color="auto"/>
      </w:divBdr>
    </w:div>
    <w:div w:id="2000839515">
      <w:bodyDiv w:val="1"/>
      <w:marLeft w:val="0"/>
      <w:marRight w:val="0"/>
      <w:marTop w:val="0"/>
      <w:marBottom w:val="0"/>
      <w:divBdr>
        <w:top w:val="none" w:sz="0" w:space="0" w:color="auto"/>
        <w:left w:val="none" w:sz="0" w:space="0" w:color="auto"/>
        <w:bottom w:val="none" w:sz="0" w:space="0" w:color="auto"/>
        <w:right w:val="none" w:sz="0" w:space="0" w:color="auto"/>
      </w:divBdr>
    </w:div>
    <w:div w:id="2003852563">
      <w:bodyDiv w:val="1"/>
      <w:marLeft w:val="0"/>
      <w:marRight w:val="0"/>
      <w:marTop w:val="0"/>
      <w:marBottom w:val="0"/>
      <w:divBdr>
        <w:top w:val="none" w:sz="0" w:space="0" w:color="auto"/>
        <w:left w:val="none" w:sz="0" w:space="0" w:color="auto"/>
        <w:bottom w:val="none" w:sz="0" w:space="0" w:color="auto"/>
        <w:right w:val="none" w:sz="0" w:space="0" w:color="auto"/>
      </w:divBdr>
    </w:div>
    <w:div w:id="2006930344">
      <w:bodyDiv w:val="1"/>
      <w:marLeft w:val="0"/>
      <w:marRight w:val="0"/>
      <w:marTop w:val="0"/>
      <w:marBottom w:val="0"/>
      <w:divBdr>
        <w:top w:val="none" w:sz="0" w:space="0" w:color="auto"/>
        <w:left w:val="none" w:sz="0" w:space="0" w:color="auto"/>
        <w:bottom w:val="none" w:sz="0" w:space="0" w:color="auto"/>
        <w:right w:val="none" w:sz="0" w:space="0" w:color="auto"/>
      </w:divBdr>
    </w:div>
    <w:div w:id="2009365097">
      <w:bodyDiv w:val="1"/>
      <w:marLeft w:val="0"/>
      <w:marRight w:val="0"/>
      <w:marTop w:val="0"/>
      <w:marBottom w:val="0"/>
      <w:divBdr>
        <w:top w:val="none" w:sz="0" w:space="0" w:color="auto"/>
        <w:left w:val="none" w:sz="0" w:space="0" w:color="auto"/>
        <w:bottom w:val="none" w:sz="0" w:space="0" w:color="auto"/>
        <w:right w:val="none" w:sz="0" w:space="0" w:color="auto"/>
      </w:divBdr>
    </w:div>
    <w:div w:id="2011760266">
      <w:bodyDiv w:val="1"/>
      <w:marLeft w:val="0"/>
      <w:marRight w:val="0"/>
      <w:marTop w:val="0"/>
      <w:marBottom w:val="0"/>
      <w:divBdr>
        <w:top w:val="none" w:sz="0" w:space="0" w:color="auto"/>
        <w:left w:val="none" w:sz="0" w:space="0" w:color="auto"/>
        <w:bottom w:val="none" w:sz="0" w:space="0" w:color="auto"/>
        <w:right w:val="none" w:sz="0" w:space="0" w:color="auto"/>
      </w:divBdr>
    </w:div>
    <w:div w:id="2012682426">
      <w:bodyDiv w:val="1"/>
      <w:marLeft w:val="0"/>
      <w:marRight w:val="0"/>
      <w:marTop w:val="0"/>
      <w:marBottom w:val="0"/>
      <w:divBdr>
        <w:top w:val="none" w:sz="0" w:space="0" w:color="auto"/>
        <w:left w:val="none" w:sz="0" w:space="0" w:color="auto"/>
        <w:bottom w:val="none" w:sz="0" w:space="0" w:color="auto"/>
        <w:right w:val="none" w:sz="0" w:space="0" w:color="auto"/>
      </w:divBdr>
    </w:div>
    <w:div w:id="2020348659">
      <w:bodyDiv w:val="1"/>
      <w:marLeft w:val="0"/>
      <w:marRight w:val="0"/>
      <w:marTop w:val="0"/>
      <w:marBottom w:val="0"/>
      <w:divBdr>
        <w:top w:val="none" w:sz="0" w:space="0" w:color="auto"/>
        <w:left w:val="none" w:sz="0" w:space="0" w:color="auto"/>
        <w:bottom w:val="none" w:sz="0" w:space="0" w:color="auto"/>
        <w:right w:val="none" w:sz="0" w:space="0" w:color="auto"/>
      </w:divBdr>
    </w:div>
    <w:div w:id="2025202028">
      <w:bodyDiv w:val="1"/>
      <w:marLeft w:val="0"/>
      <w:marRight w:val="0"/>
      <w:marTop w:val="0"/>
      <w:marBottom w:val="0"/>
      <w:divBdr>
        <w:top w:val="none" w:sz="0" w:space="0" w:color="auto"/>
        <w:left w:val="none" w:sz="0" w:space="0" w:color="auto"/>
        <w:bottom w:val="none" w:sz="0" w:space="0" w:color="auto"/>
        <w:right w:val="none" w:sz="0" w:space="0" w:color="auto"/>
      </w:divBdr>
    </w:div>
    <w:div w:id="2027438097">
      <w:bodyDiv w:val="1"/>
      <w:marLeft w:val="0"/>
      <w:marRight w:val="0"/>
      <w:marTop w:val="0"/>
      <w:marBottom w:val="0"/>
      <w:divBdr>
        <w:top w:val="none" w:sz="0" w:space="0" w:color="auto"/>
        <w:left w:val="none" w:sz="0" w:space="0" w:color="auto"/>
        <w:bottom w:val="none" w:sz="0" w:space="0" w:color="auto"/>
        <w:right w:val="none" w:sz="0" w:space="0" w:color="auto"/>
      </w:divBdr>
    </w:div>
    <w:div w:id="2041465128">
      <w:bodyDiv w:val="1"/>
      <w:marLeft w:val="0"/>
      <w:marRight w:val="0"/>
      <w:marTop w:val="0"/>
      <w:marBottom w:val="0"/>
      <w:divBdr>
        <w:top w:val="none" w:sz="0" w:space="0" w:color="auto"/>
        <w:left w:val="none" w:sz="0" w:space="0" w:color="auto"/>
        <w:bottom w:val="none" w:sz="0" w:space="0" w:color="auto"/>
        <w:right w:val="none" w:sz="0" w:space="0" w:color="auto"/>
      </w:divBdr>
    </w:div>
    <w:div w:id="2041540977">
      <w:bodyDiv w:val="1"/>
      <w:marLeft w:val="0"/>
      <w:marRight w:val="0"/>
      <w:marTop w:val="0"/>
      <w:marBottom w:val="0"/>
      <w:divBdr>
        <w:top w:val="none" w:sz="0" w:space="0" w:color="auto"/>
        <w:left w:val="none" w:sz="0" w:space="0" w:color="auto"/>
        <w:bottom w:val="none" w:sz="0" w:space="0" w:color="auto"/>
        <w:right w:val="none" w:sz="0" w:space="0" w:color="auto"/>
      </w:divBdr>
    </w:div>
    <w:div w:id="2046322202">
      <w:bodyDiv w:val="1"/>
      <w:marLeft w:val="0"/>
      <w:marRight w:val="0"/>
      <w:marTop w:val="0"/>
      <w:marBottom w:val="0"/>
      <w:divBdr>
        <w:top w:val="none" w:sz="0" w:space="0" w:color="auto"/>
        <w:left w:val="none" w:sz="0" w:space="0" w:color="auto"/>
        <w:bottom w:val="none" w:sz="0" w:space="0" w:color="auto"/>
        <w:right w:val="none" w:sz="0" w:space="0" w:color="auto"/>
      </w:divBdr>
    </w:div>
    <w:div w:id="2048487082">
      <w:bodyDiv w:val="1"/>
      <w:marLeft w:val="0"/>
      <w:marRight w:val="0"/>
      <w:marTop w:val="0"/>
      <w:marBottom w:val="0"/>
      <w:divBdr>
        <w:top w:val="none" w:sz="0" w:space="0" w:color="auto"/>
        <w:left w:val="none" w:sz="0" w:space="0" w:color="auto"/>
        <w:bottom w:val="none" w:sz="0" w:space="0" w:color="auto"/>
        <w:right w:val="none" w:sz="0" w:space="0" w:color="auto"/>
      </w:divBdr>
    </w:div>
    <w:div w:id="2048793406">
      <w:bodyDiv w:val="1"/>
      <w:marLeft w:val="0"/>
      <w:marRight w:val="0"/>
      <w:marTop w:val="0"/>
      <w:marBottom w:val="0"/>
      <w:divBdr>
        <w:top w:val="none" w:sz="0" w:space="0" w:color="auto"/>
        <w:left w:val="none" w:sz="0" w:space="0" w:color="auto"/>
        <w:bottom w:val="none" w:sz="0" w:space="0" w:color="auto"/>
        <w:right w:val="none" w:sz="0" w:space="0" w:color="auto"/>
      </w:divBdr>
    </w:div>
    <w:div w:id="2049528786">
      <w:bodyDiv w:val="1"/>
      <w:marLeft w:val="0"/>
      <w:marRight w:val="0"/>
      <w:marTop w:val="0"/>
      <w:marBottom w:val="0"/>
      <w:divBdr>
        <w:top w:val="none" w:sz="0" w:space="0" w:color="auto"/>
        <w:left w:val="none" w:sz="0" w:space="0" w:color="auto"/>
        <w:bottom w:val="none" w:sz="0" w:space="0" w:color="auto"/>
        <w:right w:val="none" w:sz="0" w:space="0" w:color="auto"/>
      </w:divBdr>
    </w:div>
    <w:div w:id="2049917516">
      <w:bodyDiv w:val="1"/>
      <w:marLeft w:val="0"/>
      <w:marRight w:val="0"/>
      <w:marTop w:val="0"/>
      <w:marBottom w:val="0"/>
      <w:divBdr>
        <w:top w:val="none" w:sz="0" w:space="0" w:color="auto"/>
        <w:left w:val="none" w:sz="0" w:space="0" w:color="auto"/>
        <w:bottom w:val="none" w:sz="0" w:space="0" w:color="auto"/>
        <w:right w:val="none" w:sz="0" w:space="0" w:color="auto"/>
      </w:divBdr>
    </w:div>
    <w:div w:id="2051029243">
      <w:bodyDiv w:val="1"/>
      <w:marLeft w:val="0"/>
      <w:marRight w:val="0"/>
      <w:marTop w:val="0"/>
      <w:marBottom w:val="0"/>
      <w:divBdr>
        <w:top w:val="none" w:sz="0" w:space="0" w:color="auto"/>
        <w:left w:val="none" w:sz="0" w:space="0" w:color="auto"/>
        <w:bottom w:val="none" w:sz="0" w:space="0" w:color="auto"/>
        <w:right w:val="none" w:sz="0" w:space="0" w:color="auto"/>
      </w:divBdr>
    </w:div>
    <w:div w:id="2055538111">
      <w:bodyDiv w:val="1"/>
      <w:marLeft w:val="0"/>
      <w:marRight w:val="0"/>
      <w:marTop w:val="0"/>
      <w:marBottom w:val="0"/>
      <w:divBdr>
        <w:top w:val="none" w:sz="0" w:space="0" w:color="auto"/>
        <w:left w:val="none" w:sz="0" w:space="0" w:color="auto"/>
        <w:bottom w:val="none" w:sz="0" w:space="0" w:color="auto"/>
        <w:right w:val="none" w:sz="0" w:space="0" w:color="auto"/>
      </w:divBdr>
    </w:div>
    <w:div w:id="2056001088">
      <w:bodyDiv w:val="1"/>
      <w:marLeft w:val="0"/>
      <w:marRight w:val="0"/>
      <w:marTop w:val="0"/>
      <w:marBottom w:val="0"/>
      <w:divBdr>
        <w:top w:val="none" w:sz="0" w:space="0" w:color="auto"/>
        <w:left w:val="none" w:sz="0" w:space="0" w:color="auto"/>
        <w:bottom w:val="none" w:sz="0" w:space="0" w:color="auto"/>
        <w:right w:val="none" w:sz="0" w:space="0" w:color="auto"/>
      </w:divBdr>
    </w:div>
    <w:div w:id="2059352175">
      <w:bodyDiv w:val="1"/>
      <w:marLeft w:val="0"/>
      <w:marRight w:val="0"/>
      <w:marTop w:val="0"/>
      <w:marBottom w:val="0"/>
      <w:divBdr>
        <w:top w:val="none" w:sz="0" w:space="0" w:color="auto"/>
        <w:left w:val="none" w:sz="0" w:space="0" w:color="auto"/>
        <w:bottom w:val="none" w:sz="0" w:space="0" w:color="auto"/>
        <w:right w:val="none" w:sz="0" w:space="0" w:color="auto"/>
      </w:divBdr>
    </w:div>
    <w:div w:id="2061592330">
      <w:bodyDiv w:val="1"/>
      <w:marLeft w:val="0"/>
      <w:marRight w:val="0"/>
      <w:marTop w:val="0"/>
      <w:marBottom w:val="0"/>
      <w:divBdr>
        <w:top w:val="none" w:sz="0" w:space="0" w:color="auto"/>
        <w:left w:val="none" w:sz="0" w:space="0" w:color="auto"/>
        <w:bottom w:val="none" w:sz="0" w:space="0" w:color="auto"/>
        <w:right w:val="none" w:sz="0" w:space="0" w:color="auto"/>
      </w:divBdr>
    </w:div>
    <w:div w:id="2062706920">
      <w:bodyDiv w:val="1"/>
      <w:marLeft w:val="0"/>
      <w:marRight w:val="0"/>
      <w:marTop w:val="0"/>
      <w:marBottom w:val="0"/>
      <w:divBdr>
        <w:top w:val="none" w:sz="0" w:space="0" w:color="auto"/>
        <w:left w:val="none" w:sz="0" w:space="0" w:color="auto"/>
        <w:bottom w:val="none" w:sz="0" w:space="0" w:color="auto"/>
        <w:right w:val="none" w:sz="0" w:space="0" w:color="auto"/>
      </w:divBdr>
    </w:div>
    <w:div w:id="2062898081">
      <w:bodyDiv w:val="1"/>
      <w:marLeft w:val="0"/>
      <w:marRight w:val="0"/>
      <w:marTop w:val="0"/>
      <w:marBottom w:val="0"/>
      <w:divBdr>
        <w:top w:val="none" w:sz="0" w:space="0" w:color="auto"/>
        <w:left w:val="none" w:sz="0" w:space="0" w:color="auto"/>
        <w:bottom w:val="none" w:sz="0" w:space="0" w:color="auto"/>
        <w:right w:val="none" w:sz="0" w:space="0" w:color="auto"/>
      </w:divBdr>
    </w:div>
    <w:div w:id="2070032569">
      <w:bodyDiv w:val="1"/>
      <w:marLeft w:val="0"/>
      <w:marRight w:val="0"/>
      <w:marTop w:val="0"/>
      <w:marBottom w:val="0"/>
      <w:divBdr>
        <w:top w:val="none" w:sz="0" w:space="0" w:color="auto"/>
        <w:left w:val="none" w:sz="0" w:space="0" w:color="auto"/>
        <w:bottom w:val="none" w:sz="0" w:space="0" w:color="auto"/>
        <w:right w:val="none" w:sz="0" w:space="0" w:color="auto"/>
      </w:divBdr>
    </w:div>
    <w:div w:id="2083327409">
      <w:bodyDiv w:val="1"/>
      <w:marLeft w:val="0"/>
      <w:marRight w:val="0"/>
      <w:marTop w:val="0"/>
      <w:marBottom w:val="0"/>
      <w:divBdr>
        <w:top w:val="none" w:sz="0" w:space="0" w:color="auto"/>
        <w:left w:val="none" w:sz="0" w:space="0" w:color="auto"/>
        <w:bottom w:val="none" w:sz="0" w:space="0" w:color="auto"/>
        <w:right w:val="none" w:sz="0" w:space="0" w:color="auto"/>
      </w:divBdr>
    </w:div>
    <w:div w:id="2083409074">
      <w:bodyDiv w:val="1"/>
      <w:marLeft w:val="0"/>
      <w:marRight w:val="0"/>
      <w:marTop w:val="0"/>
      <w:marBottom w:val="0"/>
      <w:divBdr>
        <w:top w:val="none" w:sz="0" w:space="0" w:color="auto"/>
        <w:left w:val="none" w:sz="0" w:space="0" w:color="auto"/>
        <w:bottom w:val="none" w:sz="0" w:space="0" w:color="auto"/>
        <w:right w:val="none" w:sz="0" w:space="0" w:color="auto"/>
      </w:divBdr>
      <w:divsChild>
        <w:div w:id="1495564243">
          <w:marLeft w:val="1080"/>
          <w:marRight w:val="0"/>
          <w:marTop w:val="0"/>
          <w:marBottom w:val="0"/>
          <w:divBdr>
            <w:top w:val="none" w:sz="0" w:space="0" w:color="auto"/>
            <w:left w:val="none" w:sz="0" w:space="0" w:color="auto"/>
            <w:bottom w:val="none" w:sz="0" w:space="0" w:color="auto"/>
            <w:right w:val="none" w:sz="0" w:space="0" w:color="auto"/>
          </w:divBdr>
        </w:div>
      </w:divsChild>
    </w:div>
    <w:div w:id="2094205694">
      <w:bodyDiv w:val="1"/>
      <w:marLeft w:val="0"/>
      <w:marRight w:val="0"/>
      <w:marTop w:val="0"/>
      <w:marBottom w:val="0"/>
      <w:divBdr>
        <w:top w:val="none" w:sz="0" w:space="0" w:color="auto"/>
        <w:left w:val="none" w:sz="0" w:space="0" w:color="auto"/>
        <w:bottom w:val="none" w:sz="0" w:space="0" w:color="auto"/>
        <w:right w:val="none" w:sz="0" w:space="0" w:color="auto"/>
      </w:divBdr>
    </w:div>
    <w:div w:id="2095590083">
      <w:bodyDiv w:val="1"/>
      <w:marLeft w:val="0"/>
      <w:marRight w:val="0"/>
      <w:marTop w:val="0"/>
      <w:marBottom w:val="0"/>
      <w:divBdr>
        <w:top w:val="none" w:sz="0" w:space="0" w:color="auto"/>
        <w:left w:val="none" w:sz="0" w:space="0" w:color="auto"/>
        <w:bottom w:val="none" w:sz="0" w:space="0" w:color="auto"/>
        <w:right w:val="none" w:sz="0" w:space="0" w:color="auto"/>
      </w:divBdr>
    </w:div>
    <w:div w:id="2102406502">
      <w:bodyDiv w:val="1"/>
      <w:marLeft w:val="0"/>
      <w:marRight w:val="0"/>
      <w:marTop w:val="0"/>
      <w:marBottom w:val="0"/>
      <w:divBdr>
        <w:top w:val="none" w:sz="0" w:space="0" w:color="auto"/>
        <w:left w:val="none" w:sz="0" w:space="0" w:color="auto"/>
        <w:bottom w:val="none" w:sz="0" w:space="0" w:color="auto"/>
        <w:right w:val="none" w:sz="0" w:space="0" w:color="auto"/>
      </w:divBdr>
    </w:div>
    <w:div w:id="2108841806">
      <w:bodyDiv w:val="1"/>
      <w:marLeft w:val="0"/>
      <w:marRight w:val="0"/>
      <w:marTop w:val="0"/>
      <w:marBottom w:val="0"/>
      <w:divBdr>
        <w:top w:val="none" w:sz="0" w:space="0" w:color="auto"/>
        <w:left w:val="none" w:sz="0" w:space="0" w:color="auto"/>
        <w:bottom w:val="none" w:sz="0" w:space="0" w:color="auto"/>
        <w:right w:val="none" w:sz="0" w:space="0" w:color="auto"/>
      </w:divBdr>
    </w:div>
    <w:div w:id="2115977235">
      <w:bodyDiv w:val="1"/>
      <w:marLeft w:val="0"/>
      <w:marRight w:val="0"/>
      <w:marTop w:val="0"/>
      <w:marBottom w:val="0"/>
      <w:divBdr>
        <w:top w:val="none" w:sz="0" w:space="0" w:color="auto"/>
        <w:left w:val="none" w:sz="0" w:space="0" w:color="auto"/>
        <w:bottom w:val="none" w:sz="0" w:space="0" w:color="auto"/>
        <w:right w:val="none" w:sz="0" w:space="0" w:color="auto"/>
      </w:divBdr>
    </w:div>
    <w:div w:id="2116248545">
      <w:bodyDiv w:val="1"/>
      <w:marLeft w:val="0"/>
      <w:marRight w:val="0"/>
      <w:marTop w:val="0"/>
      <w:marBottom w:val="0"/>
      <w:divBdr>
        <w:top w:val="none" w:sz="0" w:space="0" w:color="auto"/>
        <w:left w:val="none" w:sz="0" w:space="0" w:color="auto"/>
        <w:bottom w:val="none" w:sz="0" w:space="0" w:color="auto"/>
        <w:right w:val="none" w:sz="0" w:space="0" w:color="auto"/>
      </w:divBdr>
    </w:div>
    <w:div w:id="2116292163">
      <w:bodyDiv w:val="1"/>
      <w:marLeft w:val="0"/>
      <w:marRight w:val="0"/>
      <w:marTop w:val="0"/>
      <w:marBottom w:val="0"/>
      <w:divBdr>
        <w:top w:val="none" w:sz="0" w:space="0" w:color="auto"/>
        <w:left w:val="none" w:sz="0" w:space="0" w:color="auto"/>
        <w:bottom w:val="none" w:sz="0" w:space="0" w:color="auto"/>
        <w:right w:val="none" w:sz="0" w:space="0" w:color="auto"/>
      </w:divBdr>
    </w:div>
    <w:div w:id="2124111735">
      <w:bodyDiv w:val="1"/>
      <w:marLeft w:val="0"/>
      <w:marRight w:val="0"/>
      <w:marTop w:val="0"/>
      <w:marBottom w:val="0"/>
      <w:divBdr>
        <w:top w:val="none" w:sz="0" w:space="0" w:color="auto"/>
        <w:left w:val="none" w:sz="0" w:space="0" w:color="auto"/>
        <w:bottom w:val="none" w:sz="0" w:space="0" w:color="auto"/>
        <w:right w:val="none" w:sz="0" w:space="0" w:color="auto"/>
      </w:divBdr>
      <w:divsChild>
        <w:div w:id="7855413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0248122">
              <w:marLeft w:val="0"/>
              <w:marRight w:val="0"/>
              <w:marTop w:val="0"/>
              <w:marBottom w:val="0"/>
              <w:divBdr>
                <w:top w:val="none" w:sz="0" w:space="0" w:color="auto"/>
                <w:left w:val="none" w:sz="0" w:space="0" w:color="auto"/>
                <w:bottom w:val="none" w:sz="0" w:space="0" w:color="auto"/>
                <w:right w:val="none" w:sz="0" w:space="0" w:color="auto"/>
              </w:divBdr>
              <w:divsChild>
                <w:div w:id="1788810334">
                  <w:marLeft w:val="0"/>
                  <w:marRight w:val="0"/>
                  <w:marTop w:val="0"/>
                  <w:marBottom w:val="0"/>
                  <w:divBdr>
                    <w:top w:val="none" w:sz="0" w:space="0" w:color="auto"/>
                    <w:left w:val="none" w:sz="0" w:space="0" w:color="auto"/>
                    <w:bottom w:val="none" w:sz="0" w:space="0" w:color="auto"/>
                    <w:right w:val="none" w:sz="0" w:space="0" w:color="auto"/>
                  </w:divBdr>
                  <w:divsChild>
                    <w:div w:id="710031934">
                      <w:marLeft w:val="0"/>
                      <w:marRight w:val="0"/>
                      <w:marTop w:val="0"/>
                      <w:marBottom w:val="0"/>
                      <w:divBdr>
                        <w:top w:val="none" w:sz="0" w:space="0" w:color="auto"/>
                        <w:left w:val="none" w:sz="0" w:space="0" w:color="auto"/>
                        <w:bottom w:val="none" w:sz="0" w:space="0" w:color="auto"/>
                        <w:right w:val="none" w:sz="0" w:space="0" w:color="auto"/>
                      </w:divBdr>
                      <w:divsChild>
                        <w:div w:id="316148327">
                          <w:marLeft w:val="0"/>
                          <w:marRight w:val="0"/>
                          <w:marTop w:val="0"/>
                          <w:marBottom w:val="0"/>
                          <w:divBdr>
                            <w:top w:val="none" w:sz="0" w:space="0" w:color="auto"/>
                            <w:left w:val="none" w:sz="0" w:space="0" w:color="auto"/>
                            <w:bottom w:val="none" w:sz="0" w:space="0" w:color="auto"/>
                            <w:right w:val="none" w:sz="0" w:space="0" w:color="auto"/>
                          </w:divBdr>
                          <w:divsChild>
                            <w:div w:id="27343483">
                              <w:marLeft w:val="0"/>
                              <w:marRight w:val="0"/>
                              <w:marTop w:val="0"/>
                              <w:marBottom w:val="0"/>
                              <w:divBdr>
                                <w:top w:val="none" w:sz="0" w:space="0" w:color="auto"/>
                                <w:left w:val="none" w:sz="0" w:space="0" w:color="auto"/>
                                <w:bottom w:val="none" w:sz="0" w:space="0" w:color="auto"/>
                                <w:right w:val="none" w:sz="0" w:space="0" w:color="auto"/>
                              </w:divBdr>
                              <w:divsChild>
                                <w:div w:id="1063912118">
                                  <w:marLeft w:val="0"/>
                                  <w:marRight w:val="0"/>
                                  <w:marTop w:val="0"/>
                                  <w:marBottom w:val="0"/>
                                  <w:divBdr>
                                    <w:top w:val="none" w:sz="0" w:space="0" w:color="auto"/>
                                    <w:left w:val="none" w:sz="0" w:space="0" w:color="auto"/>
                                    <w:bottom w:val="none" w:sz="0" w:space="0" w:color="auto"/>
                                    <w:right w:val="none" w:sz="0" w:space="0" w:color="auto"/>
                                  </w:divBdr>
                                  <w:divsChild>
                                    <w:div w:id="1365785275">
                                      <w:marLeft w:val="0"/>
                                      <w:marRight w:val="0"/>
                                      <w:marTop w:val="0"/>
                                      <w:marBottom w:val="0"/>
                                      <w:divBdr>
                                        <w:top w:val="none" w:sz="0" w:space="0" w:color="auto"/>
                                        <w:left w:val="none" w:sz="0" w:space="0" w:color="auto"/>
                                        <w:bottom w:val="none" w:sz="0" w:space="0" w:color="auto"/>
                                        <w:right w:val="none" w:sz="0" w:space="0" w:color="auto"/>
                                      </w:divBdr>
                                      <w:divsChild>
                                        <w:div w:id="58657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385203">
      <w:bodyDiv w:val="1"/>
      <w:marLeft w:val="0"/>
      <w:marRight w:val="0"/>
      <w:marTop w:val="0"/>
      <w:marBottom w:val="0"/>
      <w:divBdr>
        <w:top w:val="none" w:sz="0" w:space="0" w:color="auto"/>
        <w:left w:val="none" w:sz="0" w:space="0" w:color="auto"/>
        <w:bottom w:val="none" w:sz="0" w:space="0" w:color="auto"/>
        <w:right w:val="none" w:sz="0" w:space="0" w:color="auto"/>
      </w:divBdr>
    </w:div>
    <w:div w:id="2129272318">
      <w:bodyDiv w:val="1"/>
      <w:marLeft w:val="0"/>
      <w:marRight w:val="0"/>
      <w:marTop w:val="0"/>
      <w:marBottom w:val="0"/>
      <w:divBdr>
        <w:top w:val="none" w:sz="0" w:space="0" w:color="auto"/>
        <w:left w:val="none" w:sz="0" w:space="0" w:color="auto"/>
        <w:bottom w:val="none" w:sz="0" w:space="0" w:color="auto"/>
        <w:right w:val="none" w:sz="0" w:space="0" w:color="auto"/>
      </w:divBdr>
    </w:div>
    <w:div w:id="2130119746">
      <w:bodyDiv w:val="1"/>
      <w:marLeft w:val="0"/>
      <w:marRight w:val="0"/>
      <w:marTop w:val="0"/>
      <w:marBottom w:val="0"/>
      <w:divBdr>
        <w:top w:val="none" w:sz="0" w:space="0" w:color="auto"/>
        <w:left w:val="none" w:sz="0" w:space="0" w:color="auto"/>
        <w:bottom w:val="none" w:sz="0" w:space="0" w:color="auto"/>
        <w:right w:val="none" w:sz="0" w:space="0" w:color="auto"/>
      </w:divBdr>
    </w:div>
    <w:div w:id="2130320975">
      <w:bodyDiv w:val="1"/>
      <w:marLeft w:val="0"/>
      <w:marRight w:val="0"/>
      <w:marTop w:val="0"/>
      <w:marBottom w:val="0"/>
      <w:divBdr>
        <w:top w:val="none" w:sz="0" w:space="0" w:color="auto"/>
        <w:left w:val="none" w:sz="0" w:space="0" w:color="auto"/>
        <w:bottom w:val="none" w:sz="0" w:space="0" w:color="auto"/>
        <w:right w:val="none" w:sz="0" w:space="0" w:color="auto"/>
      </w:divBdr>
    </w:div>
    <w:div w:id="2137867790">
      <w:bodyDiv w:val="1"/>
      <w:marLeft w:val="0"/>
      <w:marRight w:val="0"/>
      <w:marTop w:val="0"/>
      <w:marBottom w:val="0"/>
      <w:divBdr>
        <w:top w:val="none" w:sz="0" w:space="0" w:color="auto"/>
        <w:left w:val="none" w:sz="0" w:space="0" w:color="auto"/>
        <w:bottom w:val="none" w:sz="0" w:space="0" w:color="auto"/>
        <w:right w:val="none" w:sz="0" w:space="0" w:color="auto"/>
      </w:divBdr>
    </w:div>
    <w:div w:id="2140955258">
      <w:bodyDiv w:val="1"/>
      <w:marLeft w:val="0"/>
      <w:marRight w:val="0"/>
      <w:marTop w:val="0"/>
      <w:marBottom w:val="0"/>
      <w:divBdr>
        <w:top w:val="none" w:sz="0" w:space="0" w:color="auto"/>
        <w:left w:val="none" w:sz="0" w:space="0" w:color="auto"/>
        <w:bottom w:val="none" w:sz="0" w:space="0" w:color="auto"/>
        <w:right w:val="none" w:sz="0" w:space="0" w:color="auto"/>
      </w:divBdr>
    </w:div>
    <w:div w:id="2146702523">
      <w:bodyDiv w:val="1"/>
      <w:marLeft w:val="0"/>
      <w:marRight w:val="0"/>
      <w:marTop w:val="0"/>
      <w:marBottom w:val="0"/>
      <w:divBdr>
        <w:top w:val="none" w:sz="0" w:space="0" w:color="auto"/>
        <w:left w:val="none" w:sz="0" w:space="0" w:color="auto"/>
        <w:bottom w:val="none" w:sz="0" w:space="0" w:color="auto"/>
        <w:right w:val="none" w:sz="0" w:space="0" w:color="auto"/>
      </w:divBdr>
    </w:div>
    <w:div w:id="214697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0.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ANE19</b:Tag>
    <b:SourceType>Report</b:SourceType>
    <b:Guid>{5ABCF04C-7E1D-4107-9FED-09884C95BA53}</b:Guid>
    <b:Author>
      <b:Author>
        <b:Corporate>ANED Consultores</b:Corporate>
      </b:Author>
    </b:Author>
    <b:Title>Línea de Base del Programa de Cooperación de UNICEF y el Proyecto PRONIÑEZ</b:Title>
    <b:Year>2019</b:Year>
    <b:RefOrder>2</b:RefOrder>
  </b:Source>
  <b:Source>
    <b:Tag>Cor08</b:Tag>
    <b:SourceType>DocumentFromInternetSite</b:SourceType>
    <b:Guid>{58DA7C08-D695-46FD-9E51-930E073D0DCB}</b:Guid>
    <b:Author>
      <b:Author>
        <b:Corporate>Core Group</b:Corporate>
      </b:Author>
    </b:Author>
    <b:Title>LQAS FREQUENTLY ASKED QUESTIONS</b:Title>
    <b:Year>2008</b:Year>
    <b:URL>https://www.mchip.net/sites/default/files/LQAS_FAQ.pdf</b:URL>
    <b:RefOrder>1</b:RefOrder>
  </b:Source>
</b:Sources>
</file>

<file path=customXml/itemProps1.xml><?xml version="1.0" encoding="utf-8"?>
<ds:datastoreItem xmlns:ds="http://schemas.openxmlformats.org/officeDocument/2006/customXml" ds:itemID="{805D12D3-4321-4AE3-9B2F-4FAF2FFE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7621</Words>
  <Characters>41916</Characters>
  <Application>Microsoft Office Word</Application>
  <DocSecurity>0</DocSecurity>
  <Lines>349</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Suarez</dc:creator>
  <cp:keywords/>
  <dc:description/>
  <cp:lastModifiedBy>Sebastian Pulgarin</cp:lastModifiedBy>
  <cp:revision>2</cp:revision>
  <cp:lastPrinted>2020-10-21T23:35:00Z</cp:lastPrinted>
  <dcterms:created xsi:type="dcterms:W3CDTF">2020-11-29T02:01:00Z</dcterms:created>
  <dcterms:modified xsi:type="dcterms:W3CDTF">2020-11-29T02:01:00Z</dcterms:modified>
</cp:coreProperties>
</file>