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4B80" w14:textId="75ECE123" w:rsidR="00C23654" w:rsidRDefault="002E3230">
      <w:pPr>
        <w:rPr>
          <w:rFonts w:ascii="Arial" w:hAnsi="Arial" w:cs="Arial"/>
          <w:b/>
          <w:bCs/>
          <w:sz w:val="24"/>
          <w:szCs w:val="24"/>
        </w:rPr>
      </w:pPr>
      <w:r>
        <w:rPr>
          <w:rFonts w:ascii="Arial" w:hAnsi="Arial"/>
          <w:b/>
          <w:sz w:val="24"/>
        </w:rPr>
        <w:t>Annex 13 - Details on the collection of primary qualitative data</w:t>
      </w:r>
    </w:p>
    <w:p w14:paraId="3F17592A" w14:textId="77777777" w:rsidR="00DF19DE" w:rsidRDefault="00DF19DE" w:rsidP="00DF19DE">
      <w:pPr>
        <w:pBdr>
          <w:top w:val="nil"/>
          <w:left w:val="nil"/>
          <w:bottom w:val="nil"/>
          <w:right w:val="nil"/>
          <w:between w:val="nil"/>
        </w:pBdr>
        <w:spacing w:after="120" w:line="276" w:lineRule="auto"/>
        <w:rPr>
          <w:rFonts w:ascii="Arial" w:eastAsia="Arial" w:hAnsi="Arial" w:cs="Arial"/>
          <w:b/>
          <w:color w:val="000000"/>
          <w:sz w:val="20"/>
          <w:szCs w:val="20"/>
        </w:rPr>
      </w:pPr>
      <w:r>
        <w:rPr>
          <w:rFonts w:ascii="Arial" w:hAnsi="Arial"/>
          <w:b/>
          <w:color w:val="000000"/>
          <w:sz w:val="20"/>
        </w:rPr>
        <w:t>Table 1. Overview of the collection of field qualitative data</w:t>
      </w:r>
    </w:p>
    <w:tbl>
      <w:tblPr>
        <w:tblW w:w="90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04"/>
        <w:gridCol w:w="1406"/>
        <w:gridCol w:w="1970"/>
        <w:gridCol w:w="1260"/>
        <w:gridCol w:w="1350"/>
      </w:tblGrid>
      <w:tr w:rsidR="00DF19DE" w14:paraId="11269709" w14:textId="77777777" w:rsidTr="00E71BC9">
        <w:trPr>
          <w:trHeight w:val="305"/>
        </w:trPr>
        <w:tc>
          <w:tcPr>
            <w:tcW w:w="3104" w:type="dxa"/>
          </w:tcPr>
          <w:p w14:paraId="7DC482A3" w14:textId="77777777" w:rsidR="00DF19DE" w:rsidRDefault="00DF19DE" w:rsidP="00E71BC9">
            <w:pPr>
              <w:keepNext/>
              <w:spacing w:after="0" w:line="240" w:lineRule="auto"/>
              <w:rPr>
                <w:rFonts w:ascii="Arial" w:eastAsia="Arial" w:hAnsi="Arial" w:cs="Arial"/>
                <w:b/>
                <w:sz w:val="20"/>
                <w:szCs w:val="20"/>
              </w:rPr>
            </w:pPr>
            <w:r>
              <w:rPr>
                <w:rFonts w:ascii="Arial" w:hAnsi="Arial"/>
                <w:b/>
                <w:sz w:val="20"/>
              </w:rPr>
              <w:t>Types of participants in the evaluation</w:t>
            </w:r>
          </w:p>
        </w:tc>
        <w:tc>
          <w:tcPr>
            <w:tcW w:w="1406" w:type="dxa"/>
          </w:tcPr>
          <w:p w14:paraId="76D49F79" w14:textId="77777777" w:rsidR="00DF19DE" w:rsidRDefault="00DF19DE" w:rsidP="00E71BC9">
            <w:pPr>
              <w:keepNext/>
              <w:spacing w:after="0" w:line="240" w:lineRule="auto"/>
              <w:rPr>
                <w:rFonts w:ascii="Arial" w:eastAsia="Arial" w:hAnsi="Arial" w:cs="Arial"/>
                <w:b/>
                <w:sz w:val="20"/>
                <w:szCs w:val="20"/>
              </w:rPr>
            </w:pPr>
            <w:r>
              <w:rPr>
                <w:rFonts w:ascii="Arial" w:hAnsi="Arial"/>
                <w:b/>
                <w:sz w:val="20"/>
              </w:rPr>
              <w:t>Data collection method</w:t>
            </w:r>
          </w:p>
        </w:tc>
        <w:tc>
          <w:tcPr>
            <w:tcW w:w="1970" w:type="dxa"/>
          </w:tcPr>
          <w:p w14:paraId="55F6D353" w14:textId="77777777" w:rsidR="00DF19DE" w:rsidRDefault="00DF19DE" w:rsidP="00E71BC9">
            <w:pPr>
              <w:keepNext/>
              <w:spacing w:after="0" w:line="240" w:lineRule="auto"/>
              <w:rPr>
                <w:rFonts w:ascii="Arial" w:eastAsia="Arial" w:hAnsi="Arial" w:cs="Arial"/>
                <w:b/>
                <w:sz w:val="20"/>
                <w:szCs w:val="20"/>
              </w:rPr>
            </w:pPr>
            <w:r>
              <w:rPr>
                <w:rFonts w:ascii="Arial" w:hAnsi="Arial"/>
                <w:b/>
                <w:sz w:val="20"/>
              </w:rPr>
              <w:t>Data collection tools</w:t>
            </w:r>
          </w:p>
        </w:tc>
        <w:tc>
          <w:tcPr>
            <w:tcW w:w="1260" w:type="dxa"/>
          </w:tcPr>
          <w:p w14:paraId="7916066B" w14:textId="77777777" w:rsidR="00DF19DE" w:rsidRDefault="00DF19DE" w:rsidP="00E71BC9">
            <w:pPr>
              <w:keepNext/>
              <w:spacing w:after="0" w:line="240" w:lineRule="auto"/>
              <w:rPr>
                <w:rFonts w:ascii="Arial" w:eastAsia="Arial" w:hAnsi="Arial" w:cs="Arial"/>
                <w:b/>
                <w:sz w:val="20"/>
                <w:szCs w:val="20"/>
              </w:rPr>
            </w:pPr>
            <w:r>
              <w:rPr>
                <w:rFonts w:ascii="Arial" w:hAnsi="Arial"/>
                <w:b/>
                <w:sz w:val="20"/>
              </w:rPr>
              <w:t>Proposed</w:t>
            </w:r>
          </w:p>
        </w:tc>
        <w:tc>
          <w:tcPr>
            <w:tcW w:w="1350" w:type="dxa"/>
          </w:tcPr>
          <w:p w14:paraId="5D012CF5" w14:textId="77777777" w:rsidR="00DF19DE" w:rsidRDefault="00DF19DE" w:rsidP="00E71BC9">
            <w:pPr>
              <w:keepNext/>
              <w:spacing w:after="0" w:line="240" w:lineRule="auto"/>
              <w:rPr>
                <w:rFonts w:ascii="Arial" w:eastAsia="Arial" w:hAnsi="Arial" w:cs="Arial"/>
                <w:b/>
                <w:sz w:val="20"/>
                <w:szCs w:val="20"/>
              </w:rPr>
            </w:pPr>
            <w:r>
              <w:rPr>
                <w:rFonts w:ascii="Arial" w:hAnsi="Arial"/>
                <w:b/>
                <w:sz w:val="20"/>
              </w:rPr>
              <w:t>Achieved</w:t>
            </w:r>
          </w:p>
        </w:tc>
      </w:tr>
      <w:tr w:rsidR="00DF19DE" w14:paraId="5A445E7E" w14:textId="77777777" w:rsidTr="00E71BC9">
        <w:trPr>
          <w:trHeight w:val="469"/>
        </w:trPr>
        <w:tc>
          <w:tcPr>
            <w:tcW w:w="3104" w:type="dxa"/>
          </w:tcPr>
          <w:p w14:paraId="107CFA8E" w14:textId="77777777" w:rsidR="00DF19DE" w:rsidRDefault="00DF19DE" w:rsidP="00E71BC9">
            <w:pPr>
              <w:keepNext/>
              <w:spacing w:after="0" w:line="240" w:lineRule="auto"/>
              <w:rPr>
                <w:rFonts w:ascii="Arial" w:eastAsia="Arial" w:hAnsi="Arial" w:cs="Arial"/>
                <w:sz w:val="20"/>
                <w:szCs w:val="20"/>
              </w:rPr>
            </w:pPr>
            <w:r>
              <w:rPr>
                <w:rFonts w:ascii="Arial" w:hAnsi="Arial"/>
                <w:sz w:val="20"/>
              </w:rPr>
              <w:t>Beneficiaries - parents</w:t>
            </w:r>
          </w:p>
        </w:tc>
        <w:tc>
          <w:tcPr>
            <w:tcW w:w="1406" w:type="dxa"/>
          </w:tcPr>
          <w:p w14:paraId="25A4DB9A"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 and/or interview</w:t>
            </w:r>
          </w:p>
        </w:tc>
        <w:tc>
          <w:tcPr>
            <w:tcW w:w="1970" w:type="dxa"/>
          </w:tcPr>
          <w:p w14:paraId="40895765"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 interview Guide</w:t>
            </w:r>
          </w:p>
        </w:tc>
        <w:tc>
          <w:tcPr>
            <w:tcW w:w="1260" w:type="dxa"/>
          </w:tcPr>
          <w:p w14:paraId="6FEA9D39" w14:textId="77777777" w:rsidR="00DF19DE" w:rsidRDefault="00DF19DE" w:rsidP="00E71BC9">
            <w:pPr>
              <w:keepNext/>
              <w:spacing w:after="0" w:line="240" w:lineRule="auto"/>
              <w:rPr>
                <w:rFonts w:ascii="Arial" w:eastAsia="Arial" w:hAnsi="Arial" w:cs="Arial"/>
                <w:sz w:val="20"/>
                <w:szCs w:val="20"/>
              </w:rPr>
            </w:pPr>
            <w:r>
              <w:rPr>
                <w:rFonts w:ascii="Arial" w:hAnsi="Arial"/>
                <w:sz w:val="20"/>
              </w:rPr>
              <w:t>16</w:t>
            </w:r>
          </w:p>
        </w:tc>
        <w:tc>
          <w:tcPr>
            <w:tcW w:w="1350" w:type="dxa"/>
          </w:tcPr>
          <w:p w14:paraId="169E8441" w14:textId="77777777" w:rsidR="00DF19DE" w:rsidRDefault="00DF19DE" w:rsidP="00E71BC9">
            <w:pPr>
              <w:keepNext/>
              <w:spacing w:after="0" w:line="240" w:lineRule="auto"/>
              <w:rPr>
                <w:rFonts w:ascii="Arial" w:eastAsia="Arial" w:hAnsi="Arial" w:cs="Arial"/>
                <w:sz w:val="20"/>
                <w:szCs w:val="20"/>
              </w:rPr>
            </w:pPr>
            <w:r>
              <w:rPr>
                <w:rFonts w:ascii="Arial" w:hAnsi="Arial"/>
                <w:sz w:val="20"/>
              </w:rPr>
              <w:t>4 FG + 13 i-views</w:t>
            </w:r>
          </w:p>
        </w:tc>
      </w:tr>
      <w:tr w:rsidR="00DF19DE" w14:paraId="187489E7" w14:textId="77777777" w:rsidTr="00E71BC9">
        <w:trPr>
          <w:trHeight w:val="491"/>
        </w:trPr>
        <w:tc>
          <w:tcPr>
            <w:tcW w:w="3104" w:type="dxa"/>
          </w:tcPr>
          <w:p w14:paraId="0BEA0069" w14:textId="77777777" w:rsidR="00DF19DE" w:rsidRDefault="00DF19DE" w:rsidP="00E71BC9">
            <w:pPr>
              <w:keepNext/>
              <w:spacing w:after="0" w:line="240" w:lineRule="auto"/>
              <w:rPr>
                <w:rFonts w:ascii="Arial" w:eastAsia="Arial" w:hAnsi="Arial" w:cs="Arial"/>
                <w:sz w:val="20"/>
                <w:szCs w:val="20"/>
              </w:rPr>
            </w:pPr>
            <w:r>
              <w:rPr>
                <w:rFonts w:ascii="Arial" w:hAnsi="Arial"/>
                <w:sz w:val="20"/>
              </w:rPr>
              <w:t>Beneficiaries - children</w:t>
            </w:r>
          </w:p>
        </w:tc>
        <w:tc>
          <w:tcPr>
            <w:tcW w:w="1406" w:type="dxa"/>
          </w:tcPr>
          <w:p w14:paraId="2B1E808E"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w:t>
            </w:r>
          </w:p>
        </w:tc>
        <w:tc>
          <w:tcPr>
            <w:tcW w:w="1970" w:type="dxa"/>
          </w:tcPr>
          <w:p w14:paraId="4C369B35"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 Guide</w:t>
            </w:r>
          </w:p>
        </w:tc>
        <w:tc>
          <w:tcPr>
            <w:tcW w:w="1260" w:type="dxa"/>
          </w:tcPr>
          <w:p w14:paraId="65ED0F00" w14:textId="77777777" w:rsidR="00DF19DE" w:rsidRDefault="00DF19DE" w:rsidP="00E71BC9">
            <w:pPr>
              <w:keepNext/>
              <w:spacing w:after="0" w:line="240" w:lineRule="auto"/>
              <w:rPr>
                <w:rFonts w:ascii="Arial" w:eastAsia="Arial" w:hAnsi="Arial" w:cs="Arial"/>
                <w:sz w:val="20"/>
                <w:szCs w:val="20"/>
              </w:rPr>
            </w:pPr>
            <w:r>
              <w:rPr>
                <w:rFonts w:ascii="Arial" w:hAnsi="Arial"/>
                <w:sz w:val="20"/>
              </w:rPr>
              <w:t>8</w:t>
            </w:r>
          </w:p>
        </w:tc>
        <w:tc>
          <w:tcPr>
            <w:tcW w:w="1350" w:type="dxa"/>
          </w:tcPr>
          <w:p w14:paraId="52656F88" w14:textId="77777777" w:rsidR="00DF19DE" w:rsidRDefault="00DF19DE" w:rsidP="00E71BC9">
            <w:pPr>
              <w:keepNext/>
              <w:spacing w:after="0" w:line="240" w:lineRule="auto"/>
              <w:rPr>
                <w:rFonts w:ascii="Arial" w:eastAsia="Arial" w:hAnsi="Arial" w:cs="Arial"/>
                <w:sz w:val="20"/>
                <w:szCs w:val="20"/>
              </w:rPr>
            </w:pPr>
            <w:r>
              <w:rPr>
                <w:rFonts w:ascii="Arial" w:hAnsi="Arial"/>
                <w:sz w:val="20"/>
              </w:rPr>
              <w:t>6 FG + 6 i-views</w:t>
            </w:r>
          </w:p>
        </w:tc>
      </w:tr>
      <w:tr w:rsidR="00DF19DE" w14:paraId="575C6738" w14:textId="77777777" w:rsidTr="00E71BC9">
        <w:trPr>
          <w:trHeight w:val="526"/>
        </w:trPr>
        <w:tc>
          <w:tcPr>
            <w:tcW w:w="3104" w:type="dxa"/>
          </w:tcPr>
          <w:p w14:paraId="49DB200F" w14:textId="77777777" w:rsidR="00DF19DE" w:rsidRDefault="00DF19DE" w:rsidP="00E71BC9">
            <w:pPr>
              <w:keepNext/>
              <w:spacing w:after="0" w:line="240" w:lineRule="auto"/>
              <w:rPr>
                <w:rFonts w:ascii="Arial" w:eastAsia="Arial" w:hAnsi="Arial" w:cs="Arial"/>
                <w:sz w:val="20"/>
                <w:szCs w:val="20"/>
              </w:rPr>
            </w:pPr>
            <w:r>
              <w:rPr>
                <w:rFonts w:ascii="Arial" w:hAnsi="Arial"/>
                <w:sz w:val="20"/>
              </w:rPr>
              <w:t>Public services personnel</w:t>
            </w:r>
          </w:p>
        </w:tc>
        <w:tc>
          <w:tcPr>
            <w:tcW w:w="1406" w:type="dxa"/>
          </w:tcPr>
          <w:p w14:paraId="7669C1AD"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w:t>
            </w:r>
          </w:p>
        </w:tc>
        <w:tc>
          <w:tcPr>
            <w:tcW w:w="1970" w:type="dxa"/>
          </w:tcPr>
          <w:p w14:paraId="52380F12" w14:textId="77777777" w:rsidR="00DF19DE" w:rsidRDefault="00DF19DE" w:rsidP="00E71BC9">
            <w:pPr>
              <w:keepNext/>
              <w:spacing w:after="0" w:line="240" w:lineRule="auto"/>
              <w:rPr>
                <w:rFonts w:ascii="Arial" w:eastAsia="Arial" w:hAnsi="Arial" w:cs="Arial"/>
                <w:sz w:val="20"/>
                <w:szCs w:val="20"/>
              </w:rPr>
            </w:pPr>
            <w:r>
              <w:rPr>
                <w:rFonts w:ascii="Arial" w:hAnsi="Arial"/>
                <w:sz w:val="20"/>
              </w:rPr>
              <w:t>Focus group Guide</w:t>
            </w:r>
          </w:p>
        </w:tc>
        <w:tc>
          <w:tcPr>
            <w:tcW w:w="1260" w:type="dxa"/>
          </w:tcPr>
          <w:p w14:paraId="4BA6FDE1" w14:textId="77777777" w:rsidR="00DF19DE" w:rsidRDefault="00DF19DE" w:rsidP="00E71BC9">
            <w:pPr>
              <w:keepNext/>
              <w:spacing w:after="0" w:line="240" w:lineRule="auto"/>
              <w:rPr>
                <w:rFonts w:ascii="Arial" w:eastAsia="Arial" w:hAnsi="Arial" w:cs="Arial"/>
                <w:sz w:val="20"/>
                <w:szCs w:val="20"/>
              </w:rPr>
            </w:pPr>
            <w:r>
              <w:rPr>
                <w:rFonts w:ascii="Arial" w:hAnsi="Arial"/>
                <w:sz w:val="20"/>
              </w:rPr>
              <w:t>11</w:t>
            </w:r>
          </w:p>
        </w:tc>
        <w:tc>
          <w:tcPr>
            <w:tcW w:w="1350" w:type="dxa"/>
          </w:tcPr>
          <w:p w14:paraId="6066807F" w14:textId="77777777" w:rsidR="00DF19DE" w:rsidRDefault="00DF19DE" w:rsidP="00E71BC9">
            <w:pPr>
              <w:keepNext/>
              <w:spacing w:after="0" w:line="240" w:lineRule="auto"/>
              <w:rPr>
                <w:rFonts w:ascii="Arial" w:eastAsia="Arial" w:hAnsi="Arial" w:cs="Arial"/>
                <w:sz w:val="20"/>
                <w:szCs w:val="20"/>
              </w:rPr>
            </w:pPr>
            <w:r>
              <w:rPr>
                <w:rFonts w:ascii="Arial" w:hAnsi="Arial"/>
                <w:sz w:val="20"/>
              </w:rPr>
              <w:t>11</w:t>
            </w:r>
          </w:p>
        </w:tc>
      </w:tr>
      <w:tr w:rsidR="00DF19DE" w14:paraId="0A02447A" w14:textId="77777777" w:rsidTr="00E71BC9">
        <w:trPr>
          <w:trHeight w:val="401"/>
        </w:trPr>
        <w:tc>
          <w:tcPr>
            <w:tcW w:w="3104" w:type="dxa"/>
          </w:tcPr>
          <w:p w14:paraId="0EF0BC71" w14:textId="77777777" w:rsidR="00DF19DE" w:rsidRDefault="00DF19DE" w:rsidP="00E71BC9">
            <w:pPr>
              <w:keepNext/>
              <w:spacing w:after="0" w:line="240" w:lineRule="auto"/>
              <w:rPr>
                <w:rFonts w:ascii="Arial" w:eastAsia="Arial" w:hAnsi="Arial" w:cs="Arial"/>
                <w:sz w:val="20"/>
                <w:szCs w:val="20"/>
              </w:rPr>
            </w:pPr>
            <w:r>
              <w:rPr>
                <w:rFonts w:ascii="Arial" w:hAnsi="Arial"/>
                <w:sz w:val="20"/>
              </w:rPr>
              <w:t>Partner organisations (NGOs)</w:t>
            </w:r>
          </w:p>
        </w:tc>
        <w:tc>
          <w:tcPr>
            <w:tcW w:w="1406" w:type="dxa"/>
          </w:tcPr>
          <w:p w14:paraId="447A0082"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w:t>
            </w:r>
          </w:p>
        </w:tc>
        <w:tc>
          <w:tcPr>
            <w:tcW w:w="1970" w:type="dxa"/>
          </w:tcPr>
          <w:p w14:paraId="177263AE"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 Guide</w:t>
            </w:r>
          </w:p>
        </w:tc>
        <w:tc>
          <w:tcPr>
            <w:tcW w:w="1260" w:type="dxa"/>
          </w:tcPr>
          <w:p w14:paraId="1A66C5A2" w14:textId="77777777" w:rsidR="00DF19DE" w:rsidRDefault="00DF19DE" w:rsidP="00E71BC9">
            <w:pPr>
              <w:keepNext/>
              <w:spacing w:after="0" w:line="240" w:lineRule="auto"/>
              <w:rPr>
                <w:rFonts w:ascii="Arial" w:eastAsia="Arial" w:hAnsi="Arial" w:cs="Arial"/>
                <w:sz w:val="20"/>
                <w:szCs w:val="20"/>
              </w:rPr>
            </w:pPr>
            <w:r>
              <w:rPr>
                <w:rFonts w:ascii="Arial" w:hAnsi="Arial"/>
                <w:sz w:val="20"/>
              </w:rPr>
              <w:t>11</w:t>
            </w:r>
          </w:p>
        </w:tc>
        <w:tc>
          <w:tcPr>
            <w:tcW w:w="1350" w:type="dxa"/>
          </w:tcPr>
          <w:p w14:paraId="73B88CE6" w14:textId="77777777" w:rsidR="00DF19DE" w:rsidRDefault="00DF19DE" w:rsidP="00E71BC9">
            <w:pPr>
              <w:keepNext/>
              <w:spacing w:after="0" w:line="240" w:lineRule="auto"/>
              <w:rPr>
                <w:rFonts w:ascii="Arial" w:eastAsia="Arial" w:hAnsi="Arial" w:cs="Arial"/>
                <w:sz w:val="20"/>
                <w:szCs w:val="20"/>
              </w:rPr>
            </w:pPr>
            <w:r>
              <w:rPr>
                <w:rFonts w:ascii="Arial" w:hAnsi="Arial"/>
                <w:sz w:val="20"/>
              </w:rPr>
              <w:t>24</w:t>
            </w:r>
          </w:p>
        </w:tc>
      </w:tr>
      <w:tr w:rsidR="00DF19DE" w14:paraId="59C1F997" w14:textId="77777777" w:rsidTr="00E71BC9">
        <w:trPr>
          <w:trHeight w:val="401"/>
        </w:trPr>
        <w:tc>
          <w:tcPr>
            <w:tcW w:w="3104" w:type="dxa"/>
          </w:tcPr>
          <w:p w14:paraId="1409A59C" w14:textId="77777777" w:rsidR="00DF19DE" w:rsidRDefault="00DF19DE" w:rsidP="00E71BC9">
            <w:pPr>
              <w:keepNext/>
              <w:spacing w:after="0" w:line="240" w:lineRule="auto"/>
              <w:rPr>
                <w:rFonts w:ascii="Arial" w:eastAsia="Arial" w:hAnsi="Arial" w:cs="Arial"/>
                <w:sz w:val="20"/>
                <w:szCs w:val="20"/>
              </w:rPr>
            </w:pPr>
            <w:r>
              <w:rPr>
                <w:rFonts w:ascii="Arial" w:hAnsi="Arial"/>
                <w:sz w:val="20"/>
              </w:rPr>
              <w:t>Representatives of local entities</w:t>
            </w:r>
          </w:p>
        </w:tc>
        <w:tc>
          <w:tcPr>
            <w:tcW w:w="1406" w:type="dxa"/>
          </w:tcPr>
          <w:p w14:paraId="5123085E"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w:t>
            </w:r>
          </w:p>
        </w:tc>
        <w:tc>
          <w:tcPr>
            <w:tcW w:w="1970" w:type="dxa"/>
          </w:tcPr>
          <w:p w14:paraId="4804EEEA"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 Guide</w:t>
            </w:r>
          </w:p>
        </w:tc>
        <w:tc>
          <w:tcPr>
            <w:tcW w:w="1260" w:type="dxa"/>
          </w:tcPr>
          <w:p w14:paraId="004E6F03" w14:textId="77777777" w:rsidR="00DF19DE" w:rsidRDefault="00DF19DE" w:rsidP="00E71BC9">
            <w:pPr>
              <w:keepNext/>
              <w:spacing w:after="0" w:line="240" w:lineRule="auto"/>
              <w:rPr>
                <w:rFonts w:ascii="Arial" w:eastAsia="Arial" w:hAnsi="Arial" w:cs="Arial"/>
                <w:sz w:val="20"/>
                <w:szCs w:val="20"/>
              </w:rPr>
            </w:pPr>
            <w:r>
              <w:rPr>
                <w:rFonts w:ascii="Arial" w:hAnsi="Arial"/>
                <w:sz w:val="20"/>
              </w:rPr>
              <w:t>32</w:t>
            </w:r>
          </w:p>
        </w:tc>
        <w:tc>
          <w:tcPr>
            <w:tcW w:w="1350" w:type="dxa"/>
          </w:tcPr>
          <w:p w14:paraId="5C057E0F" w14:textId="77777777" w:rsidR="00DF19DE" w:rsidRDefault="00DF19DE" w:rsidP="00E71BC9">
            <w:pPr>
              <w:keepNext/>
              <w:spacing w:after="0" w:line="240" w:lineRule="auto"/>
              <w:rPr>
                <w:rFonts w:ascii="Arial" w:eastAsia="Arial" w:hAnsi="Arial" w:cs="Arial"/>
                <w:sz w:val="20"/>
                <w:szCs w:val="20"/>
              </w:rPr>
            </w:pPr>
            <w:r>
              <w:rPr>
                <w:rFonts w:ascii="Arial" w:hAnsi="Arial"/>
                <w:sz w:val="20"/>
              </w:rPr>
              <w:t>26</w:t>
            </w:r>
          </w:p>
        </w:tc>
      </w:tr>
      <w:tr w:rsidR="00DF19DE" w14:paraId="1BFCA902" w14:textId="77777777" w:rsidTr="00E71BC9">
        <w:trPr>
          <w:trHeight w:val="401"/>
        </w:trPr>
        <w:tc>
          <w:tcPr>
            <w:tcW w:w="3104" w:type="dxa"/>
          </w:tcPr>
          <w:p w14:paraId="0190EC8D" w14:textId="77777777" w:rsidR="00DF19DE" w:rsidRDefault="00DF19DE" w:rsidP="00E71BC9">
            <w:pPr>
              <w:keepNext/>
              <w:spacing w:after="0" w:line="240" w:lineRule="auto"/>
              <w:rPr>
                <w:rFonts w:ascii="Arial" w:eastAsia="Arial" w:hAnsi="Arial" w:cs="Arial"/>
                <w:sz w:val="20"/>
                <w:szCs w:val="20"/>
              </w:rPr>
            </w:pPr>
            <w:r>
              <w:rPr>
                <w:rFonts w:ascii="Arial" w:hAnsi="Arial"/>
                <w:sz w:val="20"/>
              </w:rPr>
              <w:t>Representatives of central entities and international organisations</w:t>
            </w:r>
          </w:p>
        </w:tc>
        <w:tc>
          <w:tcPr>
            <w:tcW w:w="1406" w:type="dxa"/>
          </w:tcPr>
          <w:p w14:paraId="2FCF96C5"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w:t>
            </w:r>
          </w:p>
        </w:tc>
        <w:tc>
          <w:tcPr>
            <w:tcW w:w="1970" w:type="dxa"/>
          </w:tcPr>
          <w:p w14:paraId="49D7CA3A"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 Guide</w:t>
            </w:r>
          </w:p>
        </w:tc>
        <w:tc>
          <w:tcPr>
            <w:tcW w:w="1260" w:type="dxa"/>
          </w:tcPr>
          <w:p w14:paraId="7675DD0F" w14:textId="77777777" w:rsidR="00DF19DE" w:rsidRDefault="00DF19DE" w:rsidP="00E71BC9">
            <w:pPr>
              <w:keepNext/>
              <w:spacing w:after="0" w:line="240" w:lineRule="auto"/>
              <w:rPr>
                <w:rFonts w:ascii="Arial" w:eastAsia="Arial" w:hAnsi="Arial" w:cs="Arial"/>
                <w:sz w:val="20"/>
                <w:szCs w:val="20"/>
              </w:rPr>
            </w:pPr>
            <w:r>
              <w:rPr>
                <w:rFonts w:ascii="Arial" w:hAnsi="Arial"/>
                <w:sz w:val="20"/>
              </w:rPr>
              <w:t>20</w:t>
            </w:r>
          </w:p>
        </w:tc>
        <w:tc>
          <w:tcPr>
            <w:tcW w:w="1350" w:type="dxa"/>
          </w:tcPr>
          <w:p w14:paraId="22AE83A2" w14:textId="77777777" w:rsidR="00DF19DE" w:rsidRDefault="00DF19DE" w:rsidP="00E71BC9">
            <w:pPr>
              <w:keepNext/>
              <w:spacing w:after="0" w:line="240" w:lineRule="auto"/>
              <w:rPr>
                <w:rFonts w:ascii="Arial" w:eastAsia="Arial" w:hAnsi="Arial" w:cs="Arial"/>
                <w:sz w:val="20"/>
                <w:szCs w:val="20"/>
              </w:rPr>
            </w:pPr>
            <w:r>
              <w:rPr>
                <w:rFonts w:ascii="Arial" w:hAnsi="Arial"/>
                <w:sz w:val="20"/>
              </w:rPr>
              <w:t>20</w:t>
            </w:r>
          </w:p>
        </w:tc>
      </w:tr>
      <w:tr w:rsidR="00DF19DE" w14:paraId="7BD58A33" w14:textId="77777777" w:rsidTr="00E71BC9">
        <w:trPr>
          <w:trHeight w:val="401"/>
        </w:trPr>
        <w:tc>
          <w:tcPr>
            <w:tcW w:w="3104" w:type="dxa"/>
          </w:tcPr>
          <w:p w14:paraId="46EC6C52" w14:textId="77777777" w:rsidR="00DF19DE" w:rsidRDefault="00DF19DE" w:rsidP="00E71BC9">
            <w:pPr>
              <w:keepNext/>
              <w:spacing w:after="0" w:line="240" w:lineRule="auto"/>
              <w:rPr>
                <w:rFonts w:ascii="Arial" w:eastAsia="Arial" w:hAnsi="Arial" w:cs="Arial"/>
                <w:sz w:val="20"/>
                <w:szCs w:val="20"/>
              </w:rPr>
            </w:pPr>
            <w:r>
              <w:rPr>
                <w:rFonts w:ascii="Arial" w:hAnsi="Arial"/>
                <w:sz w:val="20"/>
              </w:rPr>
              <w:t>Children involved in participative processes</w:t>
            </w:r>
          </w:p>
        </w:tc>
        <w:tc>
          <w:tcPr>
            <w:tcW w:w="1406" w:type="dxa"/>
          </w:tcPr>
          <w:p w14:paraId="77046146" w14:textId="77777777" w:rsidR="00DF19DE" w:rsidRDefault="00DF19DE" w:rsidP="00E71BC9">
            <w:pPr>
              <w:keepNext/>
              <w:spacing w:after="0" w:line="240" w:lineRule="auto"/>
              <w:rPr>
                <w:rFonts w:ascii="Arial" w:eastAsia="Arial" w:hAnsi="Arial" w:cs="Arial"/>
                <w:sz w:val="20"/>
                <w:szCs w:val="20"/>
              </w:rPr>
            </w:pPr>
            <w:r>
              <w:rPr>
                <w:rFonts w:ascii="Arial" w:hAnsi="Arial"/>
                <w:sz w:val="20"/>
              </w:rPr>
              <w:t>Group interview</w:t>
            </w:r>
          </w:p>
        </w:tc>
        <w:tc>
          <w:tcPr>
            <w:tcW w:w="1970" w:type="dxa"/>
          </w:tcPr>
          <w:p w14:paraId="7E14B250" w14:textId="77777777" w:rsidR="00DF19DE" w:rsidRDefault="00DF19DE" w:rsidP="00E71BC9">
            <w:pPr>
              <w:keepNext/>
              <w:spacing w:after="0" w:line="240" w:lineRule="auto"/>
              <w:rPr>
                <w:rFonts w:ascii="Arial" w:eastAsia="Arial" w:hAnsi="Arial" w:cs="Arial"/>
                <w:sz w:val="20"/>
                <w:szCs w:val="20"/>
              </w:rPr>
            </w:pPr>
            <w:r>
              <w:rPr>
                <w:rFonts w:ascii="Arial" w:hAnsi="Arial"/>
                <w:sz w:val="20"/>
              </w:rPr>
              <w:t>Interview Guide</w:t>
            </w:r>
          </w:p>
        </w:tc>
        <w:tc>
          <w:tcPr>
            <w:tcW w:w="1260" w:type="dxa"/>
          </w:tcPr>
          <w:p w14:paraId="7B0998E0" w14:textId="77777777" w:rsidR="00DF19DE" w:rsidRDefault="00DF19DE" w:rsidP="00E71BC9">
            <w:pPr>
              <w:keepNext/>
              <w:spacing w:after="0" w:line="240" w:lineRule="auto"/>
              <w:rPr>
                <w:rFonts w:ascii="Arial" w:eastAsia="Arial" w:hAnsi="Arial" w:cs="Arial"/>
                <w:sz w:val="20"/>
                <w:szCs w:val="20"/>
              </w:rPr>
            </w:pPr>
            <w:r>
              <w:rPr>
                <w:rFonts w:ascii="Arial" w:hAnsi="Arial"/>
                <w:sz w:val="20"/>
              </w:rPr>
              <w:t>3</w:t>
            </w:r>
          </w:p>
        </w:tc>
        <w:tc>
          <w:tcPr>
            <w:tcW w:w="1350" w:type="dxa"/>
          </w:tcPr>
          <w:p w14:paraId="3A3AC648" w14:textId="77777777" w:rsidR="00DF19DE" w:rsidRDefault="00DF19DE" w:rsidP="00E71BC9">
            <w:pPr>
              <w:keepNext/>
              <w:spacing w:after="0" w:line="240" w:lineRule="auto"/>
              <w:rPr>
                <w:rFonts w:ascii="Arial" w:eastAsia="Arial" w:hAnsi="Arial" w:cs="Arial"/>
                <w:sz w:val="20"/>
                <w:szCs w:val="20"/>
              </w:rPr>
            </w:pPr>
            <w:r>
              <w:rPr>
                <w:rFonts w:ascii="Arial" w:hAnsi="Arial"/>
                <w:sz w:val="20"/>
              </w:rPr>
              <w:t>3</w:t>
            </w:r>
          </w:p>
        </w:tc>
      </w:tr>
    </w:tbl>
    <w:p w14:paraId="1B860164" w14:textId="7EF00E99" w:rsidR="006950B2" w:rsidRDefault="006950B2">
      <w:pPr>
        <w:rPr>
          <w:rFonts w:ascii="Arial" w:hAnsi="Arial" w:cs="Arial"/>
          <w:b/>
          <w:bCs/>
          <w:sz w:val="24"/>
          <w:szCs w:val="24"/>
          <w:lang w:val="ro-RO"/>
        </w:rPr>
      </w:pPr>
    </w:p>
    <w:p w14:paraId="51CDB967" w14:textId="77777777" w:rsidR="006950B2" w:rsidRDefault="006950B2" w:rsidP="006950B2">
      <w:pPr>
        <w:spacing w:after="120"/>
        <w:jc w:val="both"/>
        <w:rPr>
          <w:rFonts w:ascii="Arial" w:eastAsia="Arial" w:hAnsi="Arial" w:cs="Arial"/>
          <w:b/>
          <w:sz w:val="20"/>
          <w:szCs w:val="20"/>
        </w:rPr>
      </w:pPr>
      <w:r>
        <w:rPr>
          <w:rFonts w:ascii="Arial" w:hAnsi="Arial"/>
          <w:b/>
          <w:sz w:val="20"/>
        </w:rPr>
        <w:t>Focus group with beneficiaries of services</w:t>
      </w:r>
    </w:p>
    <w:p w14:paraId="5C4E91F6" w14:textId="6F04037F" w:rsidR="006950B2" w:rsidRDefault="006950B2" w:rsidP="006950B2">
      <w:pPr>
        <w:spacing w:after="120"/>
        <w:jc w:val="both"/>
        <w:rPr>
          <w:rFonts w:ascii="Arial" w:eastAsia="Arial" w:hAnsi="Arial" w:cs="Arial"/>
          <w:sz w:val="20"/>
          <w:szCs w:val="20"/>
        </w:rPr>
      </w:pPr>
      <w:r>
        <w:rPr>
          <w:rFonts w:ascii="Arial" w:hAnsi="Arial"/>
          <w:sz w:val="20"/>
        </w:rPr>
        <w:t xml:space="preserve">The focus groups were aimed at identifying the impact of the Strategy among the beneficiaries (parents/ caregivers receiving services - day centres, multifunctional centres, counselling, school after school, services for disabled children) and parents of children formerly </w:t>
      </w:r>
      <w:r w:rsidR="000B3CE1">
        <w:rPr>
          <w:rFonts w:ascii="Arial" w:hAnsi="Arial"/>
          <w:sz w:val="20"/>
        </w:rPr>
        <w:t>in the</w:t>
      </w:r>
      <w:r>
        <w:rPr>
          <w:rFonts w:ascii="Arial" w:hAnsi="Arial"/>
          <w:sz w:val="20"/>
        </w:rPr>
        <w:t xml:space="preserve"> special protection system in all the development regions of Romania. Four focus groups were set up, but many beneficiaries were reluctant to attend and opted for the interviews. 5-6 persons participated in each focus group. </w:t>
      </w:r>
    </w:p>
    <w:p w14:paraId="4D4279A3" w14:textId="77777777" w:rsidR="006950B2" w:rsidRDefault="006950B2" w:rsidP="006950B2">
      <w:pPr>
        <w:spacing w:after="120"/>
        <w:jc w:val="both"/>
        <w:rPr>
          <w:rFonts w:ascii="Arial" w:eastAsia="Arial" w:hAnsi="Arial" w:cs="Arial"/>
          <w:sz w:val="20"/>
          <w:szCs w:val="20"/>
        </w:rPr>
      </w:pPr>
      <w:r>
        <w:rPr>
          <w:rFonts w:ascii="Arial" w:hAnsi="Arial"/>
          <w:sz w:val="20"/>
        </w:rPr>
        <w:t>Four focus groups were also organised with teenage beneficiaries of services - day centres, multifunctional centres, counselling, school after school - from vulnerable families and families with no difficulties or special needs. The discussion covered their experiences with the quality of the services, needs for extra support, and opinions on the transition to adulthood. Six teenagers participated in each focus group.</w:t>
      </w:r>
    </w:p>
    <w:p w14:paraId="0A4131F1" w14:textId="77777777" w:rsidR="006950B2" w:rsidRDefault="006950B2" w:rsidP="006950B2">
      <w:pPr>
        <w:spacing w:after="120"/>
        <w:jc w:val="both"/>
        <w:rPr>
          <w:rFonts w:ascii="Arial" w:eastAsia="Arial" w:hAnsi="Arial" w:cs="Arial"/>
          <w:sz w:val="20"/>
          <w:szCs w:val="20"/>
        </w:rPr>
      </w:pPr>
      <w:r>
        <w:rPr>
          <w:rFonts w:ascii="Arial" w:hAnsi="Arial"/>
          <w:sz w:val="20"/>
        </w:rPr>
        <w:t xml:space="preserve">The participants were selected with the support or SPASs, ONGs and UNICEF. </w:t>
      </w:r>
      <w:r>
        <w:rPr>
          <w:sz w:val="20"/>
        </w:rPr>
        <w:t>The selection criteria included: balanced territorial representation (urban-rural, all development regions), gender representativeness, availability to participate, and diversity of services and areas - social, education, health.</w:t>
      </w:r>
    </w:p>
    <w:p w14:paraId="05C2DA4A" w14:textId="77777777" w:rsidR="006950B2" w:rsidRDefault="006950B2" w:rsidP="006950B2">
      <w:pPr>
        <w:spacing w:after="120"/>
        <w:jc w:val="both"/>
        <w:rPr>
          <w:rFonts w:ascii="Arial" w:eastAsia="Arial" w:hAnsi="Arial" w:cs="Arial"/>
          <w:b/>
          <w:sz w:val="20"/>
          <w:szCs w:val="20"/>
        </w:rPr>
      </w:pPr>
      <w:r>
        <w:rPr>
          <w:rFonts w:ascii="Arial" w:hAnsi="Arial"/>
          <w:b/>
          <w:sz w:val="20"/>
        </w:rPr>
        <w:t>Focus groups with the personnel of public services</w:t>
      </w:r>
    </w:p>
    <w:p w14:paraId="1F3D0C19" w14:textId="237CB12B" w:rsidR="006950B2" w:rsidRDefault="006950B2" w:rsidP="006950B2">
      <w:pPr>
        <w:spacing w:after="120"/>
        <w:jc w:val="both"/>
        <w:rPr>
          <w:rFonts w:ascii="Arial" w:eastAsia="Arial" w:hAnsi="Arial" w:cs="Arial"/>
          <w:sz w:val="20"/>
          <w:szCs w:val="20"/>
        </w:rPr>
      </w:pPr>
      <w:r>
        <w:rPr>
          <w:rFonts w:ascii="Arial" w:hAnsi="Arial"/>
          <w:sz w:val="20"/>
        </w:rPr>
        <w:t xml:space="preserve">11 focus groups were organised. </w:t>
      </w:r>
      <w:r>
        <w:t xml:space="preserve">The participants were employees of </w:t>
      </w:r>
      <w:r>
        <w:rPr>
          <w:rFonts w:ascii="Arial" w:hAnsi="Arial"/>
          <w:sz w:val="20"/>
        </w:rPr>
        <w:t>DGASPC, SPAS, County Centre for Educational Resources and Assistance (CJRAE), county school inspectorates, county police inspectorates, county public health departments, local personnel of the National Agency against Trafficking in Persons (ANITP), community nurses, family doctors, school principals from all the regions of the country. The participants were selected with support of ANDPDCA, MEC, MS and MAI. The selection criteria included: balanced territorial representation (urban-rural, all development regions), gender representativeness, availability to participate, and diversity of domains.</w:t>
      </w:r>
    </w:p>
    <w:p w14:paraId="0405CBF0" w14:textId="77777777" w:rsidR="006950B2" w:rsidRDefault="006950B2" w:rsidP="006950B2">
      <w:pPr>
        <w:spacing w:after="120"/>
        <w:jc w:val="both"/>
        <w:rPr>
          <w:rFonts w:ascii="Arial" w:eastAsia="Arial" w:hAnsi="Arial" w:cs="Arial"/>
          <w:sz w:val="20"/>
          <w:szCs w:val="20"/>
        </w:rPr>
      </w:pPr>
      <w:r>
        <w:rPr>
          <w:rFonts w:ascii="Arial" w:hAnsi="Arial"/>
          <w:b/>
          <w:sz w:val="20"/>
        </w:rPr>
        <w:t xml:space="preserve">In-depth interviews with partner organisations </w:t>
      </w:r>
    </w:p>
    <w:p w14:paraId="6D6D7A25" w14:textId="77777777" w:rsidR="006950B2" w:rsidRDefault="006950B2" w:rsidP="006950B2">
      <w:pPr>
        <w:spacing w:after="120"/>
        <w:jc w:val="both"/>
        <w:rPr>
          <w:rFonts w:ascii="Arial" w:eastAsia="Arial" w:hAnsi="Arial" w:cs="Arial"/>
          <w:sz w:val="20"/>
          <w:szCs w:val="20"/>
        </w:rPr>
      </w:pPr>
      <w:r>
        <w:rPr>
          <w:rFonts w:ascii="Arial" w:hAnsi="Arial"/>
          <w:sz w:val="20"/>
        </w:rPr>
        <w:t xml:space="preserve">24 interviews were held with representatives of partner organisations from the civil society. The organisations were selected of a shortlist compiled based on the familiarity with the Strategy (organisations were selected that participated in consultations on the definition and implementation of the Strategy), </w:t>
      </w:r>
      <w:r>
        <w:rPr>
          <w:rFonts w:ascii="Arial" w:hAnsi="Arial"/>
          <w:sz w:val="20"/>
        </w:rPr>
        <w:lastRenderedPageBreak/>
        <w:t>addressability of NGOs (both large, national organisations and smaller ones that operate at local/ community level were selected) and type of services provided (organisations with various scopes of activity - social, education, health, and juvenile justice). The list was discussed with ANDPDCA.</w:t>
      </w:r>
    </w:p>
    <w:p w14:paraId="1BF3D3FB" w14:textId="77777777" w:rsidR="006950B2" w:rsidRDefault="006950B2" w:rsidP="006950B2">
      <w:pPr>
        <w:spacing w:after="120"/>
        <w:jc w:val="both"/>
        <w:rPr>
          <w:rFonts w:ascii="Arial" w:eastAsia="Arial" w:hAnsi="Arial" w:cs="Arial"/>
          <w:b/>
          <w:sz w:val="20"/>
          <w:szCs w:val="20"/>
        </w:rPr>
      </w:pPr>
      <w:r>
        <w:rPr>
          <w:rFonts w:ascii="Arial" w:hAnsi="Arial"/>
          <w:b/>
          <w:sz w:val="20"/>
        </w:rPr>
        <w:t xml:space="preserve">In-depth interviews with local government entities </w:t>
      </w:r>
    </w:p>
    <w:p w14:paraId="74180571" w14:textId="77777777" w:rsidR="006950B2" w:rsidRDefault="006950B2" w:rsidP="006950B2">
      <w:pPr>
        <w:spacing w:after="120"/>
        <w:jc w:val="both"/>
        <w:rPr>
          <w:rFonts w:ascii="Arial" w:eastAsia="Arial" w:hAnsi="Arial" w:cs="Arial"/>
          <w:sz w:val="20"/>
          <w:szCs w:val="20"/>
        </w:rPr>
      </w:pPr>
      <w:r>
        <w:rPr>
          <w:rFonts w:ascii="Arial" w:hAnsi="Arial"/>
          <w:sz w:val="20"/>
        </w:rPr>
        <w:t>26 interviews were held (in all regions of Romania and in Bucharest) with county-level stakeholders (DGASPC, County Centre for Educational Resources and Assistance, ISJ, DSP, SPASs) and local stakeholders (rural social worker, teacher, family doctor, representative of the integrated community-based services, community nurse/ health mediator, member of a consultative community structure). The interviews gave the county and local stakeholders the opportunity to present their views on the relevance, efficiency and impact of the Strategy measures and outcomes. The selection criteria included balanced territorial representation (urban-rural, all development regions), gender representativeness, availability to participate, and diversity of domains.</w:t>
      </w:r>
    </w:p>
    <w:p w14:paraId="5895C845" w14:textId="77777777" w:rsidR="006950B2" w:rsidRDefault="006950B2" w:rsidP="006950B2">
      <w:pPr>
        <w:spacing w:after="120"/>
        <w:jc w:val="both"/>
        <w:rPr>
          <w:rFonts w:ascii="Arial" w:eastAsia="Arial" w:hAnsi="Arial" w:cs="Arial"/>
          <w:b/>
          <w:sz w:val="20"/>
          <w:szCs w:val="20"/>
        </w:rPr>
      </w:pPr>
      <w:r>
        <w:rPr>
          <w:rFonts w:ascii="Arial" w:hAnsi="Arial"/>
          <w:b/>
          <w:sz w:val="20"/>
        </w:rPr>
        <w:t>In-depth interviews with central government entities</w:t>
      </w:r>
    </w:p>
    <w:p w14:paraId="0530E19A" w14:textId="77777777" w:rsidR="006950B2" w:rsidRDefault="006950B2" w:rsidP="006950B2">
      <w:pPr>
        <w:spacing w:after="120"/>
        <w:jc w:val="both"/>
        <w:rPr>
          <w:rFonts w:ascii="Arial" w:eastAsia="Arial" w:hAnsi="Arial" w:cs="Arial"/>
          <w:sz w:val="20"/>
          <w:szCs w:val="20"/>
        </w:rPr>
      </w:pPr>
      <w:r>
        <w:rPr>
          <w:rFonts w:ascii="Arial" w:hAnsi="Arial"/>
          <w:sz w:val="20"/>
        </w:rPr>
        <w:t>20 in-depth interviews were held to discuss the impact and recommendations on how to improve the next strategy with representatives of national agencies (ANDPDCA. Ministry of Labour, MS, MEC, the Ombudsman, Probation Service of the Ministry of Justice, Ministry of Internal Affairs, Anti-drug National Agency, National Agency Against Human Trafficking, National Administration of Penitentiaries0 and with representatives of international organisations (UNICEF, WHO, World Bank). The purpose was to discuss the relationship between the Strategy and the national policies, programmes and intersectoral strategies, with a view to identifying lessons learned and improve the process of developing the next Strategy.</w:t>
      </w:r>
    </w:p>
    <w:p w14:paraId="3F4B7EF4" w14:textId="14FC5656" w:rsidR="006950B2" w:rsidRDefault="006950B2" w:rsidP="006950B2">
      <w:pPr>
        <w:spacing w:after="120"/>
        <w:jc w:val="both"/>
        <w:rPr>
          <w:rFonts w:ascii="Arial" w:eastAsia="Arial" w:hAnsi="Arial" w:cs="Arial"/>
          <w:b/>
          <w:sz w:val="20"/>
          <w:szCs w:val="20"/>
        </w:rPr>
      </w:pPr>
      <w:r>
        <w:rPr>
          <w:rFonts w:ascii="Arial" w:hAnsi="Arial"/>
          <w:b/>
          <w:sz w:val="20"/>
        </w:rPr>
        <w:t xml:space="preserve">Interviews </w:t>
      </w:r>
      <w:r w:rsidR="000B3CE1">
        <w:rPr>
          <w:rFonts w:ascii="Arial" w:hAnsi="Arial"/>
          <w:b/>
          <w:sz w:val="20"/>
        </w:rPr>
        <w:t>with children</w:t>
      </w:r>
      <w:r>
        <w:rPr>
          <w:rFonts w:ascii="Arial" w:hAnsi="Arial"/>
          <w:b/>
          <w:sz w:val="20"/>
        </w:rPr>
        <w:t xml:space="preserve"> involved in participative processes</w:t>
      </w:r>
    </w:p>
    <w:p w14:paraId="4E521E59" w14:textId="53C354F4" w:rsidR="006950B2" w:rsidRDefault="006950B2" w:rsidP="006950B2">
      <w:pPr>
        <w:spacing w:after="120"/>
        <w:jc w:val="both"/>
        <w:rPr>
          <w:rFonts w:ascii="Arial" w:eastAsia="Arial" w:hAnsi="Arial" w:cs="Arial"/>
          <w:sz w:val="20"/>
          <w:szCs w:val="20"/>
        </w:rPr>
      </w:pPr>
      <w:r>
        <w:rPr>
          <w:rFonts w:ascii="Arial" w:hAnsi="Arial"/>
          <w:sz w:val="20"/>
        </w:rPr>
        <w:t xml:space="preserve">Three group interviews were held with teenagers involved in participative processes in groups </w:t>
      </w:r>
      <w:r w:rsidR="000B3CE1">
        <w:rPr>
          <w:rFonts w:ascii="Arial" w:hAnsi="Arial"/>
          <w:sz w:val="20"/>
        </w:rPr>
        <w:t>supported</w:t>
      </w:r>
      <w:r>
        <w:rPr>
          <w:rFonts w:ascii="Arial" w:hAnsi="Arial"/>
          <w:sz w:val="20"/>
        </w:rPr>
        <w:t xml:space="preserve"> by UNICEF in Romania, World Vision and Save the Children. </w:t>
      </w:r>
      <w:r>
        <w:t>Six teenagers participated in each group interview - a total of 18 children aged 12 to 18, of whom 11 girls and 7 boys, including2 disabled children (one girl and one boy).</w:t>
      </w:r>
      <w:r>
        <w:rPr>
          <w:rFonts w:ascii="Arial" w:hAnsi="Arial"/>
          <w:sz w:val="20"/>
        </w:rPr>
        <w:t xml:space="preserve"> </w:t>
      </w:r>
      <w:r>
        <w:t>Six interviews were held with young teenagers (4 boys and 2 girls aged 17 to 18) involved in participative processes and beneficiaries of educational services, members of the National Council of Students.</w:t>
      </w:r>
      <w:r>
        <w:rPr>
          <w:rFonts w:ascii="Arial" w:hAnsi="Arial"/>
          <w:sz w:val="20"/>
        </w:rPr>
        <w:t xml:space="preserve"> The participants were selected with the help of UNICEF in Romania, World Vision and Save the Children. The selection criteria included: balanced territorial representation (urban-rural, all development regions), gender representativeness, and availability to participate</w:t>
      </w:r>
      <w:r w:rsidR="005C46A0">
        <w:rPr>
          <w:rFonts w:ascii="Arial" w:hAnsi="Arial"/>
          <w:sz w:val="20"/>
        </w:rPr>
        <w:t>.</w:t>
      </w:r>
    </w:p>
    <w:p w14:paraId="5A6D0967" w14:textId="77777777" w:rsidR="006950B2" w:rsidRPr="006950B2" w:rsidRDefault="006950B2">
      <w:pPr>
        <w:rPr>
          <w:rFonts w:ascii="Arial" w:hAnsi="Arial" w:cs="Arial"/>
          <w:sz w:val="20"/>
          <w:szCs w:val="20"/>
          <w:lang w:val="ro-RO"/>
        </w:rPr>
      </w:pPr>
    </w:p>
    <w:p w14:paraId="1484F720" w14:textId="77777777" w:rsidR="006950B2" w:rsidRDefault="006950B2">
      <w:pPr>
        <w:rPr>
          <w:lang w:val="ro-RO"/>
        </w:rPr>
      </w:pPr>
    </w:p>
    <w:p w14:paraId="1CAA97C6" w14:textId="77777777" w:rsidR="002E3230" w:rsidRPr="002E3230" w:rsidRDefault="002E3230">
      <w:pPr>
        <w:rPr>
          <w:lang w:val="ro-RO"/>
        </w:rPr>
      </w:pPr>
    </w:p>
    <w:sectPr w:rsidR="002E3230" w:rsidRPr="002E32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230"/>
    <w:rsid w:val="0008613F"/>
    <w:rsid w:val="000B3CE1"/>
    <w:rsid w:val="002E3230"/>
    <w:rsid w:val="002E673D"/>
    <w:rsid w:val="005C46A0"/>
    <w:rsid w:val="006950B2"/>
    <w:rsid w:val="007A6E29"/>
    <w:rsid w:val="007C5B30"/>
    <w:rsid w:val="008D3C4C"/>
    <w:rsid w:val="00AD1513"/>
    <w:rsid w:val="00C23654"/>
    <w:rsid w:val="00D0580A"/>
    <w:rsid w:val="00DC67F5"/>
    <w:rsid w:val="00DF19DE"/>
    <w:rsid w:val="00E10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31A53"/>
  <w15:chartTrackingRefBased/>
  <w15:docId w15:val="{5FB1DA75-9AB6-40FA-A238-354BEB8B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Irimia</dc:creator>
  <cp:keywords/>
  <dc:description/>
  <cp:lastModifiedBy>Adriana Mindriloiu</cp:lastModifiedBy>
  <cp:revision>6</cp:revision>
  <dcterms:created xsi:type="dcterms:W3CDTF">2021-05-30T10:32:00Z</dcterms:created>
  <dcterms:modified xsi:type="dcterms:W3CDTF">2021-07-25T11:10:00Z</dcterms:modified>
</cp:coreProperties>
</file>